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DOYLE WILLIAM F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PROKIDNEY CORP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FRONTIS PLAZA BLVD,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PROKIDNEY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PROK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SALEM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05/28/2036</w:t>
            </w:r>
          </w:p>
        </w:tc>
        <w:tc>
          <w:tcPr>
            <w:tcW w:w="6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were granted under the Issuer's non-employee director compensation policy.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2. The options will vest in full on the sooner of the one-year anniversary of the date of grant or the date of Company's next annual general shareholder meeting.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Todd Girolamo, attorney in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-2920365</wp:posOffset>
            </wp:positionV>
            <wp:extent cx="28575" cy="1901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4459" TargetMode="External"/><Relationship Id="rId14" Type="http://schemas.openxmlformats.org/officeDocument/2006/relationships/hyperlink" Target="http://www.sec.gov/cgi-bin/browse-edgar?action=getcompany&amp;CIK=0001850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2026-05-29T16:41:24Z</dcterms:created>
  <dcterms:modified xsi:type="dcterms:W3CDTF">2026-05-29T16:41:24Z</dcterms:modified>
</cp:coreProperties>
</file>