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407"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8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1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1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001-40560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ProKidney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2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98-1586514</w:t>
            </w:r>
          </w:p>
        </w:tc>
        <w:tc>
          <w:tcPr>
            <w:tcW w:w="0" w:type="dxa"/>
            <w:vAlign w:val="bottom"/>
          </w:tcPr>
          <w:p>
            <w:pPr>
              <w:spacing w:after="0"/>
              <w:rPr>
                <w:sz w:val="1"/>
                <w:szCs w:val="1"/>
                <w:color w:val="auto"/>
              </w:rPr>
            </w:pPr>
          </w:p>
        </w:tc>
      </w:tr>
      <w:tr>
        <w:trPr>
          <w:trHeight w:val="148"/>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3"/>
                <w:szCs w:val="13"/>
                <w:b w:val="1"/>
                <w:bCs w:val="1"/>
                <w:color w:val="auto"/>
                <w:w w:val="96"/>
              </w:rPr>
              <w:t>( State or other jurisdiction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20" w:type="dxa"/>
            <w:vAlign w:val="bottom"/>
          </w:tcPr>
          <w:p>
            <w:pPr>
              <w:jc w:val="center"/>
              <w:ind w:right="1525"/>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7"/>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20" w:type="dxa"/>
            <w:vAlign w:val="bottom"/>
          </w:tcPr>
          <w:p>
            <w:pPr>
              <w:jc w:val="center"/>
              <w:ind w:right="1525"/>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230"/>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rPr>
              <w:t>2000 Frontis Plaza Blvd., Suite 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8"/>
                <w:szCs w:val="18"/>
                <w:b w:val="1"/>
                <w:bCs w:val="1"/>
                <w:color w:val="auto"/>
                <w:w w:val="99"/>
              </w:rPr>
              <w:t>Winston-Salem, NC</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2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27103</w:t>
            </w:r>
          </w:p>
        </w:tc>
        <w:tc>
          <w:tcPr>
            <w:tcW w:w="0" w:type="dxa"/>
            <w:vAlign w:val="bottom"/>
          </w:tcPr>
          <w:p>
            <w:pPr>
              <w:spacing w:after="0"/>
              <w:rPr>
                <w:sz w:val="1"/>
                <w:szCs w:val="1"/>
                <w:color w:val="auto"/>
              </w:rPr>
            </w:pPr>
          </w:p>
        </w:tc>
      </w:tr>
      <w:tr>
        <w:trPr>
          <w:trHeight w:val="173"/>
        </w:trPr>
        <w:tc>
          <w:tcPr>
            <w:tcW w:w="4180" w:type="dxa"/>
            <w:vAlign w:val="bottom"/>
          </w:tcPr>
          <w:p>
            <w:pPr>
              <w:jc w:val="center"/>
              <w:ind w:left="138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20" w:type="dxa"/>
            <w:vAlign w:val="bottom"/>
          </w:tcPr>
          <w:p>
            <w:pPr>
              <w:jc w:val="center"/>
              <w:ind w:right="1525"/>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266"/>
        </w:trPr>
        <w:tc>
          <w:tcPr>
            <w:tcW w:w="4180" w:type="dxa"/>
            <w:vAlign w:val="bottom"/>
          </w:tcPr>
          <w:p>
            <w:pPr>
              <w:spacing w:after="0"/>
              <w:rPr>
                <w:sz w:val="23"/>
                <w:szCs w:val="23"/>
                <w:color w:val="auto"/>
              </w:rPr>
            </w:pPr>
          </w:p>
        </w:tc>
        <w:tc>
          <w:tcPr>
            <w:tcW w:w="202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(336) 999-7019</w:t>
            </w:r>
          </w:p>
        </w:tc>
        <w:tc>
          <w:tcPr>
            <w:tcW w:w="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4180" w:type="dxa"/>
            <w:vAlign w:val="bottom"/>
          </w:tcPr>
          <w:p>
            <w:pPr>
              <w:spacing w:after="0"/>
              <w:rPr>
                <w:sz w:val="14"/>
                <w:szCs w:val="14"/>
                <w:color w:val="auto"/>
              </w:rPr>
            </w:pPr>
          </w:p>
        </w:tc>
        <w:tc>
          <w:tcPr>
            <w:tcW w:w="3040" w:type="dxa"/>
            <w:vAlign w:val="bottom"/>
            <w:gridSpan w:val="7"/>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28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1"/>
        </w:trPr>
        <w:tc>
          <w:tcPr>
            <w:tcW w:w="7220" w:type="dxa"/>
            <w:vAlign w:val="bottom"/>
            <w:gridSpan w:val="8"/>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1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020" w:type="dxa"/>
            <w:vAlign w:val="bottom"/>
            <w:vMerge w:val="restart"/>
          </w:tcPr>
          <w:p>
            <w:pPr>
              <w:jc w:val="center"/>
              <w:ind w:right="94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4"/>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Class A ordinary shares, $0.0001 par value per share</w:t>
            </w: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5"/>
              <w:spacing w:after="0"/>
              <w:rPr>
                <w:sz w:val="20"/>
                <w:szCs w:val="20"/>
                <w:color w:val="auto"/>
              </w:rPr>
            </w:pPr>
            <w:r>
              <w:rPr>
                <w:rFonts w:ascii="Times New Roman" w:cs="Times New Roman" w:eastAsia="Times New Roman" w:hAnsi="Times New Roman"/>
                <w:sz w:val="16"/>
                <w:szCs w:val="16"/>
                <w:color w:val="auto"/>
                <w:w w:val="98"/>
              </w:rPr>
              <w:t>PROK</w:t>
            </w:r>
          </w:p>
        </w:tc>
        <w:tc>
          <w:tcPr>
            <w:tcW w:w="120" w:type="dxa"/>
            <w:vAlign w:val="bottom"/>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4020" w:type="dxa"/>
            <w:vAlign w:val="bottom"/>
            <w:tcBorders>
              <w:top w:val="single" w:sz="8" w:color="auto"/>
            </w:tcBorders>
          </w:tcPr>
          <w:p>
            <w:pPr>
              <w:jc w:val="center"/>
              <w:ind w:right="965"/>
              <w:spacing w:after="0"/>
              <w:rPr>
                <w:sz w:val="20"/>
                <w:szCs w:val="20"/>
                <w:color w:val="auto"/>
              </w:rPr>
            </w:pPr>
            <w:r>
              <w:rPr>
                <w:rFonts w:ascii="Times New Roman" w:cs="Times New Roman" w:eastAsia="Times New Roman" w:hAnsi="Times New Roman"/>
                <w:sz w:val="16"/>
                <w:szCs w:val="16"/>
                <w:color w:val="auto"/>
              </w:rPr>
              <w:t>The Nasdaq Stock Market</w:t>
            </w:r>
          </w:p>
        </w:tc>
        <w:tc>
          <w:tcPr>
            <w:tcW w:w="0" w:type="dxa"/>
            <w:vAlign w:val="bottom"/>
          </w:tcPr>
          <w:p>
            <w:pPr>
              <w:spacing w:after="0"/>
              <w:rPr>
                <w:sz w:val="1"/>
                <w:szCs w:val="1"/>
                <w:color w:val="auto"/>
              </w:rPr>
            </w:pPr>
          </w:p>
        </w:tc>
      </w:tr>
    </w:tbl>
    <w:p>
      <w:pPr>
        <w:spacing w:after="0" w:line="11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1"/>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15" w:lineRule="exact"/>
        <w:rPr>
          <w:sz w:val="24"/>
          <w:szCs w:val="24"/>
          <w:color w:val="auto"/>
        </w:rPr>
      </w:pPr>
    </w:p>
    <w:tbl>
      <w:tblPr>
        <w:tblLayout w:type="fixed"/>
        <w:tblInd w:w="1320" w:type="dxa"/>
        <w:tblCellMar>
          <w:top w:w="0" w:type="dxa"/>
          <w:left w:w="0" w:type="dxa"/>
          <w:bottom w:w="0" w:type="dxa"/>
          <w:right w:w="0" w:type="dxa"/>
        </w:tblCellMar>
      </w:tblPr>
      <w:tr>
        <w:trPr>
          <w:trHeight w:val="225"/>
        </w:trPr>
        <w:tc>
          <w:tcPr>
            <w:tcW w:w="5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Class of Stock</w:t>
            </w:r>
          </w:p>
        </w:tc>
        <w:tc>
          <w:tcPr>
            <w:tcW w:w="280" w:type="dxa"/>
            <w:vAlign w:val="bottom"/>
          </w:tcPr>
          <w:p>
            <w:pPr>
              <w:spacing w:after="0"/>
              <w:rPr>
                <w:sz w:val="19"/>
                <w:szCs w:val="19"/>
                <w:color w:val="auto"/>
              </w:rPr>
            </w:pPr>
          </w:p>
        </w:tc>
        <w:tc>
          <w:tcPr>
            <w:tcW w:w="4380" w:type="dxa"/>
            <w:vAlign w:val="bottom"/>
            <w:tcBorders>
              <w:bottom w:val="single" w:sz="8" w:color="auto"/>
            </w:tcBorders>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Shares Outstanding as of November 11, 2024</w:t>
            </w:r>
          </w:p>
        </w:tc>
      </w:tr>
      <w:tr>
        <w:trPr>
          <w:trHeight w:val="278"/>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ordinary shares, par value $0.0001 per share</w:t>
            </w:r>
          </w:p>
        </w:tc>
        <w:tc>
          <w:tcPr>
            <w:tcW w:w="46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127,968,243</w:t>
            </w:r>
          </w:p>
        </w:tc>
      </w:tr>
      <w:tr>
        <w:trPr>
          <w:trHeight w:val="297"/>
        </w:trPr>
        <w:tc>
          <w:tcPr>
            <w:tcW w:w="5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B ordinary shares, par value $0.0001 per share</w:t>
            </w:r>
          </w:p>
        </w:tc>
        <w:tc>
          <w:tcPr>
            <w:tcW w:w="46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163,693,707</w:t>
            </w:r>
          </w:p>
        </w:tc>
      </w:tr>
    </w:tbl>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60" w:type="dxa"/>
            <w:vAlign w:val="bottom"/>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5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 (Unaudited)</w:t>
            </w:r>
          </w:p>
        </w:tc>
        <w:tc>
          <w:tcPr>
            <w:tcW w:w="6800" w:type="dxa"/>
            <w:vAlign w:val="bottom"/>
            <w:gridSpan w:val="11"/>
            <w:vMerge w:val="restart"/>
          </w:tcPr>
          <w:p>
            <w:pPr>
              <w:spacing w:after="0"/>
              <w:rPr>
                <w:sz w:val="24"/>
                <w:szCs w:val="24"/>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2500" w:type="dxa"/>
            <w:vAlign w:val="bottom"/>
            <w:tcBorders>
              <w:bottom w:val="single" w:sz="8" w:color="0000FF"/>
            </w:tcBorders>
            <w:gridSpan w:val="9"/>
            <w:vMerge w:val="continue"/>
          </w:tcPr>
          <w:p>
            <w:pPr>
              <w:spacing w:after="0"/>
              <w:rPr>
                <w:sz w:val="14"/>
                <w:szCs w:val="14"/>
                <w:color w:val="auto"/>
              </w:rPr>
            </w:pPr>
          </w:p>
        </w:tc>
        <w:tc>
          <w:tcPr>
            <w:tcW w:w="6800" w:type="dxa"/>
            <w:vAlign w:val="bottom"/>
            <w:gridSpan w:val="11"/>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20" w:type="dxa"/>
            <w:vAlign w:val="bottom"/>
            <w:tcBorders>
              <w:bottom w:val="single" w:sz="8" w:color="0000EE"/>
            </w:tcBorders>
          </w:tcPr>
          <w:p>
            <w:pPr>
              <w:spacing w:after="0"/>
              <w:rPr>
                <w:sz w:val="18"/>
                <w:szCs w:val="18"/>
                <w:color w:val="auto"/>
              </w:rPr>
            </w:pPr>
          </w:p>
        </w:tc>
        <w:tc>
          <w:tcPr>
            <w:tcW w:w="776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90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Redeemable Noncontrolling Interest and Shareholders’ Deficit</w:t>
            </w: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bottom w:val="single" w:sz="8" w:color="0000EE"/>
            </w:tcBorders>
          </w:tcPr>
          <w:p>
            <w:pPr>
              <w:spacing w:after="0"/>
              <w:rPr>
                <w:sz w:val="18"/>
                <w:szCs w:val="18"/>
                <w:color w:val="auto"/>
              </w:rPr>
            </w:pPr>
          </w:p>
        </w:tc>
        <w:tc>
          <w:tcPr>
            <w:tcW w:w="448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4"/>
          </w:tcPr>
          <w:p>
            <w:pPr>
              <w:spacing w:after="0"/>
              <w:rPr>
                <w:sz w:val="18"/>
                <w:szCs w:val="18"/>
                <w:color w:val="auto"/>
              </w:rPr>
            </w:pPr>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5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96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5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6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Pr>
          <w:p>
            <w:pPr>
              <w:spacing w:after="0"/>
              <w:rPr>
                <w:sz w:val="20"/>
                <w:szCs w:val="20"/>
                <w:color w:val="auto"/>
              </w:rPr>
            </w:pPr>
          </w:p>
        </w:tc>
        <w:tc>
          <w:tcPr>
            <w:tcW w:w="1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6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1"/>
                <w:szCs w:val="21"/>
                <w:color w:val="auto"/>
              </w:rPr>
            </w:pPr>
          </w:p>
        </w:tc>
        <w:tc>
          <w:tcPr>
            <w:tcW w:w="190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spacing w:after="0"/>
              <w:rPr>
                <w:sz w:val="21"/>
                <w:szCs w:val="21"/>
                <w:color w:val="auto"/>
              </w:rPr>
            </w:pPr>
          </w:p>
        </w:tc>
        <w:tc>
          <w:tcPr>
            <w:tcW w:w="18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108,088</w:t>
            </w:r>
          </w:p>
        </w:tc>
        <w:tc>
          <w:tcPr>
            <w:tcW w:w="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298,724</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302,301</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assets</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clinical</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tcPr>
          <w:p>
            <w:pPr>
              <w:spacing w:after="0"/>
              <w:rPr>
                <w:sz w:val="20"/>
                <w:szCs w:val="20"/>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430,225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374,146</w:t>
            </w:r>
          </w:p>
        </w:tc>
        <w:tc>
          <w:tcPr>
            <w:tcW w:w="100" w:type="dxa"/>
            <w:vAlign w:val="bottom"/>
          </w:tcPr>
          <w:p>
            <w:pPr>
              <w:spacing w:after="0"/>
              <w:rPr>
                <w:sz w:val="20"/>
                <w:szCs w:val="20"/>
                <w:color w:val="auto"/>
              </w:rPr>
            </w:pPr>
          </w:p>
        </w:tc>
      </w:tr>
      <w:tr>
        <w:trPr>
          <w:trHeight w:val="252"/>
        </w:trPr>
        <w:tc>
          <w:tcPr>
            <w:tcW w:w="6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38,519</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3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100" w:type="dxa"/>
            <w:vAlign w:val="bottom"/>
            <w:tcBorders>
              <w:bottom w:val="single" w:sz="8" w:color="CFF0FC"/>
            </w:tcBorders>
          </w:tcPr>
          <w:p>
            <w:pPr>
              <w:spacing w:after="0"/>
              <w:rPr>
                <w:sz w:val="20"/>
                <w:szCs w:val="20"/>
                <w:color w:val="auto"/>
              </w:rPr>
            </w:pPr>
          </w:p>
        </w:tc>
      </w:tr>
      <w:tr>
        <w:trPr>
          <w:trHeight w:val="281"/>
        </w:trPr>
        <w:tc>
          <w:tcPr>
            <w:tcW w:w="66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474,793</w:t>
            </w:r>
          </w:p>
        </w:tc>
        <w:tc>
          <w:tcPr>
            <w:tcW w:w="3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420,552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6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20" w:type="dxa"/>
            <w:vAlign w:val="bottom"/>
          </w:tcPr>
          <w:p>
            <w:pPr>
              <w:spacing w:after="0"/>
              <w:rPr>
                <w:sz w:val="20"/>
                <w:szCs w:val="20"/>
                <w:color w:val="auto"/>
              </w:rPr>
            </w:pPr>
          </w:p>
        </w:tc>
        <w:tc>
          <w:tcPr>
            <w:tcW w:w="2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0"/>
                <w:szCs w:val="20"/>
                <w:color w:val="auto"/>
              </w:rPr>
            </w:pPr>
          </w:p>
        </w:tc>
      </w:tr>
      <w:tr>
        <w:trPr>
          <w:trHeight w:val="241"/>
        </w:trPr>
        <w:tc>
          <w:tcPr>
            <w:tcW w:w="6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shd w:val="clear" w:color="auto" w:fill="CFF0FC"/>
          </w:tcPr>
          <w:p>
            <w:pPr>
              <w:spacing w:after="0"/>
              <w:rPr>
                <w:sz w:val="20"/>
                <w:szCs w:val="20"/>
                <w:color w:val="auto"/>
              </w:rPr>
            </w:pP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25,181</w:t>
            </w:r>
          </w:p>
        </w:tc>
        <w:tc>
          <w:tcPr>
            <w:tcW w:w="3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25,038</w:t>
            </w:r>
          </w:p>
        </w:tc>
        <w:tc>
          <w:tcPr>
            <w:tcW w:w="100" w:type="dxa"/>
            <w:vAlign w:val="bottom"/>
            <w:shd w:val="clear" w:color="auto" w:fill="CFF0FC"/>
          </w:tcPr>
          <w:p>
            <w:pPr>
              <w:spacing w:after="0"/>
              <w:rPr>
                <w:sz w:val="20"/>
                <w:szCs w:val="20"/>
                <w:color w:val="auto"/>
              </w:rPr>
            </w:pPr>
          </w:p>
        </w:tc>
      </w:tr>
      <w:tr>
        <w:trPr>
          <w:trHeight w:val="47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 net of current portion</w:t>
            </w:r>
          </w:p>
        </w:tc>
        <w:tc>
          <w:tcPr>
            <w:tcW w:w="2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4"/>
                <w:szCs w:val="24"/>
                <w:color w:val="auto"/>
              </w:rPr>
            </w:pPr>
          </w:p>
        </w:tc>
      </w:tr>
      <w:tr>
        <w:trPr>
          <w:trHeight w:val="245"/>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20" w:type="dxa"/>
            <w:vAlign w:val="bottom"/>
            <w:tcBorders>
              <w:bottom w:val="single" w:sz="8" w:color="auto"/>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3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31,325</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29,216</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1,423,180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1,494,732</w:t>
            </w:r>
          </w:p>
        </w:tc>
        <w:tc>
          <w:tcPr>
            <w:tcW w:w="100" w:type="dxa"/>
            <w:vAlign w:val="bottom"/>
          </w:tcPr>
          <w:p>
            <w:pPr>
              <w:spacing w:after="0"/>
              <w:rPr>
                <w:sz w:val="20"/>
                <w:szCs w:val="20"/>
                <w:color w:val="auto"/>
              </w:rPr>
            </w:pPr>
          </w:p>
        </w:tc>
      </w:tr>
      <w:tr>
        <w:trPr>
          <w:trHeight w:val="252"/>
        </w:trPr>
        <w:tc>
          <w:tcPr>
            <w:tcW w:w="6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deficit</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ordinary shares, $0.0001 par value; 500,000,000 shares</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127,920,274 and 59,880,347 issued and outstanding as</w:t>
            </w:r>
          </w:p>
        </w:tc>
        <w:tc>
          <w:tcPr>
            <w:tcW w:w="2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September 30, 2024 and December 31, 2023, respectively</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r>
      <w:tr>
        <w:trPr>
          <w:trHeight w:val="218"/>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Class B ordinary shares, $0.0001 par value; 500,000,000 shares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authorized; 163,741,676 and 168,297,916 issued and outstanding as</w:t>
            </w:r>
          </w:p>
        </w:tc>
        <w:tc>
          <w:tcPr>
            <w:tcW w:w="22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of September 30, 2024 and December 31, 2023, respectively</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199,509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36,114</w:t>
            </w:r>
          </w:p>
        </w:tc>
        <w:tc>
          <w:tcPr>
            <w:tcW w:w="100" w:type="dxa"/>
            <w:vAlign w:val="bottom"/>
          </w:tcPr>
          <w:p>
            <w:pPr>
              <w:spacing w:after="0"/>
              <w:rPr>
                <w:sz w:val="20"/>
                <w:szCs w:val="20"/>
                <w:color w:val="auto"/>
              </w:rPr>
            </w:pPr>
          </w:p>
        </w:tc>
      </w:tr>
      <w:tr>
        <w:trPr>
          <w:trHeight w:val="247"/>
        </w:trPr>
        <w:tc>
          <w:tcPr>
            <w:tcW w:w="6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gain</w:t>
            </w:r>
          </w:p>
        </w:tc>
        <w:tc>
          <w:tcPr>
            <w:tcW w:w="220" w:type="dxa"/>
            <w:vAlign w:val="bottom"/>
            <w:shd w:val="clear" w:color="auto" w:fill="CFF0FC"/>
          </w:tcPr>
          <w:p>
            <w:pPr>
              <w:spacing w:after="0"/>
              <w:rPr>
                <w:sz w:val="21"/>
                <w:szCs w:val="21"/>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r>
      <w:tr>
        <w:trPr>
          <w:trHeight w:val="23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2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(1,179,571 )</w:t>
            </w:r>
          </w:p>
        </w:tc>
        <w:tc>
          <w:tcPr>
            <w:tcW w:w="20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(1,139,663 )</w:t>
            </w:r>
          </w:p>
        </w:tc>
      </w:tr>
      <w:tr>
        <w:trPr>
          <w:trHeight w:val="20"/>
        </w:trPr>
        <w:tc>
          <w:tcPr>
            <w:tcW w:w="6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shareholders' deficit</w:t>
            </w:r>
          </w:p>
        </w:tc>
        <w:tc>
          <w:tcPr>
            <w:tcW w:w="22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(979,712 )</w:t>
            </w:r>
          </w:p>
        </w:tc>
        <w:tc>
          <w:tcPr>
            <w:tcW w:w="20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(1,103,396 )</w:t>
            </w:r>
          </w:p>
        </w:tc>
      </w:tr>
      <w:tr>
        <w:trPr>
          <w:trHeight w:val="241"/>
        </w:trPr>
        <w:tc>
          <w:tcPr>
            <w:tcW w:w="66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liabilities and shareholders' deficit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474,793</w:t>
            </w:r>
          </w:p>
        </w:tc>
        <w:tc>
          <w:tcPr>
            <w:tcW w:w="3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420,552</w:t>
            </w:r>
          </w:p>
        </w:tc>
        <w:tc>
          <w:tcPr>
            <w:tcW w:w="100" w:type="dxa"/>
            <w:vAlign w:val="bottom"/>
            <w:tcBorders>
              <w:top w:val="single" w:sz="8" w:color="CFF0FC"/>
            </w:tcBorders>
          </w:tcPr>
          <w:p>
            <w:pPr>
              <w:spacing w:after="0"/>
              <w:rPr>
                <w:sz w:val="20"/>
                <w:szCs w:val="20"/>
                <w:color w:val="auto"/>
              </w:rPr>
            </w:pPr>
          </w:p>
        </w:tc>
      </w:tr>
      <w:tr>
        <w:trPr>
          <w:trHeight w:val="20"/>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-4817110</wp:posOffset>
            </wp:positionV>
            <wp:extent cx="768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-4028440</wp:posOffset>
            </wp:positionV>
            <wp:extent cx="76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-4011295</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-4191000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-4028440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-2451100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-187960</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0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4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32,198</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87,887</w:t>
            </w:r>
          </w:p>
        </w:tc>
        <w:tc>
          <w:tcPr>
            <w:tcW w:w="2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44,218</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132,105</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(48,973 )</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(46,617 )</w:t>
            </w:r>
          </w:p>
        </w:tc>
        <w:tc>
          <w:tcPr>
            <w:tcW w:w="1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(132,105 )</w:t>
            </w:r>
          </w:p>
        </w:tc>
        <w:tc>
          <w:tcPr>
            <w:tcW w:w="3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(127,312 )</w:t>
            </w:r>
          </w:p>
        </w:tc>
        <w:tc>
          <w:tcPr>
            <w:tcW w:w="0" w:type="dxa"/>
            <w:vAlign w:val="bottom"/>
          </w:tcPr>
          <w:p>
            <w:pPr>
              <w:spacing w:after="0"/>
              <w:rPr>
                <w:sz w:val="1"/>
                <w:szCs w:val="1"/>
                <w:color w:val="auto"/>
              </w:rPr>
            </w:pPr>
          </w:p>
        </w:tc>
      </w:tr>
      <w:tr>
        <w:trPr>
          <w:trHeight w:val="47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(2 )</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(43,395 )</w:t>
            </w: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(41,078 )</w:t>
            </w:r>
          </w:p>
        </w:tc>
        <w:tc>
          <w:tcPr>
            <w:tcW w:w="16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(117,152 )</w:t>
            </w:r>
          </w:p>
        </w:tc>
        <w:tc>
          <w:tcPr>
            <w:tcW w:w="3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(110,518 )</w:t>
            </w: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(2,342 )</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(2,300 )</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w:t>
            </w:r>
          </w:p>
        </w:tc>
        <w:tc>
          <w:tcPr>
            <w:tcW w:w="140" w:type="dxa"/>
            <w:vAlign w:val="bottom"/>
            <w:shd w:val="clear" w:color="auto" w:fill="CFF0FC"/>
          </w:tcPr>
          <w:p>
            <w:pPr>
              <w:spacing w:after="0"/>
              <w:rPr>
                <w:sz w:val="18"/>
                <w:szCs w:val="18"/>
                <w:color w:val="auto"/>
              </w:rPr>
            </w:pPr>
          </w:p>
        </w:tc>
        <w:tc>
          <w:tcPr>
            <w:tcW w:w="16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(41,053 )</w:t>
            </w:r>
          </w:p>
        </w:tc>
        <w:tc>
          <w:tcPr>
            <w:tcW w:w="320" w:type="dxa"/>
            <w:vAlign w:val="bottom"/>
            <w:shd w:val="clear" w:color="auto" w:fill="CFF0FC"/>
          </w:tcPr>
          <w:p>
            <w:pPr>
              <w:spacing w:after="0"/>
              <w:rPr>
                <w:sz w:val="18"/>
                <w:szCs w:val="18"/>
                <w:color w:val="auto"/>
              </w:rPr>
            </w:pPr>
          </w:p>
        </w:tc>
        <w:tc>
          <w:tcPr>
            <w:tcW w:w="13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(41,991 )</w:t>
            </w:r>
          </w:p>
        </w:tc>
        <w:tc>
          <w:tcPr>
            <w:tcW w:w="160" w:type="dxa"/>
            <w:vAlign w:val="bottom"/>
            <w:shd w:val="clear" w:color="auto" w:fill="CFF0FC"/>
          </w:tcPr>
          <w:p>
            <w:pPr>
              <w:spacing w:after="0"/>
              <w:rPr>
                <w:sz w:val="18"/>
                <w:szCs w:val="18"/>
                <w:color w:val="auto"/>
              </w:rPr>
            </w:pPr>
          </w:p>
        </w:tc>
        <w:tc>
          <w:tcPr>
            <w:tcW w:w="15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(114,852 )</w:t>
            </w:r>
          </w:p>
        </w:tc>
        <w:tc>
          <w:tcPr>
            <w:tcW w:w="32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(113,723 )</w:t>
            </w:r>
          </w:p>
        </w:tc>
        <w:tc>
          <w:tcPr>
            <w:tcW w:w="0" w:type="dxa"/>
            <w:vAlign w:val="bottom"/>
          </w:tcPr>
          <w:p>
            <w:pPr>
              <w:spacing w:after="0"/>
              <w:rPr>
                <w:sz w:val="1"/>
                <w:szCs w:val="1"/>
                <w:color w:val="auto"/>
              </w:rPr>
            </w:pPr>
          </w:p>
        </w:tc>
      </w:tr>
      <w:tr>
        <w:trPr>
          <w:trHeight w:val="234"/>
        </w:trPr>
        <w:tc>
          <w:tcPr>
            <w:tcW w:w="4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140" w:type="dxa"/>
            <w:vAlign w:val="bottom"/>
            <w:shd w:val="clear" w:color="auto" w:fill="CFF0FC"/>
          </w:tcPr>
          <w:p>
            <w:pPr>
              <w:spacing w:after="0"/>
              <w:rPr>
                <w:sz w:val="20"/>
                <w:szCs w:val="20"/>
                <w:color w:val="auto"/>
              </w:rPr>
            </w:pPr>
          </w:p>
        </w:tc>
        <w:tc>
          <w:tcPr>
            <w:tcW w:w="160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8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(23,143 )</w:t>
            </w:r>
          </w:p>
        </w:tc>
        <w:tc>
          <w:tcPr>
            <w:tcW w:w="32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(31,007 )</w:t>
            </w:r>
          </w:p>
        </w:tc>
        <w:tc>
          <w:tcPr>
            <w:tcW w:w="16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(74,944 )</w:t>
            </w:r>
          </w:p>
        </w:tc>
        <w:tc>
          <w:tcPr>
            <w:tcW w:w="32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(83,956 )</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(17,910 )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(10,984 )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(39,908 )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(29,767 )</w:t>
            </w:r>
          </w:p>
        </w:tc>
        <w:tc>
          <w:tcPr>
            <w:tcW w:w="0" w:type="dxa"/>
            <w:vAlign w:val="bottom"/>
          </w:tcPr>
          <w:p>
            <w:pPr>
              <w:spacing w:after="0"/>
              <w:rPr>
                <w:sz w:val="1"/>
                <w:szCs w:val="1"/>
                <w:color w:val="auto"/>
              </w:rPr>
            </w:pPr>
          </w:p>
        </w:tc>
      </w:tr>
      <w:tr>
        <w:trPr>
          <w:trHeight w:val="460"/>
        </w:trPr>
        <w:tc>
          <w:tcPr>
            <w:tcW w:w="46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Class A ordinary shares outstanding:</w:t>
            </w: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126,173,463</w:t>
            </w: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61,592,876</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87,818,229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61,565,298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Class A ordinary shares:</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(0.14 )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(0.45 )</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(0.48 )</w:t>
            </w:r>
          </w:p>
        </w:tc>
        <w:tc>
          <w:tcPr>
            <w:tcW w:w="0" w:type="dxa"/>
            <w:vAlign w:val="bottom"/>
          </w:tcPr>
          <w:p>
            <w:pPr>
              <w:spacing w:after="0"/>
              <w:rPr>
                <w:sz w:val="1"/>
                <w:szCs w:val="1"/>
                <w:color w:val="auto"/>
              </w:rPr>
            </w:pP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-2691130</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-2691130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-2691130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-1148080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-1148080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-1148080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-822325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-805180</wp:posOffset>
            </wp:positionV>
            <wp:extent cx="774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-822325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-805180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-822325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-805180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2960" w:type="dxa"/>
            <w:vAlign w:val="bottom"/>
            <w:gridSpan w:val="6"/>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760" w:type="dxa"/>
            <w:vAlign w:val="bottom"/>
            <w:gridSpan w:val="6"/>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c>
          <w:tcPr>
            <w:tcW w:w="0" w:type="dxa"/>
            <w:vAlign w:val="bottom"/>
          </w:tcPr>
          <w:p>
            <w:pPr>
              <w:spacing w:after="0"/>
              <w:rPr>
                <w:sz w:val="1"/>
                <w:szCs w:val="1"/>
                <w:color w:val="auto"/>
              </w:rPr>
            </w:pPr>
          </w:p>
        </w:tc>
      </w:tr>
      <w:tr>
        <w:trPr>
          <w:trHeight w:val="238"/>
        </w:trPr>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including noncontrolling interest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(41,053 )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(41,991 )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(114,852 )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(113,723 )</w:t>
            </w:r>
          </w:p>
        </w:tc>
        <w:tc>
          <w:tcPr>
            <w:tcW w:w="0" w:type="dxa"/>
            <w:vAlign w:val="bottom"/>
          </w:tcPr>
          <w:p>
            <w:pPr>
              <w:spacing w:after="0"/>
              <w:rPr>
                <w:sz w:val="1"/>
                <w:szCs w:val="1"/>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Unrealized income (loss) on marketable securities</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0"/>
        </w:trPr>
        <w:tc>
          <w:tcPr>
            <w:tcW w:w="4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comprehensive loss including noncontrolling interest</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(40,303 )</w:t>
            </w: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(41,750 )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(114,617 )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(113,967 )</w:t>
            </w:r>
          </w:p>
        </w:tc>
        <w:tc>
          <w:tcPr>
            <w:tcW w:w="0" w:type="dxa"/>
            <w:vAlign w:val="bottom"/>
          </w:tcPr>
          <w:p>
            <w:pPr>
              <w:spacing w:after="0"/>
              <w:rPr>
                <w:sz w:val="1"/>
                <w:szCs w:val="1"/>
                <w:color w:val="auto"/>
              </w:rPr>
            </w:pPr>
          </w:p>
        </w:tc>
      </w:tr>
      <w:tr>
        <w:trPr>
          <w:trHeight w:val="211"/>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Total comprehensive loss attributable to noncontrolling</w:t>
            </w:r>
          </w:p>
        </w:tc>
        <w:tc>
          <w:tcPr>
            <w:tcW w:w="260" w:type="dxa"/>
            <w:vAlign w:val="bottom"/>
          </w:tcPr>
          <w:p>
            <w:pPr>
              <w:spacing w:after="0"/>
              <w:rPr>
                <w:sz w:val="18"/>
                <w:szCs w:val="18"/>
                <w:color w:val="auto"/>
              </w:rPr>
            </w:pP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(22,720 )</w:t>
            </w:r>
          </w:p>
        </w:tc>
        <w:tc>
          <w:tcPr>
            <w:tcW w:w="260" w:type="dxa"/>
            <w:vAlign w:val="bottom"/>
          </w:tcPr>
          <w:p>
            <w:pPr>
              <w:spacing w:after="0"/>
              <w:rPr>
                <w:sz w:val="18"/>
                <w:szCs w:val="18"/>
                <w:color w:val="auto"/>
              </w:rPr>
            </w:pPr>
          </w:p>
        </w:tc>
        <w:tc>
          <w:tcPr>
            <w:tcW w:w="12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(30,829 )</w:t>
            </w:r>
          </w:p>
        </w:tc>
        <w:tc>
          <w:tcPr>
            <w:tcW w:w="280" w:type="dxa"/>
            <w:vAlign w:val="bottom"/>
          </w:tcPr>
          <w:p>
            <w:pPr>
              <w:spacing w:after="0"/>
              <w:rPr>
                <w:sz w:val="18"/>
                <w:szCs w:val="18"/>
                <w:color w:val="auto"/>
              </w:rPr>
            </w:pPr>
          </w:p>
        </w:tc>
        <w:tc>
          <w:tcPr>
            <w:tcW w:w="12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(74,900 )</w:t>
            </w:r>
          </w:p>
        </w:tc>
        <w:tc>
          <w:tcPr>
            <w:tcW w:w="260" w:type="dxa"/>
            <w:vAlign w:val="bottom"/>
          </w:tcPr>
          <w:p>
            <w:pPr>
              <w:spacing w:after="0"/>
              <w:rPr>
                <w:sz w:val="18"/>
                <w:szCs w:val="18"/>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(84,136 )</w:t>
            </w:r>
          </w:p>
        </w:tc>
        <w:tc>
          <w:tcPr>
            <w:tcW w:w="0" w:type="dxa"/>
            <w:vAlign w:val="bottom"/>
          </w:tcPr>
          <w:p>
            <w:pPr>
              <w:spacing w:after="0"/>
              <w:rPr>
                <w:sz w:val="1"/>
                <w:szCs w:val="1"/>
                <w:color w:val="auto"/>
              </w:rPr>
            </w:pPr>
          </w:p>
        </w:tc>
      </w:t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4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Total comprehensive loss attributable to Class A ordinary</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(17,583 )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(10,921 )</w:t>
            </w:r>
          </w:p>
        </w:tc>
        <w:tc>
          <w:tcPr>
            <w:tcW w:w="28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(39,717 )</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(29,831 )</w:t>
            </w:r>
          </w:p>
        </w:tc>
        <w:tc>
          <w:tcPr>
            <w:tcW w:w="0" w:type="dxa"/>
            <w:vAlign w:val="bottom"/>
          </w:tcPr>
          <w:p>
            <w:pPr>
              <w:spacing w:after="0"/>
              <w:rPr>
                <w:sz w:val="1"/>
                <w:szCs w:val="1"/>
                <w:color w:val="auto"/>
              </w:rPr>
            </w:pPr>
          </w:p>
        </w:tc>
      </w:tr>
      <w:tr>
        <w:trPr>
          <w:trHeight w:val="227"/>
        </w:trPr>
        <w:tc>
          <w:tcPr>
            <w:tcW w:w="4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shareholders</w:t>
            </w:r>
          </w:p>
        </w:tc>
        <w:tc>
          <w:tcPr>
            <w:tcW w:w="2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220" w:type="dxa"/>
            <w:vAlign w:val="bottom"/>
            <w:gridSpan w:val="2"/>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1200" w:type="dxa"/>
            <w:vAlign w:val="bottom"/>
            <w:gridSpan w:val="2"/>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-899795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-899795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-899795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-899795</wp:posOffset>
            </wp:positionV>
            <wp:extent cx="596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-25400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3843655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-25400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-25400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5729605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-25400</wp:posOffset>
            </wp:positionV>
            <wp:extent cx="59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-7620</wp:posOffset>
            </wp:positionV>
            <wp:extent cx="596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1305" w:right="6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2129155</wp:posOffset>
            </wp:positionH>
            <wp:positionV relativeFrom="paragraph">
              <wp:posOffset>30480</wp:posOffset>
            </wp:positionV>
            <wp:extent cx="45173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17390" cy="8255"/>
                    </a:xfrm>
                    <a:prstGeom prst="rect">
                      <a:avLst/>
                    </a:prstGeom>
                    <a:noFill/>
                  </pic:spPr>
                </pic:pic>
              </a:graphicData>
            </a:graphic>
          </wp:anchor>
        </w:drawing>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Class A Ordinary</w:t>
            </w:r>
          </w:p>
        </w:tc>
        <w:tc>
          <w:tcPr>
            <w:tcW w:w="2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Redee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mable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Nonc</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ontrol</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ling</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nal</w:t>
            </w: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ehensi</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Shareh</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72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Intere</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w:t>
            </w: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0" w:type="dxa"/>
            <w:vAlign w:val="bottom"/>
          </w:tcPr>
          <w:p>
            <w:pPr>
              <w:spacing w:after="0"/>
              <w:rPr>
                <w:sz w:val="18"/>
                <w:szCs w:val="18"/>
                <w:color w:val="auto"/>
              </w:rPr>
            </w:pPr>
          </w:p>
        </w:tc>
        <w:tc>
          <w:tcPr>
            <w:tcW w:w="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ve</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olders'</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1"/>
              </w:rPr>
              <w:t>st</w:t>
            </w: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nt</w:t>
            </w:r>
          </w:p>
        </w:tc>
        <w:tc>
          <w:tcPr>
            <w:tcW w:w="220" w:type="dxa"/>
            <w:vAlign w:val="bottom"/>
          </w:tcPr>
          <w:p>
            <w:pPr>
              <w:spacing w:after="0"/>
              <w:rPr>
                <w:sz w:val="21"/>
                <w:szCs w:val="2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t>
            </w:r>
          </w:p>
        </w:tc>
        <w:tc>
          <w:tcPr>
            <w:tcW w:w="220" w:type="dxa"/>
            <w:vAlign w:val="bottom"/>
          </w:tcPr>
          <w:p>
            <w:pPr>
              <w:spacing w:after="0"/>
              <w:rPr>
                <w:sz w:val="21"/>
                <w:szCs w:val="21"/>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1"/>
                <w:szCs w:val="21"/>
                <w:color w:val="auto"/>
              </w:rPr>
            </w:pPr>
          </w:p>
        </w:tc>
        <w:tc>
          <w:tcPr>
            <w:tcW w:w="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211"/>
        </w:trPr>
        <w:tc>
          <w:tcPr>
            <w:tcW w:w="33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July 1, 2024</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(972,3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80" w:type="dxa"/>
            <w:vAlign w:val="bottom"/>
            <w:gridSpan w:val="2"/>
            <w:shd w:val="clear" w:color="auto" w:fill="CFF0FC"/>
          </w:tcPr>
          <w:p>
            <w:pPr>
              <w:ind w:left="3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(6 )</w:t>
            </w: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6"/>
              </w:rPr>
              <w:t>$ 1,661 )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239"/>
        </w:trPr>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Class A ordinary shares, net</w:t>
            </w:r>
          </w:p>
        </w:tc>
        <w:tc>
          <w:tcPr>
            <w:tcW w:w="3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 offering costs</w:t>
            </w:r>
          </w:p>
        </w:tc>
        <w:tc>
          <w:tcPr>
            <w:tcW w:w="6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Vesting of Class B restricted stock rights</w:t>
            </w:r>
          </w:p>
        </w:tc>
        <w:tc>
          <w:tcPr>
            <w:tcW w:w="3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80" w:type="dxa"/>
            <w:vAlign w:val="bottom"/>
            <w:gridSpan w:val="2"/>
            <w:vMerge w:val="continue"/>
          </w:tcPr>
          <w:p>
            <w:pPr>
              <w:spacing w:after="0"/>
              <w:rPr>
                <w:sz w:val="10"/>
                <w:szCs w:val="10"/>
                <w:color w:val="auto"/>
              </w:rPr>
            </w:pPr>
          </w:p>
        </w:tc>
        <w:tc>
          <w:tcPr>
            <w:tcW w:w="6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right w:val="single" w:sz="8" w:color="auto"/>
            </w:tcBorders>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 shares for</w:t>
            </w:r>
          </w:p>
        </w:tc>
        <w:tc>
          <w:tcPr>
            <w:tcW w:w="3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ordinary shares</w:t>
            </w:r>
          </w:p>
        </w:tc>
        <w:tc>
          <w:tcPr>
            <w:tcW w:w="60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w w:val="96"/>
              </w:rPr>
              <w:t>(454 )</w:t>
            </w: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19 )</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on</w:t>
            </w:r>
          </w:p>
        </w:tc>
        <w:tc>
          <w:tcPr>
            <w:tcW w:w="380" w:type="dxa"/>
            <w:vAlign w:val="bottom"/>
            <w:shd w:val="clear" w:color="auto" w:fill="CFF0FC"/>
          </w:tcPr>
          <w:p>
            <w:pPr>
              <w:spacing w:after="0"/>
              <w:rPr>
                <w:sz w:val="18"/>
                <w:szCs w:val="18"/>
                <w:color w:val="auto"/>
              </w:rPr>
            </w:pP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8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(766 )</w:t>
            </w: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(766 )</w:t>
            </w:r>
          </w:p>
        </w:tc>
        <w:tc>
          <w:tcPr>
            <w:tcW w:w="0" w:type="dxa"/>
            <w:vAlign w:val="bottom"/>
          </w:tcPr>
          <w:p>
            <w:pPr>
              <w:spacing w:after="0"/>
              <w:rPr>
                <w:sz w:val="1"/>
                <w:szCs w:val="1"/>
                <w:color w:val="auto"/>
              </w:rPr>
            </w:pPr>
          </w:p>
        </w:tc>
      </w:tr>
      <w:tr>
        <w:trPr>
          <w:trHeight w:val="211"/>
        </w:trPr>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income on marketable</w:t>
            </w:r>
          </w:p>
        </w:tc>
        <w:tc>
          <w:tcPr>
            <w:tcW w:w="3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48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80" w:type="dxa"/>
            <w:vAlign w:val="bottom"/>
            <w:gridSpan w:val="2"/>
            <w:vMerge w:val="continue"/>
            <w:shd w:val="clear" w:color="auto" w:fill="CFF0FC"/>
          </w:tcPr>
          <w:p>
            <w:pPr>
              <w:spacing w:after="0"/>
              <w:rPr>
                <w:sz w:val="10"/>
                <w:szCs w:val="10"/>
                <w:color w:val="auto"/>
              </w:rPr>
            </w:pPr>
          </w:p>
        </w:tc>
        <w:tc>
          <w:tcPr>
            <w:tcW w:w="60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FF0FC"/>
          </w:tcPr>
          <w:p>
            <w:pPr>
              <w:spacing w:after="0"/>
              <w:rPr>
                <w:sz w:val="10"/>
                <w:szCs w:val="10"/>
                <w:color w:val="auto"/>
              </w:rPr>
            </w:pPr>
          </w:p>
        </w:tc>
        <w:tc>
          <w:tcPr>
            <w:tcW w:w="5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0 )</w:t>
            </w:r>
          </w:p>
        </w:tc>
        <w:tc>
          <w:tcPr>
            <w:tcW w:w="0" w:type="dxa"/>
            <w:vAlign w:val="bottom"/>
          </w:tcPr>
          <w:p>
            <w:pPr>
              <w:spacing w:after="0"/>
              <w:rPr>
                <w:sz w:val="1"/>
                <w:szCs w:val="1"/>
                <w:color w:val="auto"/>
              </w:rPr>
            </w:pPr>
          </w:p>
        </w:tc>
      </w:tr>
      <w:tr>
        <w:trPr>
          <w:trHeight w:val="115"/>
        </w:trPr>
        <w:tc>
          <w:tcPr>
            <w:tcW w:w="3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7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80" w:type="dxa"/>
            <w:vAlign w:val="bottom"/>
            <w:gridSpan w:val="2"/>
          </w:tcPr>
          <w:p>
            <w:pPr>
              <w:ind w:left="33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$ 9,571 )</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1" w:right="6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500" w:type="dxa"/>
            <w:vAlign w:val="bottom"/>
            <w:tcBorders>
              <w:bottom w:val="single" w:sz="8" w:color="auto"/>
            </w:tcBorders>
            <w:gridSpan w:val="15"/>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2023</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Class B Ordinary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220" w:type="dxa"/>
            <w:vAlign w:val="bottom"/>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Additi</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Redeema</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onal</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lders'</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5"/>
              </w:rPr>
              <w:t>ble</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7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w:t>
            </w: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Accu</w:t>
            </w:r>
          </w:p>
        </w:tc>
        <w:tc>
          <w:tcPr>
            <w:tcW w:w="7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Deficit /</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8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Noncontr</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rehens</w:t>
            </w: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mulat</w:t>
            </w: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Membe</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olling</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w:t>
            </w:r>
          </w:p>
        </w:tc>
        <w:tc>
          <w:tcPr>
            <w:tcW w:w="100" w:type="dxa"/>
            <w:vAlign w:val="bottom"/>
          </w:tcPr>
          <w:p>
            <w:pPr>
              <w:spacing w:after="0"/>
              <w:rPr>
                <w:sz w:val="18"/>
                <w:szCs w:val="18"/>
                <w:color w:val="auto"/>
              </w:rPr>
            </w:pPr>
          </w:p>
        </w:tc>
        <w:tc>
          <w:tcPr>
            <w:tcW w:w="6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ive</w:t>
            </w: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ed</w:t>
            </w:r>
          </w:p>
        </w:tc>
        <w:tc>
          <w:tcPr>
            <w:tcW w:w="100" w:type="dxa"/>
            <w:vAlign w:val="bottom"/>
          </w:tcPr>
          <w:p>
            <w:pPr>
              <w:spacing w:after="0"/>
              <w:rPr>
                <w:sz w:val="18"/>
                <w:szCs w:val="18"/>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rs'</w:t>
            </w: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340" w:type="dxa"/>
            <w:vAlign w:val="bottom"/>
            <w:gridSpan w:val="2"/>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nt</w:t>
            </w:r>
          </w:p>
        </w:tc>
        <w:tc>
          <w:tcPr>
            <w:tcW w:w="22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78"/>
              </w:rPr>
              <w:t>l</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00" w:type="dxa"/>
            <w:vAlign w:val="bottom"/>
          </w:tcPr>
          <w:p>
            <w:pPr>
              <w:spacing w:after="0"/>
              <w:rPr>
                <w:sz w:val="21"/>
                <w:szCs w:val="2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00" w:type="dxa"/>
            <w:vAlign w:val="bottom"/>
          </w:tcPr>
          <w:p>
            <w:pPr>
              <w:spacing w:after="0"/>
              <w:rPr>
                <w:sz w:val="21"/>
                <w:szCs w:val="21"/>
                <w:color w:val="auto"/>
              </w:rPr>
            </w:pPr>
          </w:p>
        </w:tc>
        <w:tc>
          <w:tcPr>
            <w:tcW w:w="6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July 1, 2023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30,95</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gridSpan w:val="2"/>
            <w:shd w:val="clear" w:color="auto" w:fill="CFF0FC"/>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(127 )</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$3,108 )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254 )</w:t>
            </w:r>
          </w:p>
        </w:tc>
        <w:tc>
          <w:tcPr>
            <w:tcW w:w="0" w:type="dxa"/>
            <w:vAlign w:val="bottom"/>
          </w:tcPr>
          <w:p>
            <w:pPr>
              <w:spacing w:after="0"/>
              <w:rPr>
                <w:sz w:val="1"/>
                <w:szCs w:val="1"/>
                <w:color w:val="auto"/>
              </w:rPr>
            </w:pPr>
          </w:p>
        </w:tc>
      </w:tr>
      <w:tr>
        <w:trPr>
          <w:trHeight w:val="211"/>
        </w:trPr>
        <w:tc>
          <w:tcPr>
            <w:tcW w:w="33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360" w:type="dxa"/>
            <w:vAlign w:val="bottom"/>
            <w:gridSpan w:val="2"/>
            <w:vMerge w:val="continue"/>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10,365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Vesting of Class B restricted stock</w:t>
            </w: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rights</w:t>
            </w: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 shares for</w:t>
            </w: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Class A ordinary shares</w:t>
            </w: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(5,069 )</w:t>
            </w: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on</w:t>
            </w: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right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9"/>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36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360" w:type="dxa"/>
            <w:vAlign w:val="bottom"/>
            <w:gridSpan w:val="2"/>
            <w:vMerge w:val="continue"/>
            <w:shd w:val="clear" w:color="auto" w:fill="CFF0FC"/>
          </w:tcPr>
          <w:p>
            <w:pPr>
              <w:spacing w:after="0"/>
              <w:rPr>
                <w:sz w:val="10"/>
                <w:szCs w:val="10"/>
                <w:color w:val="auto"/>
              </w:rPr>
            </w:pPr>
          </w:p>
        </w:tc>
        <w:tc>
          <w:tcPr>
            <w:tcW w:w="86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(31,007 )</w:t>
            </w:r>
          </w:p>
        </w:tc>
        <w:tc>
          <w:tcPr>
            <w:tcW w:w="10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121"/>
        </w:trPr>
        <w:tc>
          <w:tcPr>
            <w:tcW w:w="3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tcBorders>
              <w:right w:val="single" w:sz="8" w:color="auto"/>
            </w:tcBorders>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38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20" w:type="dxa"/>
            <w:vAlign w:val="bottom"/>
            <w:gridSpan w:val="2"/>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7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spacing w:after="0"/>
              <w:rPr>
                <w:sz w:val="20"/>
                <w:szCs w:val="20"/>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1,520,8</w:t>
            </w:r>
          </w:p>
        </w:tc>
        <w:tc>
          <w:tcPr>
            <w:tcW w:w="240" w:type="dxa"/>
            <w:vAlign w:val="bottom"/>
            <w:tcBorders>
              <w:right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41,36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right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(64 )</w:t>
            </w: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9"/>
              </w:rPr>
              <w:t>$3,962 )</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637 )</w:t>
            </w:r>
          </w:p>
        </w:tc>
        <w:tc>
          <w:tcPr>
            <w:tcW w:w="0" w:type="dxa"/>
            <w:vAlign w:val="bottom"/>
          </w:tcPr>
          <w:p>
            <w:pPr>
              <w:spacing w:after="0"/>
              <w:rPr>
                <w:sz w:val="1"/>
                <w:szCs w:val="1"/>
                <w:color w:val="auto"/>
              </w:rPr>
            </w:pPr>
          </w:p>
        </w:tc>
      </w:tr>
      <w:tr>
        <w:trPr>
          <w:trHeight w:val="20"/>
        </w:trPr>
        <w:tc>
          <w:tcPr>
            <w:tcW w:w="3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-24765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2532380</wp:posOffset>
            </wp:positionH>
            <wp:positionV relativeFrom="paragraph">
              <wp:posOffset>-7620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-24765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3132455</wp:posOffset>
            </wp:positionH>
            <wp:positionV relativeFrom="paragraph">
              <wp:posOffset>-7620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-24765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3603625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-24765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4135120</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-24765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5129530</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5626735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-24765</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6098540</wp:posOffset>
            </wp:positionH>
            <wp:positionV relativeFrom="paragraph">
              <wp:posOffset>-7620</wp:posOffset>
            </wp:positionV>
            <wp:extent cx="596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-24765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6647180</wp:posOffset>
            </wp:positionH>
            <wp:positionV relativeFrom="paragraph">
              <wp:posOffset>-7620</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981" w:right="6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13"/>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220" w:type="dxa"/>
            <w:vAlign w:val="bottom"/>
          </w:tcPr>
          <w:p>
            <w:pPr>
              <w:spacing w:after="0"/>
              <w:rPr>
                <w:sz w:val="24"/>
                <w:szCs w:val="24"/>
                <w:color w:val="auto"/>
              </w:rPr>
            </w:pPr>
          </w:p>
        </w:tc>
        <w:tc>
          <w:tcPr>
            <w:tcW w:w="17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4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Redee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mable</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Nonco</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ulated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ntrolli</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right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4"/>
              </w:rPr>
              <w:t>ng</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nal</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Compr</w:t>
            </w:r>
          </w:p>
        </w:tc>
        <w:tc>
          <w:tcPr>
            <w:tcW w:w="200" w:type="dxa"/>
            <w:vAlign w:val="bottom"/>
          </w:tcPr>
          <w:p>
            <w:pPr>
              <w:spacing w:after="0"/>
              <w:rPr>
                <w:sz w:val="18"/>
                <w:szCs w:val="18"/>
                <w:color w:val="auto"/>
              </w:rPr>
            </w:pP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7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Shareh</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800" w:type="dxa"/>
            <w:vAlign w:val="bottom"/>
            <w:tcBorders>
              <w:right w:val="single" w:sz="8" w:color="auto"/>
            </w:tcBorders>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Interes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ehensiv</w:t>
            </w:r>
          </w:p>
        </w:tc>
        <w:tc>
          <w:tcPr>
            <w:tcW w:w="200" w:type="dxa"/>
            <w:vAlign w:val="bottom"/>
          </w:tcPr>
          <w:p>
            <w:pPr>
              <w:spacing w:after="0"/>
              <w:rPr>
                <w:sz w:val="18"/>
                <w:szCs w:val="18"/>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olders'</w:t>
            </w:r>
          </w:p>
        </w:tc>
        <w:tc>
          <w:tcPr>
            <w:tcW w:w="0" w:type="dxa"/>
            <w:vAlign w:val="bottom"/>
          </w:tcPr>
          <w:p>
            <w:pPr>
              <w:spacing w:after="0"/>
              <w:rPr>
                <w:sz w:val="1"/>
                <w:szCs w:val="1"/>
                <w:color w:val="auto"/>
              </w:rPr>
            </w:pPr>
          </w:p>
        </w:tc>
      </w:tr>
      <w:tr>
        <w:trPr>
          <w:trHeight w:val="245"/>
        </w:trPr>
        <w:tc>
          <w:tcPr>
            <w:tcW w:w="35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w:t>
            </w:r>
          </w:p>
        </w:tc>
        <w:tc>
          <w:tcPr>
            <w:tcW w:w="2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nt</w:t>
            </w:r>
          </w:p>
        </w:tc>
        <w:tc>
          <w:tcPr>
            <w:tcW w:w="22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w:t>
            </w:r>
          </w:p>
        </w:tc>
        <w:tc>
          <w:tcPr>
            <w:tcW w:w="220" w:type="dxa"/>
            <w:vAlign w:val="bottom"/>
          </w:tcPr>
          <w:p>
            <w:pPr>
              <w:spacing w:after="0"/>
              <w:rPr>
                <w:sz w:val="21"/>
                <w:szCs w:val="21"/>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 Loss</w:t>
            </w:r>
          </w:p>
        </w:tc>
        <w:tc>
          <w:tcPr>
            <w:tcW w:w="200" w:type="dxa"/>
            <w:vAlign w:val="bottom"/>
          </w:tcPr>
          <w:p>
            <w:pPr>
              <w:spacing w:after="0"/>
              <w:rPr>
                <w:sz w:val="21"/>
                <w:szCs w:val="21"/>
                <w:color w:val="auto"/>
              </w:rPr>
            </w:pPr>
          </w:p>
        </w:tc>
        <w:tc>
          <w:tcPr>
            <w:tcW w:w="6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6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8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1,494</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(1,139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7,916</w:t>
            </w:r>
          </w:p>
        </w:tc>
        <w:tc>
          <w:tcPr>
            <w:tcW w:w="220" w:type="dxa"/>
            <w:vAlign w:val="bottom"/>
            <w:shd w:val="clear" w:color="auto" w:fill="CFF0FC"/>
          </w:tcPr>
          <w:p>
            <w:pPr>
              <w:spacing w:after="0"/>
              <w:rPr>
                <w:sz w:val="10"/>
                <w:szCs w:val="10"/>
                <w:color w:val="auto"/>
              </w:rPr>
            </w:pPr>
          </w:p>
        </w:tc>
        <w:tc>
          <w:tcPr>
            <w:tcW w:w="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FF0FC"/>
          </w:tcPr>
          <w:p>
            <w:pPr>
              <w:spacing w:after="0"/>
              <w:rPr>
                <w:sz w:val="10"/>
                <w:szCs w:val="10"/>
                <w:color w:val="auto"/>
              </w:rPr>
            </w:pPr>
          </w:p>
        </w:tc>
        <w:tc>
          <w:tcPr>
            <w:tcW w:w="2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,663 )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396 )</w:t>
            </w:r>
          </w:p>
        </w:tc>
        <w:tc>
          <w:tcPr>
            <w:tcW w:w="0" w:type="dxa"/>
            <w:vAlign w:val="bottom"/>
          </w:tcPr>
          <w:p>
            <w:pPr>
              <w:spacing w:after="0"/>
              <w:rPr>
                <w:sz w:val="1"/>
                <w:szCs w:val="1"/>
                <w:color w:val="auto"/>
              </w:rPr>
            </w:pPr>
          </w:p>
        </w:tc>
      </w:tr>
      <w:tr>
        <w:trPr>
          <w:trHeight w:val="122"/>
        </w:trPr>
        <w:tc>
          <w:tcPr>
            <w:tcW w:w="358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440" w:type="dxa"/>
            <w:vAlign w:val="bottom"/>
            <w:vMerge w:val="continue"/>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400" w:type="dxa"/>
            <w:vAlign w:val="bottom"/>
            <w:gridSpan w:val="2"/>
            <w:vMerge w:val="continue"/>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vMerge w:val="continue"/>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50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340" w:type="dxa"/>
            <w:vAlign w:val="bottom"/>
            <w:gridSpan w:val="2"/>
            <w:vMerge w:val="continue"/>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100" w:type="dxa"/>
            <w:vAlign w:val="bottom"/>
            <w:vMerge w:val="continue"/>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3,865</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18,559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Class A ordinary shares, net of</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62,087,</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offering costs</w:t>
            </w:r>
          </w:p>
        </w:tc>
        <w:tc>
          <w:tcPr>
            <w:tcW w:w="12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Vesting of Class B restricted stock rights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3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 shares for</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ordinary shares</w:t>
            </w:r>
          </w:p>
        </w:tc>
        <w:tc>
          <w:tcPr>
            <w:tcW w:w="120" w:type="dxa"/>
            <w:vAlign w:val="bottom"/>
            <w:shd w:val="clear" w:color="auto" w:fill="CFF0FC"/>
          </w:tcPr>
          <w:p>
            <w:pPr>
              <w:spacing w:after="0"/>
              <w:rPr>
                <w:sz w:val="21"/>
                <w:szCs w:val="21"/>
                <w:color w:val="auto"/>
              </w:rPr>
            </w:pPr>
          </w:p>
        </w:tc>
        <w:tc>
          <w:tcPr>
            <w:tcW w:w="68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442 )</w:t>
            </w: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on redeemable</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(14,83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9 )</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9"/>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8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(39,90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58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tcBorders>
              <w:right w:val="single" w:sz="8" w:color="auto"/>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120" w:type="dxa"/>
            <w:vAlign w:val="bottom"/>
            <w:shd w:val="clear" w:color="auto" w:fill="CFF0FC"/>
          </w:tcPr>
          <w:p>
            <w:pPr>
              <w:spacing w:after="0"/>
              <w:rPr>
                <w:sz w:val="10"/>
                <w:szCs w:val="10"/>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64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0"/>
                <w:szCs w:val="10"/>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FF0FC"/>
          </w:tcPr>
          <w:p>
            <w:pPr>
              <w:spacing w:after="0"/>
              <w:rPr>
                <w:sz w:val="10"/>
                <w:szCs w:val="10"/>
                <w:color w:val="auto"/>
              </w:rPr>
            </w:pPr>
          </w:p>
        </w:tc>
        <w:tc>
          <w:tcPr>
            <w:tcW w:w="6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21"/>
        </w:trPr>
        <w:tc>
          <w:tcPr>
            <w:tcW w:w="3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tcBorders>
              <w:right w:val="single" w:sz="8" w:color="auto"/>
            </w:tcBorders>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4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4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0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1,423</w:t>
            </w: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127,92</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163,74</w:t>
            </w: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199,5</w:t>
            </w:r>
          </w:p>
        </w:tc>
        <w:tc>
          <w:tcPr>
            <w:tcW w:w="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(1,179</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(979,7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580" w:type="dxa"/>
            <w:vAlign w:val="bottom"/>
            <w:vMerge w:val="continue"/>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0,274</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12"/>
                <w:szCs w:val="12"/>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101"/>
        </w:trPr>
        <w:tc>
          <w:tcPr>
            <w:tcW w:w="35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and Shareholders’ Deficit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300" w:type="dxa"/>
            <w:vAlign w:val="bottom"/>
            <w:tcBorders>
              <w:bottom w:val="single" w:sz="8" w:color="auto"/>
            </w:tcBorders>
            <w:gridSpan w:val="1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2023</w:t>
            </w:r>
          </w:p>
        </w:tc>
        <w:tc>
          <w:tcPr>
            <w:tcW w:w="5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A Ordinary</w:t>
            </w:r>
          </w:p>
        </w:tc>
        <w:tc>
          <w:tcPr>
            <w:tcW w:w="240" w:type="dxa"/>
            <w:vAlign w:val="bottom"/>
          </w:tcPr>
          <w:p>
            <w:pPr>
              <w:spacing w:after="0"/>
              <w:rPr>
                <w:sz w:val="18"/>
                <w:szCs w:val="18"/>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Class B Ordinary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Additi</w:t>
            </w: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Redeema</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onal</w:t>
            </w:r>
          </w:p>
        </w:tc>
        <w:tc>
          <w:tcPr>
            <w:tcW w:w="220" w:type="dxa"/>
            <w:vAlign w:val="bottom"/>
          </w:tcPr>
          <w:p>
            <w:pPr>
              <w:spacing w:after="0"/>
              <w:rPr>
                <w:sz w:val="18"/>
                <w:szCs w:val="18"/>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ble</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Paid-</w:t>
            </w:r>
          </w:p>
        </w:tc>
        <w:tc>
          <w:tcPr>
            <w:tcW w:w="220" w:type="dxa"/>
            <w:vAlign w:val="bottom"/>
          </w:tcPr>
          <w:p>
            <w:pPr>
              <w:spacing w:after="0"/>
              <w:rPr>
                <w:sz w:val="18"/>
                <w:szCs w:val="18"/>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w:t>
            </w: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1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Noncontr</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2"/>
              </w:rPr>
              <w:t>in</w:t>
            </w:r>
          </w:p>
        </w:tc>
        <w:tc>
          <w:tcPr>
            <w:tcW w:w="220" w:type="dxa"/>
            <w:vAlign w:val="bottom"/>
          </w:tcPr>
          <w:p>
            <w:pPr>
              <w:spacing w:after="0"/>
              <w:rPr>
                <w:sz w:val="18"/>
                <w:szCs w:val="18"/>
                <w:color w:val="auto"/>
              </w:rPr>
            </w:pPr>
          </w:p>
        </w:tc>
        <w:tc>
          <w:tcPr>
            <w:tcW w:w="8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ehensi</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Accum</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olling</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w:t>
            </w:r>
          </w:p>
        </w:tc>
        <w:tc>
          <w:tcPr>
            <w:tcW w:w="220" w:type="dxa"/>
            <w:vAlign w:val="bottom"/>
          </w:tcPr>
          <w:p>
            <w:pPr>
              <w:spacing w:after="0"/>
              <w:rPr>
                <w:sz w:val="18"/>
                <w:szCs w:val="18"/>
                <w:color w:val="auto"/>
              </w:rPr>
            </w:pP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Capita</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ve</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ulated</w:t>
            </w:r>
          </w:p>
        </w:tc>
        <w:tc>
          <w:tcPr>
            <w:tcW w:w="1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ers'</w:t>
            </w:r>
          </w:p>
        </w:tc>
        <w:tc>
          <w:tcPr>
            <w:tcW w:w="0" w:type="dxa"/>
            <w:vAlign w:val="bottom"/>
          </w:tcPr>
          <w:p>
            <w:pPr>
              <w:spacing w:after="0"/>
              <w:rPr>
                <w:sz w:val="1"/>
                <w:szCs w:val="1"/>
                <w:color w:val="auto"/>
              </w:rPr>
            </w:pPr>
          </w:p>
        </w:tc>
      </w:tr>
      <w:tr>
        <w:trPr>
          <w:trHeight w:val="245"/>
        </w:trPr>
        <w:tc>
          <w:tcPr>
            <w:tcW w:w="3420" w:type="dxa"/>
            <w:vAlign w:val="bottom"/>
          </w:tcPr>
          <w:p>
            <w:pPr>
              <w:spacing w:after="0"/>
              <w:rPr>
                <w:sz w:val="21"/>
                <w:szCs w:val="21"/>
                <w:color w:val="auto"/>
              </w:rPr>
            </w:pPr>
          </w:p>
        </w:tc>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360" w:type="dxa"/>
            <w:vAlign w:val="bottom"/>
            <w:gridSpan w:val="2"/>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nt</w:t>
            </w:r>
          </w:p>
        </w:tc>
        <w:tc>
          <w:tcPr>
            <w:tcW w:w="240" w:type="dxa"/>
            <w:vAlign w:val="bottom"/>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nt</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78"/>
              </w:rPr>
              <w:t>l</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20" w:type="dxa"/>
            <w:vAlign w:val="bottom"/>
          </w:tcPr>
          <w:p>
            <w:pPr>
              <w:spacing w:after="0"/>
              <w:rPr>
                <w:sz w:val="21"/>
                <w:szCs w:val="21"/>
                <w:color w:val="auto"/>
              </w:rPr>
            </w:pPr>
          </w:p>
        </w:tc>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4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 2023</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1,601,5</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61,540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171,57</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(1,096,61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20" w:type="dxa"/>
            <w:vAlign w:val="bottom"/>
            <w:vMerge w:val="continue"/>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340" w:type="dxa"/>
            <w:vAlign w:val="bottom"/>
            <w:gridSpan w:val="2"/>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$ 4,116 )</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121"/>
        </w:trPr>
        <w:tc>
          <w:tcPr>
            <w:tcW w:w="3420" w:type="dxa"/>
            <w:vAlign w:val="bottom"/>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24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vMerge w:val="continue"/>
            <w:shd w:val="clear" w:color="auto" w:fill="CFF0FC"/>
          </w:tcPr>
          <w:p>
            <w:pPr>
              <w:spacing w:after="0"/>
              <w:rPr>
                <w:sz w:val="10"/>
                <w:szCs w:val="10"/>
                <w:color w:val="auto"/>
              </w:rPr>
            </w:pPr>
          </w:p>
        </w:tc>
        <w:tc>
          <w:tcPr>
            <w:tcW w:w="400" w:type="dxa"/>
            <w:vAlign w:val="bottom"/>
            <w:gridSpan w:val="2"/>
            <w:vMerge w:val="continue"/>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90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400" w:type="dxa"/>
            <w:vAlign w:val="bottom"/>
            <w:vMerge w:val="continue"/>
            <w:shd w:val="clear" w:color="auto" w:fill="CFF0FC"/>
          </w:tcPr>
          <w:p>
            <w:pPr>
              <w:spacing w:after="0"/>
              <w:rPr>
                <w:sz w:val="10"/>
                <w:szCs w:val="10"/>
                <w:color w:val="auto"/>
              </w:rPr>
            </w:pPr>
          </w:p>
        </w:tc>
        <w:tc>
          <w:tcPr>
            <w:tcW w:w="320" w:type="dxa"/>
            <w:vAlign w:val="bottom"/>
            <w:gridSpan w:val="2"/>
            <w:vMerge w:val="continue"/>
            <w:shd w:val="clear" w:color="auto" w:fill="CFF0FC"/>
          </w:tcPr>
          <w:p>
            <w:pPr>
              <w:spacing w:after="0"/>
              <w:rPr>
                <w:sz w:val="10"/>
                <w:szCs w:val="10"/>
                <w:color w:val="auto"/>
              </w:rPr>
            </w:pPr>
          </w:p>
        </w:tc>
        <w:tc>
          <w:tcPr>
            <w:tcW w:w="480" w:type="dxa"/>
            <w:vAlign w:val="bottom"/>
            <w:vMerge w:val="continue"/>
            <w:shd w:val="clear" w:color="auto" w:fill="CFF0FC"/>
          </w:tcPr>
          <w:p>
            <w:pPr>
              <w:spacing w:after="0"/>
              <w:rPr>
                <w:sz w:val="10"/>
                <w:szCs w:val="10"/>
                <w:color w:val="auto"/>
              </w:rPr>
            </w:pPr>
          </w:p>
        </w:tc>
        <w:tc>
          <w:tcPr>
            <w:tcW w:w="340" w:type="dxa"/>
            <w:vAlign w:val="bottom"/>
            <w:gridSpan w:val="2"/>
            <w:vMerge w:val="continue"/>
            <w:shd w:val="clear" w:color="auto" w:fill="CFF0FC"/>
          </w:tcPr>
          <w:p>
            <w:pPr>
              <w:spacing w:after="0"/>
              <w:rPr>
                <w:sz w:val="10"/>
                <w:szCs w:val="10"/>
                <w:color w:val="auto"/>
              </w:rPr>
            </w:pPr>
          </w:p>
        </w:tc>
        <w:tc>
          <w:tcPr>
            <w:tcW w:w="680" w:type="dxa"/>
            <w:vAlign w:val="bottom"/>
            <w:gridSpan w:val="2"/>
            <w:vMerge w:val="continue"/>
            <w:shd w:val="clear" w:color="auto" w:fill="CFF0FC"/>
          </w:tcPr>
          <w:p>
            <w:pPr>
              <w:spacing w:after="0"/>
              <w:rPr>
                <w:sz w:val="10"/>
                <w:szCs w:val="10"/>
                <w:color w:val="auto"/>
              </w:rPr>
            </w:pPr>
          </w:p>
        </w:tc>
        <w:tc>
          <w:tcPr>
            <w:tcW w:w="800" w:type="dxa"/>
            <w:vAlign w:val="bottom"/>
            <w:gridSpan w:val="2"/>
            <w:vMerge w:val="continue"/>
            <w:shd w:val="clear" w:color="auto" w:fill="CFF0FC"/>
          </w:tcPr>
          <w:p>
            <w:pPr>
              <w:spacing w:after="0"/>
              <w:rPr>
                <w:sz w:val="10"/>
                <w:szCs w:val="10"/>
                <w:color w:val="auto"/>
              </w:rPr>
            </w:pPr>
          </w:p>
        </w:tc>
        <w:tc>
          <w:tcPr>
            <w:tcW w:w="120" w:type="dxa"/>
            <w:vAlign w:val="bottom"/>
            <w:vMerge w:val="continue"/>
            <w:shd w:val="clear" w:color="auto" w:fill="CFF0FC"/>
          </w:tcPr>
          <w:p>
            <w:pPr>
              <w:spacing w:after="0"/>
              <w:rPr>
                <w:sz w:val="10"/>
                <w:szCs w:val="10"/>
                <w:color w:val="auto"/>
              </w:rPr>
            </w:pPr>
          </w:p>
        </w:tc>
        <w:tc>
          <w:tcPr>
            <w:tcW w:w="82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2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29,368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Issuance of Class A ordinary shares</w:t>
            </w:r>
          </w:p>
        </w:tc>
        <w:tc>
          <w:tcPr>
            <w:tcW w:w="120" w:type="dxa"/>
            <w:vAlign w:val="bottom"/>
            <w:shd w:val="clear" w:color="auto" w:fill="CFF0FC"/>
          </w:tcPr>
          <w:p>
            <w:pPr>
              <w:spacing w:after="0"/>
              <w:rPr>
                <w:sz w:val="21"/>
                <w:szCs w:val="21"/>
                <w:color w:val="auto"/>
              </w:rPr>
            </w:pPr>
          </w:p>
        </w:tc>
        <w:tc>
          <w:tcPr>
            <w:tcW w:w="880" w:type="dxa"/>
            <w:vAlign w:val="bottom"/>
            <w:tcBorders>
              <w:right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Vesting of Class B restricted stock rights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of Class B shares for Class A</w:t>
            </w: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ordinary shares</w:t>
            </w:r>
          </w:p>
        </w:tc>
        <w:tc>
          <w:tcPr>
            <w:tcW w:w="120" w:type="dxa"/>
            <w:vAlign w:val="bottom"/>
            <w:shd w:val="clear" w:color="auto" w:fill="CFF0FC"/>
          </w:tcPr>
          <w:p>
            <w:pPr>
              <w:spacing w:after="0"/>
              <w:rPr>
                <w:sz w:val="21"/>
                <w:szCs w:val="21"/>
                <w:color w:val="auto"/>
              </w:rPr>
            </w:pPr>
          </w:p>
        </w:tc>
        <w:tc>
          <w:tcPr>
            <w:tcW w:w="88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(5,069 )</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on</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(4,457 )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20" w:type="dxa"/>
            <w:vAlign w:val="bottom"/>
            <w:shd w:val="clear" w:color="auto" w:fill="CFF0FC"/>
          </w:tcPr>
          <w:p>
            <w:pPr>
              <w:spacing w:after="0"/>
              <w:rPr>
                <w:sz w:val="21"/>
                <w:szCs w:val="21"/>
                <w:color w:val="auto"/>
              </w:rPr>
            </w:pPr>
          </w:p>
        </w:tc>
        <w:tc>
          <w:tcPr>
            <w:tcW w:w="880" w:type="dxa"/>
            <w:vAlign w:val="bottom"/>
            <w:tcBorders>
              <w:right w:val="single" w:sz="8" w:color="auto"/>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(180 )</w:t>
            </w: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11"/>
        </w:trPr>
        <w:tc>
          <w:tcPr>
            <w:tcW w:w="3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(83,956 )</w:t>
            </w:r>
          </w:p>
        </w:tc>
        <w:tc>
          <w:tcPr>
            <w:tcW w:w="12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0"/>
                <w:szCs w:val="10"/>
                <w:color w:val="auto"/>
              </w:rPr>
            </w:pP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0"/>
                <w:szCs w:val="10"/>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(29,767 )</w:t>
            </w:r>
          </w:p>
        </w:tc>
        <w:tc>
          <w:tcPr>
            <w:tcW w:w="0" w:type="dxa"/>
            <w:vAlign w:val="bottom"/>
          </w:tcPr>
          <w:p>
            <w:pPr>
              <w:spacing w:after="0"/>
              <w:rPr>
                <w:sz w:val="1"/>
                <w:szCs w:val="1"/>
                <w:color w:val="auto"/>
              </w:rPr>
            </w:pPr>
          </w:p>
        </w:tc>
      </w:tr>
      <w:tr>
        <w:trPr>
          <w:trHeight w:val="115"/>
        </w:trPr>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w:t>
            </w:r>
          </w:p>
        </w:tc>
        <w:tc>
          <w:tcPr>
            <w:tcW w:w="12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tcBorders>
              <w:right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FF0FC"/>
          </w:tcPr>
          <w:p>
            <w:pPr>
              <w:spacing w:after="0"/>
              <w:rPr>
                <w:sz w:val="18"/>
                <w:szCs w:val="18"/>
                <w:color w:val="auto"/>
              </w:rPr>
            </w:pPr>
          </w:p>
        </w:tc>
        <w:tc>
          <w:tcPr>
            <w:tcW w:w="8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(79 )</w:t>
            </w:r>
          </w:p>
        </w:tc>
        <w:tc>
          <w:tcPr>
            <w:tcW w:w="120" w:type="dxa"/>
            <w:vAlign w:val="bottom"/>
            <w:shd w:val="clear" w:color="auto" w:fill="CFF0FC"/>
          </w:tcPr>
          <w:p>
            <w:pPr>
              <w:spacing w:after="0"/>
              <w:rPr>
                <w:sz w:val="18"/>
                <w:szCs w:val="18"/>
                <w:color w:val="auto"/>
              </w:rPr>
            </w:pPr>
          </w:p>
        </w:tc>
        <w:tc>
          <w:tcPr>
            <w:tcW w:w="8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34"/>
        </w:trPr>
        <w:tc>
          <w:tcPr>
            <w:tcW w:w="3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240" w:type="dxa"/>
            <w:vAlign w:val="bottom"/>
            <w:tcBorders>
              <w:right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0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20" w:type="dxa"/>
            <w:vAlign w:val="bottom"/>
            <w:tcBorders>
              <w:top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2023</w:t>
            </w: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1,520,8</w:t>
            </w:r>
          </w:p>
        </w:tc>
        <w:tc>
          <w:tcPr>
            <w:tcW w:w="240" w:type="dxa"/>
            <w:vAlign w:val="bottom"/>
            <w:tcBorders>
              <w:top w:val="single" w:sz="8" w:color="CFF0FC"/>
              <w:right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61,595</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173,83</w:t>
            </w: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41,36</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8"/>
              </w:rPr>
              <w:t>(1,092,63</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420" w:type="dxa"/>
            <w:vAlign w:val="bottom"/>
            <w:vMerge w:val="continue"/>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9,330</w:t>
            </w:r>
          </w:p>
        </w:tc>
        <w:tc>
          <w:tcPr>
            <w:tcW w:w="20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(64 )</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w w:val="99"/>
              </w:rPr>
              <w:t>$ 3,962 )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102"/>
        </w:trPr>
        <w:tc>
          <w:tcPr>
            <w:tcW w:w="342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-325120</wp:posOffset>
            </wp:positionV>
            <wp:extent cx="768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-325120</wp:posOffset>
            </wp:positionV>
            <wp:extent cx="77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-325120</wp:posOffset>
            </wp:positionV>
            <wp:extent cx="7683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-325120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-325120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-325120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-325120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-325120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50"/>
        </w:trPr>
        <w:tc>
          <w:tcPr>
            <w:tcW w:w="7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(114,852 )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(113,723 )</w:t>
            </w:r>
          </w:p>
        </w:tc>
        <w:tc>
          <w:tcPr>
            <w:tcW w:w="0" w:type="dxa"/>
            <w:vAlign w:val="bottom"/>
          </w:tcPr>
          <w:p>
            <w:pPr>
              <w:spacing w:after="0"/>
              <w:rPr>
                <w:sz w:val="1"/>
                <w:szCs w:val="1"/>
                <w:color w:val="auto"/>
              </w:rPr>
            </w:pPr>
          </w:p>
        </w:tc>
      </w:tr>
      <w:tr>
        <w:trPr>
          <w:trHeight w:val="215"/>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before noncontrolling interest to net cash flows used</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6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operating activities: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marketable securities, net</w:t>
            </w:r>
          </w:p>
        </w:tc>
        <w:tc>
          <w:tcPr>
            <w:tcW w:w="2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(5,521 )</w:t>
            </w: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(3,675 )</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5,324</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disposal of equipment</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(3,728 )</w:t>
            </w: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(714 )</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and other assets</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(8,489 )</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(114 )</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(1,268 )</w:t>
            </w: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(102,180 )</w:t>
            </w: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(64,685 )</w:t>
            </w:r>
          </w:p>
        </w:tc>
        <w:tc>
          <w:tcPr>
            <w:tcW w:w="0" w:type="dxa"/>
            <w:vAlign w:val="bottom"/>
          </w:tcPr>
          <w:p>
            <w:pPr>
              <w:spacing w:after="0"/>
              <w:rPr>
                <w:sz w:val="1"/>
                <w:szCs w:val="1"/>
                <w:color w:val="auto"/>
              </w:rPr>
            </w:pPr>
          </w:p>
        </w:tc>
      </w:tr>
      <w:tr>
        <w:trPr>
          <w:trHeight w:val="252"/>
        </w:trPr>
        <w:tc>
          <w:tcPr>
            <w:tcW w:w="7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(277,291 )</w:t>
            </w: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(301,701 )</w:t>
            </w:r>
          </w:p>
        </w:tc>
        <w:tc>
          <w:tcPr>
            <w:tcW w:w="0" w:type="dxa"/>
            <w:vAlign w:val="bottom"/>
          </w:tcPr>
          <w:p>
            <w:pPr>
              <w:spacing w:after="0"/>
              <w:rPr>
                <w:sz w:val="1"/>
                <w:szCs w:val="1"/>
                <w:color w:val="auto"/>
              </w:rPr>
            </w:pPr>
          </w:p>
        </w:tc>
      </w:tr>
      <w:tr>
        <w:trPr>
          <w:trHeight w:val="247"/>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286,625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equipment and facility expansion</w:t>
            </w:r>
          </w:p>
        </w:tc>
        <w:tc>
          <w:tcPr>
            <w:tcW w:w="2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(4,000 )</w:t>
            </w: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(32,625 )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(234,139 )</w:t>
            </w:r>
          </w:p>
        </w:tc>
        <w:tc>
          <w:tcPr>
            <w:tcW w:w="0" w:type="dxa"/>
            <w:vAlign w:val="bottom"/>
          </w:tcPr>
          <w:p>
            <w:pPr>
              <w:spacing w:after="0"/>
              <w:rPr>
                <w:sz w:val="1"/>
                <w:szCs w:val="1"/>
                <w:color w:val="auto"/>
              </w:rPr>
            </w:pPr>
          </w:p>
        </w:tc>
      </w:tr>
      <w:tr>
        <w:trPr>
          <w:trHeight w:val="47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sales of Class A ordinary shares, net of offering costs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144,325</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finance leases</w:t>
            </w:r>
          </w:p>
        </w:tc>
        <w:tc>
          <w:tcPr>
            <w:tcW w:w="2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(40 )</w:t>
            </w:r>
          </w:p>
        </w:tc>
        <w:tc>
          <w:tcPr>
            <w:tcW w:w="36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26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144,285</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479"/>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(298,863 )</w:t>
            </w:r>
          </w:p>
        </w:tc>
        <w:tc>
          <w:tcPr>
            <w:tcW w:w="0" w:type="dxa"/>
            <w:vAlign w:val="bottom"/>
          </w:tcPr>
          <w:p>
            <w:pPr>
              <w:spacing w:after="0"/>
              <w:rPr>
                <w:sz w:val="1"/>
                <w:szCs w:val="1"/>
                <w:color w:val="auto"/>
              </w:rPr>
            </w:pPr>
          </w:p>
        </w:tc>
      </w:tr>
      <w:tr>
        <w:trPr>
          <w:trHeight w:val="245"/>
        </w:trPr>
        <w:tc>
          <w:tcPr>
            <w:tcW w:w="7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beginning of period</w:t>
            </w:r>
          </w:p>
        </w:tc>
        <w:tc>
          <w:tcPr>
            <w:tcW w:w="2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60,649</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490,252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108,088</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of Class B ordinary shares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15,357</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7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Impact of equity transactions and compensation on redeemable noncontrolling interest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18,748</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redemption value of noncontrolling interest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620" w:type="dxa"/>
            <w:vAlign w:val="bottom"/>
            <w:tcBorders>
              <w:top w:val="single" w:sz="8" w:color="CFF0FC"/>
            </w:tcBorders>
          </w:tcPr>
          <w:p>
            <w:pPr>
              <w:ind w:left="200"/>
              <w:spacing w:after="0" w:line="196" w:lineRule="exact"/>
              <w:rPr>
                <w:sz w:val="20"/>
                <w:szCs w:val="20"/>
                <w:color w:val="auto"/>
              </w:rPr>
            </w:pPr>
            <w:r>
              <w:rPr>
                <w:rFonts w:ascii="Times New Roman" w:cs="Times New Roman" w:eastAsia="Times New Roman" w:hAnsi="Times New Roman"/>
                <w:sz w:val="18"/>
                <w:szCs w:val="18"/>
                <w:color w:val="auto"/>
              </w:rPr>
              <w:t>Equipment and facility expansion included in accounts payable and</w:t>
            </w:r>
          </w:p>
        </w:tc>
        <w:tc>
          <w:tcPr>
            <w:tcW w:w="2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-3848100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-3848100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-1508125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-676275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-659130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-316230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-299085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ProKidney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Description of Business and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right="160" w:firstLine="524"/>
        <w:spacing w:after="0" w:line="266" w:lineRule="auto"/>
        <w:rPr>
          <w:sz w:val="20"/>
          <w:szCs w:val="20"/>
          <w:color w:val="auto"/>
        </w:rPr>
      </w:pPr>
      <w:r>
        <w:rPr>
          <w:rFonts w:ascii="Times New Roman" w:cs="Times New Roman" w:eastAsia="Times New Roman" w:hAnsi="Times New Roman"/>
          <w:sz w:val="18"/>
          <w:szCs w:val="18"/>
          <w:color w:val="auto"/>
        </w:rPr>
        <w:t>ProKidney Corp. (the “Company” or “ProKidney”) was originally incorporated as Social Capital Suvretta Holdings Corp. III (“SCS”). SCS was a blank check company incorporated as a Cayman Islands exempted company on February 25, 2021. SCS was incorporated for the purpose of effecting a merger, share exchange, asset acquisition, share purchase, reorganization or similar business combination with one or more businesses.</w:t>
      </w:r>
    </w:p>
    <w:p>
      <w:pPr>
        <w:spacing w:after="0" w:line="68" w:lineRule="exact"/>
        <w:rPr>
          <w:sz w:val="20"/>
          <w:szCs w:val="20"/>
          <w:color w:val="auto"/>
        </w:rPr>
      </w:pPr>
    </w:p>
    <w:p>
      <w:pPr>
        <w:ind w:right="40" w:firstLine="524"/>
        <w:spacing w:after="0" w:line="256" w:lineRule="auto"/>
        <w:rPr>
          <w:sz w:val="20"/>
          <w:szCs w:val="20"/>
          <w:color w:val="auto"/>
        </w:rPr>
      </w:pPr>
      <w:r>
        <w:rPr>
          <w:rFonts w:ascii="Times New Roman" w:cs="Times New Roman" w:eastAsia="Times New Roman" w:hAnsi="Times New Roman"/>
          <w:sz w:val="18"/>
          <w:szCs w:val="18"/>
          <w:color w:val="auto"/>
        </w:rPr>
        <w:t>On January 18, 2022, SCS executed a definitive business combination agreement (the “Business Combination Agreement”), with ProKidney LP (“PKLP”), a limited partnership under the laws and regulations of Ireland. Pursuant to the terms of the Business Combination Agreement, PKLP became a subsidiary of SCS and was organized in an umbrella partnership corporation (“Up-C”) structure, which would provide potential future tax benefits for SCS when the equity holders ultimately exchanged their pass-through interests for Class A ordinary shares. The business combination between SCS and PKLP (the “Business Combination”) closed (the “Closing”) on July 11, 2022 (the “Closing Date”). Upon consummation of the transaction, SCS changed its name to ProKidney Corp.</w:t>
      </w:r>
    </w:p>
    <w:p>
      <w:pPr>
        <w:spacing w:after="0" w:line="79" w:lineRule="exact"/>
        <w:rPr>
          <w:sz w:val="20"/>
          <w:szCs w:val="20"/>
          <w:color w:val="auto"/>
        </w:rPr>
      </w:pPr>
    </w:p>
    <w:p>
      <w:pPr>
        <w:ind w:right="20" w:firstLine="524"/>
        <w:spacing w:after="0" w:line="266"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transaction between entities under common control, through which PKLP was considered the accounting acquiror and predecessor entity. The Business Combination was reflected as the equivalent of PKLP issuing stock for the net assets of SCS accompanied by a recapitalization with no goodwill or intangible assets recognized.</w:t>
      </w:r>
    </w:p>
    <w:p>
      <w:pPr>
        <w:spacing w:after="0" w:line="68" w:lineRule="exact"/>
        <w:rPr>
          <w:sz w:val="20"/>
          <w:szCs w:val="20"/>
          <w:color w:val="auto"/>
        </w:rPr>
      </w:pPr>
    </w:p>
    <w:p>
      <w:pPr>
        <w:jc w:val="both"/>
        <w:ind w:right="200" w:firstLine="524"/>
        <w:spacing w:after="0" w:line="261" w:lineRule="auto"/>
        <w:rPr>
          <w:sz w:val="20"/>
          <w:szCs w:val="20"/>
          <w:color w:val="auto"/>
        </w:rPr>
      </w:pPr>
      <w:r>
        <w:rPr>
          <w:rFonts w:ascii="Times New Roman" w:cs="Times New Roman" w:eastAsia="Times New Roman" w:hAnsi="Times New Roman"/>
          <w:sz w:val="18"/>
          <w:szCs w:val="18"/>
          <w:color w:val="auto"/>
        </w:rPr>
        <w:t>ProKidney Corp., through its operating subsidiaries, ProKidney, which is incorporated under the Cayman Islands Companies Act (as amended) as an exempted company (“ProKidney-KY”) and ProKidney LLC, a limited liability company under the laws of Delaware (“ProKidney-US”) is focused on the development of rilparencel, which has the potential to preserve kidney function in patients with chronic kidney disease or delay or eliminate the need for dialysis and organ transplantation.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24"/>
        <w:spacing w:after="0" w:line="253" w:lineRule="auto"/>
        <w:rPr>
          <w:sz w:val="20"/>
          <w:szCs w:val="20"/>
          <w:color w:val="auto"/>
        </w:rPr>
      </w:pPr>
      <w:r>
        <w:rPr>
          <w:rFonts w:ascii="Times New Roman" w:cs="Times New Roman" w:eastAsia="Times New Roman" w:hAnsi="Times New Roman"/>
          <w:sz w:val="18"/>
          <w:szCs w:val="18"/>
          <w:color w:val="auto"/>
        </w:rPr>
        <w:t>ProKidney is a holding company, and its principal asset is a controlling equity interest in PKLP and its wholly-owned operating subsidiaries ProKidney-KY and ProKidney-US. The Company has determined that PKLP is a variable-interest entity for accounting purposes and that ProKidney is the primary beneficiary of PKLP because (through its managing member interest in PKLP and the fact that the senior management of ProKidney is also the senior management of PKLP) it has the power and benefits to direct all of the activities of PKLP, which include those that most significantly impact PKLP’s economic performance. The Company has therefore consolidated PKLP’s results pursuant to Accounting Standards Codification Topic 810, “Consolidation” in its Condensed Consolidated Financial Statements. As of September 30, 2024, various holders own non-voting interests in PKLP, representing a 56.1% economic interest in PKLP, effectively restricting ProKidney’s interest to 43.9% of PKLP’s economic results, subject to increase in the future, should ProKidney purchase additional non-voting common units (“PKLP Units”) of PKLP, or should the holders of PKLP Units decide to exchange such units (together with shares of Class B ordinary shares) for Class A ordinary shares (or cash) pursuant to the Exchange Agreement (as defined in Note 6). The Company will not be required to provide financial or other support for PKLP. However, ProKidney will control its business and other activities through its managing member interest in PKLP, and its management is the management of PKLP. Nevertheless, because ProKidney will have no material assets other than its interests in PKLP and its subsidiaries, any financial difficulties at PKLP could result in ProKidney recognizing a loss.</w:t>
      </w:r>
    </w:p>
    <w:p>
      <w:pPr>
        <w:spacing w:after="0" w:line="8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p>
      <w:pPr>
        <w:spacing w:after="0" w:line="121" w:lineRule="exact"/>
        <w:rPr>
          <w:sz w:val="20"/>
          <w:szCs w:val="20"/>
          <w:color w:val="auto"/>
        </w:rPr>
      </w:pPr>
    </w:p>
    <w:p>
      <w:pPr>
        <w:ind w:right="160" w:firstLine="524"/>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accounting principles generally accepted in the United States of America (“GAAP”). The accompanying Condensed Consolidated Balance Sheet as of September 30, 2024, Condensed Consolidated Statements of Operations for the three and nine months ended September 30, 2024 and 2023, Condensed Consolidated Statements of Comprehensive Loss for the three and nine months ended September 30, 2024 and 2023, Condensed Consolidated Statement of Changes in Redeemable Noncontrolling Interest and Shareholders’ Deficit for the three and nine months ended September 30, 2024 and 2023 and Condensed Consolidated Statements of Cash Flows for the nine months ended September 30,</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160"/>
        <w:spacing w:after="0" w:line="266" w:lineRule="auto"/>
        <w:rPr>
          <w:sz w:val="20"/>
          <w:szCs w:val="20"/>
          <w:color w:val="auto"/>
        </w:rPr>
      </w:pPr>
      <w:r>
        <w:rPr>
          <w:rFonts w:ascii="Times New Roman" w:cs="Times New Roman" w:eastAsia="Times New Roman" w:hAnsi="Times New Roman"/>
          <w:sz w:val="18"/>
          <w:szCs w:val="18"/>
          <w:color w:val="auto"/>
        </w:rPr>
        <w:t>2024 and 2023 are unaudited. These unaudited financial statements have been prepared in accordance with the rules and regulations of the United States Securities and Exchange Commission (the “SEC”) for interim financial information. Accordingly, they do not include all of the information and footnotes required by GAAP for complete financial statements.</w:t>
      </w:r>
    </w:p>
    <w:p>
      <w:pPr>
        <w:spacing w:after="0" w:line="68" w:lineRule="exact"/>
        <w:rPr>
          <w:sz w:val="20"/>
          <w:szCs w:val="20"/>
          <w:color w:val="auto"/>
        </w:rPr>
      </w:pPr>
    </w:p>
    <w:p>
      <w:pPr>
        <w:ind w:firstLine="524"/>
        <w:spacing w:after="0" w:line="254" w:lineRule="auto"/>
        <w:rPr>
          <w:sz w:val="20"/>
          <w:szCs w:val="20"/>
          <w:color w:val="auto"/>
        </w:rPr>
      </w:pPr>
      <w:r>
        <w:rPr>
          <w:rFonts w:ascii="Times New Roman" w:cs="Times New Roman" w:eastAsia="Times New Roman" w:hAnsi="Times New Roman"/>
          <w:sz w:val="18"/>
          <w:szCs w:val="18"/>
          <w:color w:val="auto"/>
        </w:rPr>
        <w:t>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2024, the results of operations for the three and nine months ended September 30, 2024 and 2023 and cash flows for the nine months ended September 30, 2024 and 2023. Certain prior year amounts have been reclassified to conform to the current year presentation. The December 31, 2023 Condensed Consolidated Balance Sheet included herein was derived from the audited financial statements but does not include all disclosures or notes required by GAAP for complete financial statements. These financial statements should be read in conjunction with the audited financial statements and the accompanying notes for the year ended December 31, 2023, contained in the Company’s Annual Report on Form 10-K filed with the SEC on March 22, 2024.</w:t>
      </w:r>
    </w:p>
    <w:p>
      <w:pPr>
        <w:spacing w:after="0" w:line="84" w:lineRule="exact"/>
        <w:rPr>
          <w:sz w:val="20"/>
          <w:szCs w:val="20"/>
          <w:color w:val="auto"/>
        </w:rPr>
      </w:pPr>
    </w:p>
    <w:p>
      <w:pPr>
        <w:jc w:val="both"/>
        <w:ind w:right="360" w:firstLine="524"/>
        <w:spacing w:after="0" w:line="266" w:lineRule="auto"/>
        <w:rPr>
          <w:sz w:val="20"/>
          <w:szCs w:val="20"/>
          <w:color w:val="auto"/>
        </w:rPr>
      </w:pPr>
      <w:r>
        <w:rPr>
          <w:rFonts w:ascii="Times New Roman" w:cs="Times New Roman" w:eastAsia="Times New Roman" w:hAnsi="Times New Roman"/>
          <w:sz w:val="18"/>
          <w:szCs w:val="18"/>
          <w:color w:val="auto"/>
        </w:rPr>
        <w:t>Any reference in these notes to applicable guidance is meant to refer to GAAP as found in the Accounting Standards Codification (“ASC”) and Accounting Standards Update (“ASU”) of the Financial Accounting Standards Board (“FASB”). These unaudited consolidated financial statements are presented in U.S. Dollars.</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Interim results are not necessarily indicative of results for an entire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GAAP, requires management to make certain estimates and assumptions that affect the reported amounts of assets and liabilities and disclosure of contingent liabilities at the date of the condensed consolidated financial statements, and the amounts of expenses during the reported periods. Certain estimates in these condensed consolidated financial statements have been made in connection with the calculation of research and development expenses, equity-based compensation expense and the provision for or benefit from income taxes. The Company bases its estimates on historical experience and various other assumptions, including in certain circumstances future projections, which management believes to be reasonable under the circumstances. Actual results could differ from those estimates. Changes in estimates are reflected in reported results in the period in which they become known.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Marketable Securities</w:t>
      </w:r>
    </w:p>
    <w:p>
      <w:pPr>
        <w:spacing w:after="0" w:line="121"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90 days or less on the date of purchase to be cash equivalents. The carrying value of cash and cash equivalents approximates fair value due to the short-term nature of these items.</w:t>
      </w:r>
    </w:p>
    <w:p>
      <w:pPr>
        <w:spacing w:after="0" w:line="54" w:lineRule="exact"/>
        <w:rPr>
          <w:sz w:val="20"/>
          <w:szCs w:val="20"/>
          <w:color w:val="auto"/>
        </w:rPr>
      </w:pPr>
    </w:p>
    <w:p>
      <w:pPr>
        <w:jc w:val="both"/>
        <w:ind w:right="200" w:firstLine="524"/>
        <w:spacing w:after="0" w:line="266" w:lineRule="auto"/>
        <w:rPr>
          <w:sz w:val="20"/>
          <w:szCs w:val="20"/>
          <w:color w:val="auto"/>
        </w:rPr>
      </w:pPr>
      <w:r>
        <w:rPr>
          <w:rFonts w:ascii="Times New Roman" w:cs="Times New Roman" w:eastAsia="Times New Roman" w:hAnsi="Times New Roman"/>
          <w:sz w:val="18"/>
          <w:szCs w:val="18"/>
          <w:color w:val="auto"/>
        </w:rPr>
        <w:t>The Company’s investments in marketable debt securities have been classified and accounted for as available-for-sale. The Company classifies its marketable debt securities as short-term due to its availability for use in its current operations. The cost of securities sold is determined using the specific identification method.</w:t>
      </w:r>
    </w:p>
    <w:p>
      <w:pPr>
        <w:spacing w:after="0" w:line="6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considers all available evidence to evaluate if a credit loss exists, and if so, recognizes an allowance for credit loss.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21" w:lineRule="exact"/>
        <w:rPr>
          <w:sz w:val="20"/>
          <w:szCs w:val="20"/>
          <w:color w:val="auto"/>
        </w:rPr>
      </w:pPr>
    </w:p>
    <w:p>
      <w:pPr>
        <w:ind w:right="320" w:firstLine="524"/>
        <w:spacing w:after="0" w:line="261" w:lineRule="auto"/>
        <w:rPr>
          <w:sz w:val="20"/>
          <w:szCs w:val="20"/>
          <w:color w:val="auto"/>
        </w:rPr>
      </w:pPr>
      <w:r>
        <w:rPr>
          <w:rFonts w:ascii="Times New Roman" w:cs="Times New Roman" w:eastAsia="Times New Roman" w:hAnsi="Times New Roman"/>
          <w:sz w:val="18"/>
          <w:szCs w:val="18"/>
          <w:color w:val="auto"/>
        </w:rPr>
        <w:t>Cash and equivalents are the primary financial instruments held by the Company that are potentially subject to concentrations of credit risk. The Company’s cash and equivalents are deposited in accounts at large financial institutions, and such amounts may exceed federally insured limits.</w:t>
      </w: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Accrued Expenses</w:t>
      </w:r>
    </w:p>
    <w:p>
      <w:pPr>
        <w:spacing w:after="0" w:line="121" w:lineRule="exact"/>
        <w:rPr>
          <w:sz w:val="20"/>
          <w:szCs w:val="20"/>
          <w:color w:val="auto"/>
        </w:rPr>
      </w:pPr>
    </w:p>
    <w:p>
      <w:pPr>
        <w:ind w:right="220" w:firstLine="524"/>
        <w:spacing w:after="0" w:line="282" w:lineRule="auto"/>
        <w:rPr>
          <w:sz w:val="20"/>
          <w:szCs w:val="20"/>
          <w:color w:val="auto"/>
        </w:rPr>
      </w:pPr>
      <w:r>
        <w:rPr>
          <w:rFonts w:ascii="Times New Roman" w:cs="Times New Roman" w:eastAsia="Times New Roman" w:hAnsi="Times New Roman"/>
          <w:sz w:val="18"/>
          <w:szCs w:val="18"/>
          <w:color w:val="auto"/>
        </w:rPr>
        <w:t>Accrued expenses as presented in the Condensed Consolidated Balance Sheets as of September 30, 2024 and December 31, 2023 consisted of the following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60" w:type="dxa"/>
            <w:vAlign w:val="bottom"/>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00" w:type="dxa"/>
            <w:vAlign w:val="bottom"/>
          </w:tcPr>
          <w:p>
            <w:pPr>
              <w:spacing w:after="0"/>
              <w:rPr>
                <w:sz w:val="21"/>
                <w:szCs w:val="21"/>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88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study related costs</w:t>
            </w: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4,271</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related costs</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legal costs</w:t>
            </w: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purchases payable</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improvement costs</w:t>
            </w:r>
          </w:p>
        </w:tc>
        <w:tc>
          <w:tcPr>
            <w:tcW w:w="6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consulting and professional fees</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6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30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8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17,665</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right="480" w:firstLine="524"/>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are comprised of costs incurred in performing research and development activities, including salaries, benefits, third party license fees, and external costs of outside vendors engaged to conduct manufacturing and preclinical development activities and clinical trials.</w:t>
      </w:r>
    </w:p>
    <w:p>
      <w:pPr>
        <w:spacing w:after="0" w:line="68" w:lineRule="exact"/>
        <w:rPr>
          <w:sz w:val="20"/>
          <w:szCs w:val="20"/>
          <w:color w:val="auto"/>
        </w:rPr>
      </w:pPr>
    </w:p>
    <w:p>
      <w:pPr>
        <w:ind w:right="20" w:firstLine="524"/>
        <w:spacing w:after="0" w:line="255" w:lineRule="auto"/>
        <w:rPr>
          <w:sz w:val="20"/>
          <w:szCs w:val="20"/>
          <w:color w:val="auto"/>
        </w:rPr>
      </w:pPr>
      <w:r>
        <w:rPr>
          <w:rFonts w:ascii="Times New Roman" w:cs="Times New Roman" w:eastAsia="Times New Roman" w:hAnsi="Times New Roman"/>
          <w:sz w:val="18"/>
          <w:szCs w:val="18"/>
          <w:color w:val="auto"/>
        </w:rPr>
        <w:t>The Company records accruals based on estimates of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81" w:lineRule="exact"/>
        <w:rPr>
          <w:sz w:val="20"/>
          <w:szCs w:val="20"/>
          <w:color w:val="auto"/>
        </w:rPr>
      </w:pPr>
    </w:p>
    <w:p>
      <w:pPr>
        <w:ind w:right="80" w:firstLine="524"/>
        <w:spacing w:after="0" w:line="266" w:lineRule="auto"/>
        <w:rPr>
          <w:sz w:val="20"/>
          <w:szCs w:val="20"/>
          <w:color w:val="auto"/>
        </w:rPr>
      </w:pPr>
      <w:r>
        <w:rPr>
          <w:rFonts w:ascii="Times New Roman" w:cs="Times New Roman" w:eastAsia="Times New Roman" w:hAnsi="Times New Roman"/>
          <w:sz w:val="18"/>
          <w:szCs w:val="18"/>
          <w:color w:val="auto"/>
        </w:rPr>
        <w:t>The Company records nonrefundable advance payments it makes for future research and development activities as prepaid expenses. Prepaid expenses are recognized as expense in the Condensed Consolidated Statement of Operations and Comprehensive Loss as the Company receives the related goods or services.</w:t>
      </w:r>
    </w:p>
    <w:p>
      <w:pPr>
        <w:spacing w:after="0" w:line="6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Costs incurred in obtaining technology licenses are charged to research and development expense as purchased in-process research and development if the technology licensed has not reached technological feasibility and has no alternative future use.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Assets</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Fixed assets are stated at cost, less accumulated depreciation. Generally, expenditures for maintenance and repairs are charged to expense and major improvements or replacements are capitalized. The Company computes depreciation and amortization using the straight-line method over the estimated useful life of the asset. Leasehold improvements are amortized over the lesser of the life of the lease or the estimated useful life of the leasehold improvement. The estimated useful lives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700" w:type="dxa"/>
            <w:vAlign w:val="bottom"/>
          </w:tcPr>
          <w:p>
            <w:pPr>
              <w:spacing w:after="0"/>
              <w:rPr>
                <w:sz w:val="21"/>
                <w:szCs w:val="21"/>
                <w:color w:val="auto"/>
              </w:rPr>
            </w:pPr>
          </w:p>
        </w:tc>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Buildings</w:t>
            </w:r>
          </w:p>
        </w:tc>
        <w:tc>
          <w:tcPr>
            <w:tcW w:w="464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25-30 years</w:t>
            </w:r>
          </w:p>
        </w:tc>
        <w:tc>
          <w:tcPr>
            <w:tcW w:w="168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46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3-5 years</w:t>
            </w:r>
          </w:p>
        </w:tc>
        <w:tc>
          <w:tcPr>
            <w:tcW w:w="16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3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Furniture and equipment</w:t>
            </w:r>
          </w:p>
        </w:tc>
        <w:tc>
          <w:tcPr>
            <w:tcW w:w="4640" w:type="dxa"/>
            <w:vAlign w:val="bottom"/>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5-7 years</w:t>
            </w:r>
          </w:p>
        </w:tc>
        <w:tc>
          <w:tcPr>
            <w:tcW w:w="168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3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Leasehold improvements</w:t>
            </w:r>
          </w:p>
        </w:tc>
        <w:tc>
          <w:tcPr>
            <w:tcW w:w="464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remainder of lease term</w:t>
            </w:r>
          </w:p>
        </w:tc>
        <w:tc>
          <w:tcPr>
            <w:tcW w:w="1680" w:type="dxa"/>
            <w:vAlign w:val="bottom"/>
          </w:tcPr>
          <w:p>
            <w:pPr>
              <w:spacing w:after="0"/>
              <w:rPr>
                <w:sz w:val="20"/>
                <w:szCs w:val="20"/>
                <w:color w:val="auto"/>
              </w:rPr>
            </w:pPr>
          </w:p>
        </w:tc>
      </w:tr>
      <w:tr>
        <w:trPr>
          <w:trHeight w:val="441"/>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6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w:t>
            </w: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76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Fixed assets consisted of the following (in thousands):</w:t>
            </w: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660" w:type="dxa"/>
            <w:vAlign w:val="bottom"/>
          </w:tcPr>
          <w:p>
            <w:pPr>
              <w:spacing w:after="0"/>
              <w:rPr>
                <w:sz w:val="24"/>
                <w:szCs w:val="24"/>
                <w:color w:val="auto"/>
              </w:rPr>
            </w:pPr>
          </w:p>
        </w:tc>
        <w:tc>
          <w:tcPr>
            <w:tcW w:w="19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300" w:type="dxa"/>
            <w:vAlign w:val="bottom"/>
            <w:shd w:val="clear" w:color="auto" w:fill="CFF0FC"/>
          </w:tcPr>
          <w:p>
            <w:pPr>
              <w:spacing w:after="0"/>
              <w:rPr>
                <w:sz w:val="21"/>
                <w:szCs w:val="21"/>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17,166</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18,924</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5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3,560</w:t>
            </w: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5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(10,571 )</w:t>
            </w:r>
          </w:p>
        </w:tc>
        <w:tc>
          <w:tcPr>
            <w:tcW w:w="5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(7,642 )</w:t>
            </w:r>
          </w:p>
        </w:tc>
      </w:tr>
      <w:tr>
        <w:trPr>
          <w:trHeight w:val="241"/>
        </w:trPr>
        <w:tc>
          <w:tcPr>
            <w:tcW w:w="7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fixed assets, net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38,519</w:t>
            </w:r>
          </w:p>
        </w:tc>
        <w:tc>
          <w:tcPr>
            <w:tcW w:w="30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42,143</w:t>
            </w:r>
          </w:p>
        </w:tc>
        <w:tc>
          <w:tcPr>
            <w:tcW w:w="100" w:type="dxa"/>
            <w:vAlign w:val="bottom"/>
            <w:tcBorders>
              <w:top w:val="single" w:sz="8" w:color="CFF0FC"/>
            </w:tcBorders>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-187960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80" w:firstLine="524"/>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2024 and 2023 was $1,199,000 and $807,000, respectively. Depreciation expense for the nine months ended September 30, 2024 and 2023 was $2,996,000 and $2,084,000,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right="80" w:firstLine="524"/>
        <w:spacing w:after="0" w:line="258" w:lineRule="auto"/>
        <w:rPr>
          <w:sz w:val="20"/>
          <w:szCs w:val="20"/>
          <w:color w:val="auto"/>
        </w:rPr>
      </w:pPr>
      <w:r>
        <w:rPr>
          <w:rFonts w:ascii="Times New Roman" w:cs="Times New Roman" w:eastAsia="Times New Roman" w:hAnsi="Times New Roman"/>
          <w:sz w:val="18"/>
          <w:szCs w:val="18"/>
          <w:color w:val="auto"/>
        </w:rPr>
        <w:t>Long-lived assets such as fixed assets and intangible assets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w:t>
      </w:r>
    </w:p>
    <w:p>
      <w:pPr>
        <w:spacing w:after="0" w:line="75"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Due to a change in the planned use for the Company’s Greensboro facility, the Company performed an impairment analysis to compare the building’s carrying value with its estimated fair value. The fair value was determined through review of prices for similar assets and expected ranges of prices that the Company may be expected to receive upon sale of the property which are considered Level 3 inputs under the fair value hierarchy. This analysis resulted in the recognition of a non-cash impairment charge of $5.3 million during the three and nine months ended September 30, 2024.</w:t>
      </w:r>
    </w:p>
    <w:p>
      <w:pPr>
        <w:spacing w:after="0" w:line="7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 impairment charges were recorded for the three and nine months ended September 30,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524"/>
        <w:spacing w:after="0" w:line="253" w:lineRule="auto"/>
        <w:rPr>
          <w:sz w:val="20"/>
          <w:szCs w:val="20"/>
          <w:color w:val="auto"/>
        </w:rPr>
      </w:pPr>
      <w:r>
        <w:rPr>
          <w:rFonts w:ascii="Times New Roman" w:cs="Times New Roman" w:eastAsia="Times New Roman" w:hAnsi="Times New Roman"/>
          <w:sz w:val="18"/>
          <w:szCs w:val="18"/>
          <w:color w:val="auto"/>
        </w:rPr>
        <w:t>The Company uses the liability method in accounting for income taxes as required by ASC Topic 740 — Income Taxes, under which deferred tax assets and liabilities are recorded for the future tax consequences attributable to the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unless it is more likely than not that such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 Accordingly, the Company has provided a full valuation allowance to offset the net deferred tax assets at September 30, 2024 and December 31, 2023.</w:t>
      </w:r>
    </w:p>
    <w:p>
      <w:pPr>
        <w:spacing w:after="0" w:line="86"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Interest and penalties related to income taxes are included in the expense for income taxes in the Company’s Condensed Consolidated Statements of Operations and Comprehensive Loss. The Company has not incurred any significant interest or penalties related to income taxes in any of the periods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524"/>
        <w:spacing w:after="0" w:line="222" w:lineRule="exact"/>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the principal or most advantageous market for the asset or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fair value hierarchy that prioritizes the inputs used to measure fair value is described below. The three levels of inputs used to measure fair value are as follows:</w:t>
      </w:r>
    </w:p>
    <w:p>
      <w:pPr>
        <w:spacing w:after="0" w:line="199"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Unadjusted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center"/>
        <w:ind w:left="5540" w:right="80" w:hanging="5532"/>
        <w:spacing w:after="0" w:line="260" w:lineRule="auto"/>
        <w:tabs>
          <w:tab w:leader="none" w:pos="3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through correlation with market data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data, which require the reporting entity to develop its own assumptions</w:t>
      </w:r>
    </w:p>
    <w:p>
      <w:pPr>
        <w:spacing w:after="0" w:line="117" w:lineRule="exact"/>
        <w:rPr>
          <w:sz w:val="20"/>
          <w:szCs w:val="20"/>
          <w:color w:val="auto"/>
        </w:rPr>
      </w:pPr>
    </w:p>
    <w:p>
      <w:pPr>
        <w:jc w:val="both"/>
        <w:ind w:firstLine="524"/>
        <w:spacing w:after="0" w:line="254" w:lineRule="auto"/>
        <w:rPr>
          <w:sz w:val="20"/>
          <w:szCs w:val="20"/>
          <w:color w:val="auto"/>
        </w:rPr>
      </w:pPr>
      <w:r>
        <w:rPr>
          <w:rFonts w:ascii="Times New Roman" w:cs="Times New Roman" w:eastAsia="Times New Roman" w:hAnsi="Times New Roman"/>
          <w:sz w:val="18"/>
          <w:szCs w:val="18"/>
          <w:color w:val="auto"/>
        </w:rPr>
        <w:t>For assets and liabilities recorded at fair value, it is the Company’s policy to maximize the use of observable inputs and minimize the use of unobservable inputs when developing fair value measurements, in accordance with the fair value hierarchy. Fair value measurements for assets and liabilities where there exists limited or no observable market data are based primarily upon estimates and are often calculated based on the economic and competitive environment, the characteristics of the asset or liability and other factors. Therefore, fair value measurements cannot be determined with precision and may not be realized in an actual sale or immediate settlement of the asset or liability. Additionally, there may be inherent weaknesses in any calculation technique and changes in the underlying assumptions used, including discount rates and estimates of future cash flows, could significantly affect the calculated current or future fair values. The Company utilizes fair value measurements to record fair value adjustments to certain assets and liabilities and to determine fair value disclosures.</w:t>
      </w:r>
    </w:p>
    <w:p>
      <w:pPr>
        <w:spacing w:after="0" w:line="43" w:lineRule="exact"/>
        <w:rPr>
          <w:sz w:val="20"/>
          <w:szCs w:val="20"/>
          <w:color w:val="auto"/>
        </w:rPr>
      </w:pPr>
    </w:p>
    <w:p>
      <w:pPr>
        <w:jc w:val="both"/>
        <w:ind w:firstLine="524"/>
        <w:spacing w:after="0" w:line="245" w:lineRule="exact"/>
        <w:rPr>
          <w:sz w:val="20"/>
          <w:szCs w:val="20"/>
          <w:color w:val="auto"/>
        </w:rPr>
      </w:pPr>
      <w:r>
        <w:rPr>
          <w:rFonts w:ascii="Times New Roman" w:cs="Times New Roman" w:eastAsia="Times New Roman" w:hAnsi="Times New Roman"/>
          <w:sz w:val="18"/>
          <w:szCs w:val="18"/>
          <w:color w:val="auto"/>
        </w:rPr>
        <w:t>The carrying values of cash equivalents, accounts payable, and accrued liabilities approximate fair value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of these instruments.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60" w:firstLine="567"/>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Balances recognized related to the Company’s operating and finance leases are included in right-of-use assets, net and lease liabilities in the Condensed Consolidated Balance Sheets. Right of use assets and lease liabilities are recognized based on the present value of the future minimum lease payments over the lease term at commencement date. Lease terms may include options to extend or terminate the lease if it is reasonably certain that the Company will exercise the option. As most of the Company’s leases do not provide an implicit rate, the Company uses its incremental borrowing rate based on the information available at the commencement date in determining the present value of future payments. The right of use asset also includes any lease payments made and excludes lease incentives and initial direct costs incurred. The Company has elected a practical expedient to not separate its lease and non-lease components and instead account for them as a single lease component. Leases with a term of 12 months or less are not recorded on the balance sheet.</w:t>
      </w:r>
    </w:p>
    <w:p>
      <w:pPr>
        <w:spacing w:after="0" w:line="84"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Lease expense for minimum lease payments is recognized on a straight-line basis over the lease term. Lease payments for short-term leases are recorded to operating expense on a straight-line basis and variable lease payments are recorded in the period in which the obligation for those payments is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121" w:lineRule="exact"/>
        <w:rPr>
          <w:sz w:val="20"/>
          <w:szCs w:val="20"/>
          <w:color w:val="auto"/>
        </w:rPr>
      </w:pPr>
    </w:p>
    <w:p>
      <w:pPr>
        <w:ind w:right="320" w:firstLine="524"/>
        <w:spacing w:after="0" w:line="282" w:lineRule="auto"/>
        <w:rPr>
          <w:sz w:val="20"/>
          <w:szCs w:val="20"/>
          <w:color w:val="auto"/>
        </w:rPr>
      </w:pPr>
      <w:r>
        <w:rPr>
          <w:rFonts w:ascii="Times New Roman" w:cs="Times New Roman" w:eastAsia="Times New Roman" w:hAnsi="Times New Roman"/>
          <w:sz w:val="18"/>
          <w:szCs w:val="18"/>
          <w:color w:val="auto"/>
        </w:rPr>
        <w:t>The Company records reserves for contingent liabilities when it is probable that an asset has been impaired or a liability has been incurred at the date of the financial statements, and the amount of the loss can be reasonably estimated.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140" w:firstLine="524"/>
        <w:spacing w:after="0" w:line="261" w:lineRule="auto"/>
        <w:rPr>
          <w:sz w:val="20"/>
          <w:szCs w:val="20"/>
          <w:color w:val="auto"/>
        </w:rPr>
      </w:pPr>
      <w:r>
        <w:rPr>
          <w:rFonts w:ascii="Times New Roman" w:cs="Times New Roman" w:eastAsia="Times New Roman" w:hAnsi="Times New Roman"/>
          <w:sz w:val="18"/>
          <w:szCs w:val="18"/>
          <w:color w:val="auto"/>
        </w:rPr>
        <w:t>Compensation expense for equity-based compensation awards issued is based on the fair value of the award at the date of grant, and compensation expense is recognized for time-vested awards earned over the service period on a straight-line basis. The Company recognizes equity-based compensation for options containing performance-based vesting conditions over the requisite service period if it is probable that the performance conditions will be satisfied. The Company records forfeitures of equity-based compensation awards as they occur.</w:t>
      </w:r>
    </w:p>
    <w:p>
      <w:pPr>
        <w:spacing w:after="0" w:line="72" w:lineRule="exact"/>
        <w:rPr>
          <w:sz w:val="20"/>
          <w:szCs w:val="20"/>
          <w:color w:val="auto"/>
        </w:rPr>
      </w:pPr>
    </w:p>
    <w:p>
      <w:pPr>
        <w:ind w:right="60" w:firstLine="524"/>
        <w:spacing w:after="0" w:line="258" w:lineRule="auto"/>
        <w:rPr>
          <w:sz w:val="20"/>
          <w:szCs w:val="20"/>
          <w:color w:val="auto"/>
        </w:rPr>
      </w:pPr>
      <w:r>
        <w:rPr>
          <w:rFonts w:ascii="Times New Roman" w:cs="Times New Roman" w:eastAsia="Times New Roman" w:hAnsi="Times New Roman"/>
          <w:sz w:val="18"/>
          <w:szCs w:val="18"/>
          <w:color w:val="auto"/>
        </w:rPr>
        <w:t>The grant date fair value of time and performance-based stock option awards is estimated using the Black-Scholes option pricing formula. Due to the lack of sufficient historical trading information with respect to its own shares, the Company estimates expected volatility based on a portfolio of selected stocks of companies believed to have market and economic characteristics similar to its own. The risk-free rate is based on the U.S. Treasury yield curve in effect at the time of grant. Due to a lack of historical exercise data, the Company estimates the expected life of its outstanding stock options using the simplified method specified under Staff Accounting Bulletin Topic 14.D.2.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Company operates in only one segment.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In March 2024, the Financial Accounting Standards Board (“FASB”) issued a new standard that provides additional guidance for determining whether profits interests and similar awards should be accounted for in accordance with Topic 718, Compensation - Stock</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of the Accounting Standards Codification. The standard will be effective for the Company beginning with our annual reporting for fiscal year 2025 and interim periods in that year, with early adoption permitted. We do not believe that the adoption of this standard will have an impact on the classification of the profits interests that were granted to participants prior to the Business Combination.</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Investments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and marketable securities are measured at fair value and within Level 2 in the fair value hierarchy, because we use quoted market prices to the extent available or alternative pricing sources and models utilizing market observable inputs to determine fair value.</w:t>
      </w:r>
    </w:p>
    <w:p>
      <w:pPr>
        <w:spacing w:after="0" w:line="5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summarize our cash equivalents and marketable securities measured at fair value on a recurring basis as of September 30, 2024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40" w:type="dxa"/>
            <w:vAlign w:val="bottom"/>
          </w:tcPr>
          <w:p>
            <w:pPr>
              <w:spacing w:after="0"/>
              <w:rPr>
                <w:sz w:val="18"/>
                <w:szCs w:val="18"/>
                <w:color w:val="auto"/>
              </w:rPr>
            </w:pPr>
          </w:p>
        </w:tc>
        <w:tc>
          <w:tcPr>
            <w:tcW w:w="1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8"/>
                <w:szCs w:val="18"/>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Equivalent</w:t>
            </w:r>
          </w:p>
        </w:tc>
        <w:tc>
          <w:tcPr>
            <w:tcW w:w="200" w:type="dxa"/>
            <w:vAlign w:val="bottom"/>
          </w:tcPr>
          <w:p>
            <w:pPr>
              <w:spacing w:after="0"/>
              <w:rPr>
                <w:sz w:val="18"/>
                <w:szCs w:val="18"/>
                <w:color w:val="auto"/>
              </w:rPr>
            </w:pPr>
          </w:p>
        </w:tc>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Marketabl</w:t>
            </w:r>
          </w:p>
        </w:tc>
      </w:tr>
      <w:tr>
        <w:trPr>
          <w:trHeight w:val="245"/>
        </w:trPr>
        <w:tc>
          <w:tcPr>
            <w:tcW w:w="2540" w:type="dxa"/>
            <w:vAlign w:val="bottom"/>
          </w:tcPr>
          <w:p>
            <w:pPr>
              <w:spacing w:after="0"/>
              <w:rPr>
                <w:sz w:val="21"/>
                <w:szCs w:val="21"/>
                <w:color w:val="auto"/>
              </w:rPr>
            </w:pPr>
          </w:p>
        </w:tc>
        <w:tc>
          <w:tcPr>
            <w:tcW w:w="12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Hierarchy</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240" w:type="dxa"/>
            <w:vAlign w:val="bottom"/>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w:t>
            </w:r>
          </w:p>
        </w:tc>
        <w:tc>
          <w:tcPr>
            <w:tcW w:w="200" w:type="dxa"/>
            <w:vAlign w:val="bottom"/>
          </w:tcPr>
          <w:p>
            <w:pPr>
              <w:spacing w:after="0"/>
              <w:rPr>
                <w:sz w:val="21"/>
                <w:szCs w:val="21"/>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 Securities</w:t>
            </w:r>
          </w:p>
        </w:tc>
        <w:tc>
          <w:tcPr>
            <w:tcW w:w="100" w:type="dxa"/>
            <w:vAlign w:val="bottom"/>
          </w:tcPr>
          <w:p>
            <w:pPr>
              <w:spacing w:after="0"/>
              <w:rPr>
                <w:sz w:val="21"/>
                <w:szCs w:val="21"/>
                <w:color w:val="auto"/>
              </w:rPr>
            </w:pPr>
          </w:p>
        </w:tc>
      </w:tr>
      <w:tr>
        <w:trPr>
          <w:trHeight w:val="243"/>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21,566</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7,203</w:t>
            </w:r>
          </w:p>
        </w:tc>
        <w:tc>
          <w:tcPr>
            <w:tcW w:w="100" w:type="dxa"/>
            <w:vAlign w:val="bottom"/>
          </w:tcPr>
          <w:p>
            <w:pPr>
              <w:spacing w:after="0"/>
              <w:rPr>
                <w:sz w:val="20"/>
                <w:szCs w:val="20"/>
                <w:color w:val="auto"/>
              </w:rPr>
            </w:pPr>
          </w:p>
        </w:tc>
      </w:tr>
      <w:tr>
        <w:trPr>
          <w:trHeight w:val="247"/>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37,185</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37,285</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37,285</w:t>
            </w:r>
          </w:p>
        </w:tc>
        <w:tc>
          <w:tcPr>
            <w:tcW w:w="100" w:type="dxa"/>
            <w:vAlign w:val="bottom"/>
            <w:shd w:val="clear" w:color="auto" w:fill="CFF0FC"/>
          </w:tcPr>
          <w:p>
            <w:pPr>
              <w:spacing w:after="0"/>
              <w:rPr>
                <w:sz w:val="21"/>
                <w:szCs w:val="21"/>
                <w:color w:val="auto"/>
              </w:rPr>
            </w:pPr>
          </w:p>
        </w:tc>
      </w:tr>
      <w:tr>
        <w:trPr>
          <w:trHeight w:val="23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w:t>
            </w:r>
          </w:p>
        </w:tc>
        <w:tc>
          <w:tcPr>
            <w:tcW w:w="100" w:type="dxa"/>
            <w:vAlign w:val="bottom"/>
          </w:tcPr>
          <w:p>
            <w:pPr>
              <w:spacing w:after="0"/>
              <w:rPr>
                <w:sz w:val="20"/>
                <w:szCs w:val="20"/>
                <w:color w:val="auto"/>
              </w:rPr>
            </w:pPr>
          </w:p>
        </w:tc>
      </w:tr>
      <w:tr>
        <w:trPr>
          <w:trHeight w:val="247"/>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78,434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78,558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31,000</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100" w:type="dxa"/>
            <w:vAlign w:val="bottom"/>
            <w:shd w:val="clear" w:color="auto" w:fill="CFF0FC"/>
          </w:tcPr>
          <w:p>
            <w:pPr>
              <w:spacing w:after="0"/>
              <w:rPr>
                <w:sz w:val="21"/>
                <w:szCs w:val="21"/>
                <w:color w:val="auto"/>
              </w:rPr>
            </w:pPr>
          </w:p>
        </w:tc>
      </w:tr>
      <w:tr>
        <w:trPr>
          <w:trHeight w:val="239"/>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199,052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199,486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198,958</w:t>
            </w:r>
          </w:p>
        </w:tc>
        <w:tc>
          <w:tcPr>
            <w:tcW w:w="10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1"/>
        </w:trPr>
        <w:tc>
          <w:tcPr>
            <w:tcW w:w="25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351,085</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351,818</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53,094</w:t>
            </w:r>
          </w:p>
        </w:tc>
        <w:tc>
          <w:tcPr>
            <w:tcW w:w="4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298,724</w:t>
            </w:r>
          </w:p>
        </w:tc>
        <w:tc>
          <w:tcPr>
            <w:tcW w:w="100" w:type="dxa"/>
            <w:vAlign w:val="bottom"/>
            <w:shd w:val="clear" w:color="auto" w:fill="CFF0FC"/>
          </w:tcPr>
          <w:p>
            <w:pPr>
              <w:spacing w:after="0"/>
              <w:rPr>
                <w:sz w:val="22"/>
                <w:szCs w:val="22"/>
                <w:color w:val="auto"/>
              </w:rPr>
            </w:pPr>
          </w:p>
        </w:tc>
      </w:tr>
      <w:tr>
        <w:trPr>
          <w:trHeight w:val="20"/>
        </w:trPr>
        <w:tc>
          <w:tcPr>
            <w:tcW w:w="254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fair value of the Company’s cash equivalents and marketable securities, by contractual maturity, as of September 30, 2024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6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43"/>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1 year or less</w:t>
            </w: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324,702</w:t>
            </w:r>
          </w:p>
        </w:tc>
        <w:tc>
          <w:tcPr>
            <w:tcW w:w="100" w:type="dxa"/>
            <w:vAlign w:val="bottom"/>
            <w:shd w:val="clear" w:color="auto" w:fill="CFF0FC"/>
          </w:tcPr>
          <w:p>
            <w:pPr>
              <w:spacing w:after="0"/>
              <w:rPr>
                <w:sz w:val="21"/>
                <w:szCs w:val="21"/>
                <w:color w:val="auto"/>
              </w:rPr>
            </w:pP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in 1 year through 5 years</w:t>
            </w:r>
          </w:p>
        </w:tc>
        <w:tc>
          <w:tcPr>
            <w:tcW w:w="6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27,116</w:t>
            </w:r>
          </w:p>
        </w:tc>
        <w:tc>
          <w:tcPr>
            <w:tcW w:w="100" w:type="dxa"/>
            <w:vAlign w:val="bottom"/>
          </w:tcPr>
          <w:p>
            <w:pPr>
              <w:spacing w:after="0"/>
              <w:rPr>
                <w:sz w:val="20"/>
                <w:szCs w:val="20"/>
                <w:color w:val="auto"/>
              </w:rPr>
            </w:pPr>
          </w:p>
        </w:tc>
      </w:tr>
      <w:tr>
        <w:trPr>
          <w:trHeight w:val="281"/>
        </w:trPr>
        <w:tc>
          <w:tcPr>
            <w:tcW w:w="6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351,818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-8255</wp:posOffset>
            </wp:positionV>
            <wp:extent cx="596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fair values and gross unrealized losses recorded to accumulated other comprehensive income, aggregated by category and the length of time that individual securities have been in a continuous loss position as of September 30, 2024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8"/>
                <w:szCs w:val="18"/>
                <w:color w:val="auto"/>
              </w:rPr>
            </w:pPr>
          </w:p>
        </w:tc>
      </w:tr>
      <w:tr>
        <w:trPr>
          <w:trHeight w:val="245"/>
        </w:trPr>
        <w:tc>
          <w:tcPr>
            <w:tcW w:w="28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Loss</w:t>
            </w:r>
          </w:p>
        </w:tc>
        <w:tc>
          <w:tcPr>
            <w:tcW w:w="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r>
      <w:tr>
        <w:trPr>
          <w:trHeight w:val="239"/>
        </w:trPr>
        <w:tc>
          <w:tcPr>
            <w:tcW w:w="2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28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220" w:type="dxa"/>
            <w:vAlign w:val="bottom"/>
          </w:tcPr>
          <w:p>
            <w:pPr>
              <w:spacing w:after="0"/>
              <w:rPr>
                <w:sz w:val="20"/>
                <w:szCs w:val="20"/>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18,681</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-187960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-187960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-187960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-187960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596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holds debt securities of companies with high credit quality and has determined that there was no material change in the credit risk of its debt securities during the three and nine months ended September 30, 2024 and 2023. As such, the Company has not recognized an allowance for credit losses related to our marketable debt securities during the three and nine months ended September 30, 2024 and 2023.</w:t>
      </w:r>
    </w:p>
    <w:p>
      <w:pPr>
        <w:spacing w:after="0" w:line="2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Income Taxes</w:t>
      </w:r>
    </w:p>
    <w:p>
      <w:pPr>
        <w:spacing w:after="0" w:line="121" w:lineRule="exact"/>
        <w:rPr>
          <w:sz w:val="20"/>
          <w:szCs w:val="20"/>
          <w:color w:val="auto"/>
        </w:rPr>
      </w:pPr>
    </w:p>
    <w:p>
      <w:pPr>
        <w:jc w:val="both"/>
        <w:ind w:firstLine="524"/>
        <w:spacing w:after="0" w:line="282" w:lineRule="auto"/>
        <w:rPr>
          <w:sz w:val="20"/>
          <w:szCs w:val="20"/>
          <w:color w:val="auto"/>
        </w:rPr>
      </w:pPr>
      <w:r>
        <w:rPr>
          <w:rFonts w:ascii="Times New Roman" w:cs="Times New Roman" w:eastAsia="Times New Roman" w:hAnsi="Times New Roman"/>
          <w:sz w:val="18"/>
          <w:szCs w:val="18"/>
          <w:color w:val="auto"/>
        </w:rPr>
        <w:t>ProKidney is considered to be an exempted Cayman Islands company and is presently not subject to income taxes or income tax filing requirements in the Cayman Islands or the United States.</w:t>
      </w:r>
    </w:p>
    <w:p>
      <w:pPr>
        <w:spacing w:after="0" w:line="54"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8"/>
          <w:szCs w:val="18"/>
          <w:color w:val="auto"/>
        </w:rPr>
        <w:t>The Company’s subsidiary, PKLP, is organized as a limited partnership and is classified as a partnership for U.S. income tax purposes, and as such, only records a provision for federal and state income taxes on its subsidiaries organized as C corporations or which have elected to be treated as corporations for U.S. federal income tax purposes.</w:t>
      </w:r>
    </w:p>
    <w:p>
      <w:pPr>
        <w:spacing w:after="0" w:line="68" w:lineRule="exact"/>
        <w:rPr>
          <w:sz w:val="20"/>
          <w:szCs w:val="20"/>
          <w:color w:val="auto"/>
        </w:rPr>
      </w:pPr>
    </w:p>
    <w:p>
      <w:pPr>
        <w:jc w:val="both"/>
        <w:ind w:firstLine="524"/>
        <w:spacing w:after="0" w:line="257" w:lineRule="auto"/>
        <w:rPr>
          <w:sz w:val="20"/>
          <w:szCs w:val="20"/>
          <w:color w:val="auto"/>
        </w:rPr>
      </w:pPr>
      <w:r>
        <w:rPr>
          <w:rFonts w:ascii="Times New Roman" w:cs="Times New Roman" w:eastAsia="Times New Roman" w:hAnsi="Times New Roman"/>
          <w:sz w:val="18"/>
          <w:szCs w:val="18"/>
          <w:color w:val="auto"/>
        </w:rPr>
        <w:t>The Company’s subsidiary, ProKidney-US, is treated as a C corporation, and therefore a provision for federal and state taxes has been recorded. The difference between the Company’s effective tax rates and the U.S. statutory rate of 21% is primarily attributable to PKLP and ProKidney-KY being treated as partnerships for income tax purposes.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jc w:val="both"/>
        <w:ind w:firstLine="524"/>
        <w:spacing w:after="0" w:line="261" w:lineRule="auto"/>
        <w:rPr>
          <w:sz w:val="20"/>
          <w:szCs w:val="20"/>
          <w:color w:val="auto"/>
        </w:rPr>
      </w:pPr>
      <w:r>
        <w:rPr>
          <w:rFonts w:ascii="Times New Roman" w:cs="Times New Roman" w:eastAsia="Times New Roman" w:hAnsi="Times New Roman"/>
          <w:sz w:val="18"/>
          <w:szCs w:val="18"/>
          <w:color w:val="auto"/>
        </w:rPr>
        <w:t>The Company’s subsidiary, ProKidney-KY, has been granted, by the Government in Council of the Cayman Islands, tax concessions under an undertaking certificate exempting it from any tax levied on profits, income, gains or appreciations in relation to its operations or in the nature of estate duty or inheritance tax for a period of twenty years from January 20, 2016. ProKidney-KY elected to be treated as an entity disregarded from its owner for U.S. tax purposes, and as a result, it has not recorded an income tax provision.</w:t>
      </w:r>
    </w:p>
    <w:p>
      <w:pPr>
        <w:spacing w:after="0" w:line="72" w:lineRule="exact"/>
        <w:rPr>
          <w:sz w:val="20"/>
          <w:szCs w:val="20"/>
          <w:color w:val="auto"/>
        </w:rPr>
      </w:pPr>
    </w:p>
    <w:p>
      <w:pPr>
        <w:jc w:val="both"/>
        <w:ind w:firstLine="524"/>
        <w:spacing w:after="0" w:line="258" w:lineRule="auto"/>
        <w:rPr>
          <w:sz w:val="20"/>
          <w:szCs w:val="20"/>
          <w:color w:val="auto"/>
        </w:rPr>
      </w:pPr>
      <w:r>
        <w:rPr>
          <w:rFonts w:ascii="Times New Roman" w:cs="Times New Roman" w:eastAsia="Times New Roman" w:hAnsi="Times New Roman"/>
          <w:sz w:val="18"/>
          <w:szCs w:val="18"/>
          <w:color w:val="auto"/>
        </w:rPr>
        <w:t>As discussed in Note 6, the Company is party to a tax receivable agreement with a related party which provides for the payment by the Company to holders of PKLP prior to the Closing (“Closing ProKidney Unitholders”) of 85% of the amount of cash savings, if any, in U.S. federal, state and local income tax or franchise tax that the Company actually realizes (or, in some circumstances, the Company is deemed to realize) as a result of certain transactions. As no transactions have occurred which would trigger a liability under this agreement, the Company has not recognized any liability related to this agreement as of September 30, 2024.</w:t>
      </w:r>
    </w:p>
    <w:p>
      <w:pPr>
        <w:spacing w:after="0" w:line="75" w:lineRule="exact"/>
        <w:rPr>
          <w:sz w:val="20"/>
          <w:szCs w:val="20"/>
          <w:color w:val="auto"/>
        </w:rPr>
      </w:pPr>
    </w:p>
    <w:p>
      <w:pPr>
        <w:jc w:val="both"/>
        <w:ind w:firstLine="524"/>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of the deferred tax assets will be realized. The ultimate realization of deferred tax assets is dependent upon the generation of future taxable income during the periods in which those temporary differences become deductible. Management considers the scheduled reversal of deferred tax liabilities, available taxes in the carryback periods, projected future taxable income and tax planning strategies in making this assessment.</w:t>
      </w:r>
    </w:p>
    <w:p>
      <w:pPr>
        <w:spacing w:after="0" w:line="72" w:lineRule="exact"/>
        <w:rPr>
          <w:sz w:val="20"/>
          <w:szCs w:val="20"/>
          <w:color w:val="auto"/>
        </w:rPr>
      </w:pPr>
    </w:p>
    <w:p>
      <w:pPr>
        <w:jc w:val="both"/>
        <w:ind w:firstLine="524"/>
        <w:spacing w:after="0" w:line="282" w:lineRule="auto"/>
        <w:rPr>
          <w:sz w:val="20"/>
          <w:szCs w:val="20"/>
          <w:color w:val="auto"/>
        </w:rPr>
      </w:pPr>
      <w:r>
        <w:rPr>
          <w:rFonts w:ascii="Times New Roman" w:cs="Times New Roman" w:eastAsia="Times New Roman" w:hAnsi="Times New Roman"/>
          <w:sz w:val="18"/>
          <w:szCs w:val="18"/>
          <w:color w:val="auto"/>
        </w:rPr>
        <w:t>There were no net unrecognized tax benefits as of September 30, 2024 which, if recognized, would affect our effective tax rate. We expect none of the gross unrecognized tax benefits will decrease within the next year.</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There were no significant changes in the Company’s uncertain tax positions during the three and nine months ended September 30, 2024 and 2023.</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5:</w:t>
        <w:tab/>
        <w:t>Leases</w:t>
      </w:r>
    </w:p>
    <w:p>
      <w:pPr>
        <w:spacing w:after="0" w:line="121" w:lineRule="exact"/>
        <w:rPr>
          <w:sz w:val="20"/>
          <w:szCs w:val="20"/>
          <w:color w:val="auto"/>
        </w:rPr>
      </w:pPr>
    </w:p>
    <w:p>
      <w:pPr>
        <w:ind w:right="60" w:firstLine="524"/>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real estate (primarily its operating facilities) and certain equipment with various expiration dates. The Company also has one finance lease for certain equipment. Rent expense was $479,000 and $276,000, for the three months ended September 30, 2024 and 2023, respectively. For the nine months ended September 30, 2024 and 2023, the Company’s rent expense was $1,413,000 and $736,000, respectively. Cash paid for operating leases during the nine months ended September 30, 2024, was $968,000.</w:t>
      </w:r>
    </w:p>
    <w:p>
      <w:pPr>
        <w:spacing w:after="0" w:line="72" w:lineRule="exact"/>
        <w:rPr>
          <w:sz w:val="20"/>
          <w:szCs w:val="20"/>
          <w:color w:val="auto"/>
        </w:rPr>
      </w:pPr>
    </w:p>
    <w:p>
      <w:pPr>
        <w:ind w:right="18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classification of operating and finance lease assets and obligations in the Company's Condensed Consolidated Balance Sheets as of September 30, 2024 and December 31, 2023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58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9"/>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 of use assets</w:t>
            </w:r>
          </w:p>
        </w:tc>
        <w:tc>
          <w:tcPr>
            <w:tcW w:w="3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9"/>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3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00" w:type="dxa"/>
            <w:vAlign w:val="bottom"/>
            <w:vMerge w:val="restart"/>
          </w:tcPr>
          <w:p>
            <w:pPr>
              <w:jc w:val="right"/>
              <w:ind w:right="171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-959485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-959485</wp:posOffset>
            </wp:positionV>
            <wp:extent cx="6032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left="540"/>
        <w:spacing w:after="0"/>
        <w:rPr>
          <w:sz w:val="20"/>
          <w:szCs w:val="20"/>
          <w:color w:val="auto"/>
        </w:rPr>
      </w:pPr>
      <w:r>
        <w:rPr>
          <w:rFonts w:ascii="Times New Roman" w:cs="Times New Roman" w:eastAsia="Times New Roman" w:hAnsi="Times New Roman"/>
          <w:sz w:val="18"/>
          <w:szCs w:val="18"/>
          <w:color w:val="auto"/>
        </w:rPr>
        <w:t>Maturities of lease liabilities for the Company’s operating and finance leases are as follows as of September 30, 2024 (in thousands):</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00" w:type="dxa"/>
            <w:vAlign w:val="bottom"/>
          </w:tcPr>
          <w:p>
            <w:pPr>
              <w:spacing w:after="0"/>
              <w:rPr>
                <w:sz w:val="21"/>
                <w:szCs w:val="21"/>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60" w:type="dxa"/>
            <w:vAlign w:val="bottom"/>
          </w:tcPr>
          <w:p>
            <w:pPr>
              <w:spacing w:after="0"/>
              <w:rPr>
                <w:sz w:val="21"/>
                <w:szCs w:val="21"/>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3"/>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2024 (remaining three months)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6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Pr>
          <w:p>
            <w:pPr>
              <w:spacing w:after="0"/>
              <w:rPr>
                <w:sz w:val="20"/>
                <w:szCs w:val="20"/>
                <w:color w:val="auto"/>
              </w:rPr>
            </w:pPr>
          </w:p>
        </w:tc>
      </w:tr>
      <w:tr>
        <w:trPr>
          <w:trHeight w:val="247"/>
        </w:trPr>
        <w:tc>
          <w:tcPr>
            <w:tcW w:w="5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00" w:type="dxa"/>
            <w:vAlign w:val="bottom"/>
            <w:shd w:val="clear" w:color="auto" w:fill="CFF0FC"/>
          </w:tcPr>
          <w:p>
            <w:pPr>
              <w:spacing w:after="0"/>
              <w:rPr>
                <w:sz w:val="21"/>
                <w:szCs w:val="21"/>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20"/>
                <w:szCs w:val="20"/>
                <w:color w:val="auto"/>
              </w:rPr>
            </w:pPr>
          </w:p>
        </w:tc>
      </w:tr>
      <w:tr>
        <w:trPr>
          <w:trHeight w:val="241"/>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w:t>
            </w:r>
          </w:p>
        </w:tc>
        <w:tc>
          <w:tcPr>
            <w:tcW w:w="100" w:type="dxa"/>
            <w:vAlign w:val="bottom"/>
            <w:shd w:val="clear" w:color="auto" w:fill="CFF0FC"/>
          </w:tcPr>
          <w:p>
            <w:pPr>
              <w:spacing w:after="0"/>
              <w:rPr>
                <w:sz w:val="20"/>
                <w:szCs w:val="20"/>
                <w:color w:val="auto"/>
              </w:rPr>
            </w:pPr>
          </w:p>
        </w:tc>
      </w:tr>
      <w:tr>
        <w:trPr>
          <w:trHeight w:val="23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(2,061 )</w:t>
            </w:r>
          </w:p>
        </w:tc>
        <w:tc>
          <w:tcPr>
            <w:tcW w:w="2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(19 )</w:t>
            </w:r>
          </w:p>
        </w:tc>
        <w:tc>
          <w:tcPr>
            <w:tcW w:w="2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(2,080 )</w:t>
            </w:r>
          </w:p>
        </w:tc>
      </w:tr>
      <w:tr>
        <w:trPr>
          <w:trHeight w:val="276"/>
        </w:trPr>
        <w:tc>
          <w:tcPr>
            <w:tcW w:w="5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-25400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-25400</wp:posOffset>
            </wp:positionV>
            <wp:extent cx="603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 for operating leases is 4.6 years, and 4.5 years for finance leases. The weighted average discount rate for operating leases is 10.9% and 6.1% for finance leases.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119" w:lineRule="exact"/>
        <w:rPr>
          <w:sz w:val="20"/>
          <w:szCs w:val="20"/>
          <w:color w:val="auto"/>
        </w:rPr>
      </w:pPr>
    </w:p>
    <w:p>
      <w:pPr>
        <w:ind w:right="40" w:firstLine="524"/>
        <w:spacing w:after="0" w:line="253" w:lineRule="auto"/>
        <w:rPr>
          <w:sz w:val="20"/>
          <w:szCs w:val="20"/>
          <w:color w:val="auto"/>
        </w:rPr>
      </w:pPr>
      <w:r>
        <w:rPr>
          <w:rFonts w:ascii="Times New Roman" w:cs="Times New Roman" w:eastAsia="Times New Roman" w:hAnsi="Times New Roman"/>
          <w:sz w:val="18"/>
          <w:szCs w:val="18"/>
          <w:color w:val="auto"/>
        </w:rPr>
        <w:t>On the Closing Date, the Company entered into an exchange agreement with PKLP and certain Closing ProKidney Unitholders (the “Exchange Agreement”) pursuant to which, subject to the procedures and restrictions therein, from and after the waiver or expiration of any contractual lock-up period (including pursuant to the Lock-Up Agreement (as defined below)) the holders of Post-Combination ProKidney Common Units as defined in the Exchange Agreement (or certain permitted transferees thereof) have the right from time to time at and after 180 days following the Closing to exchange their Post-Combination ProKidney Common Units and an equal number of Class B ordinary shares of the Company on a one-for-one basis for Class A ordinary shares of the Company (the “Exchange”); provided, that, subject to certain exceptions, the Company, at its sole election, subject to certain restrictions, may, other than in the case of certain secondary offerings, instead settle all or a portion of the Exchange in cash based on a volume weighted average price (“VWAP”) of a Class A ordinary share. The Exchange Agreement provides that, as a general matter, a holder of Post-Combination ProKidney Common Units will not have the right to exchange Post-Combination ProKidney Common Units if the Company determines that such exchange would be prohibited by law or regulation or would violate other agreements with the Company and its subsidiaries to which the holder of Post-Combination ProKidney Common Units may be subject, including the Second Amended and Restated ProKidney Limited Partnership Agreement and the Exchange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Lock-Up Agreement</w:t>
      </w:r>
    </w:p>
    <w:p>
      <w:pPr>
        <w:spacing w:after="0" w:line="119" w:lineRule="exact"/>
        <w:rPr>
          <w:sz w:val="20"/>
          <w:szCs w:val="20"/>
          <w:color w:val="auto"/>
        </w:rPr>
      </w:pPr>
    </w:p>
    <w:p>
      <w:pPr>
        <w:ind w:right="20" w:firstLine="524"/>
        <w:spacing w:after="0" w:line="254" w:lineRule="auto"/>
        <w:rPr>
          <w:sz w:val="20"/>
          <w:szCs w:val="20"/>
          <w:color w:val="auto"/>
        </w:rPr>
      </w:pPr>
      <w:r>
        <w:rPr>
          <w:rFonts w:ascii="Times New Roman" w:cs="Times New Roman" w:eastAsia="Times New Roman" w:hAnsi="Times New Roman"/>
          <w:sz w:val="18"/>
          <w:szCs w:val="18"/>
          <w:color w:val="auto"/>
        </w:rPr>
        <w:t>On the Closing Date, the Company, SCS Sponsor III LLC and certain Closing ProKidney Unitholders entered into a lock-up agreement (the “Lock-Up Agreement”). The Lock-Up Agreement contains certain restrictions on transfer with respect to the SCS Sponsor III LLC and the Closing ProKidney Unitholders party thereto. Such restrictions began at the Closing and end on the earlier of (i) the date that is 180 days after the Closing and (ii)(a) for 33% of the Lock-Up Shares (other than the Earnout Shares and the PIPE Shares), the date on which the last reported sale price of a Class A ordinary share of the Company equals or exceeds $12.50 per share for any 20 trading days within any 30-trading day period commencing at least 30 days after the Closing and</w:t>
      </w:r>
    </w:p>
    <w:p>
      <w:pPr>
        <w:spacing w:after="0" w:line="3" w:lineRule="exact"/>
        <w:rPr>
          <w:sz w:val="20"/>
          <w:szCs w:val="20"/>
          <w:color w:val="auto"/>
        </w:rPr>
      </w:pPr>
    </w:p>
    <w:p>
      <w:pPr>
        <w:ind w:firstLine="8"/>
        <w:spacing w:after="0" w:line="251"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additional 50% of the Lock-Up Shares (other than the Earnout Shares and the Private Placement Shares (as each such term is defined in the Lock-Up Agreement)), the date on which the last reported sale price of a Class A ordinary share of the Company equals or exceeds $15.00 per share for any 20 trading days within any 30-trading day period commencing at least 30 days after the Closing. Notwithstanding the above, (i) the lock-up period for any Earnout Shares will expire not earlier than 180 days after such Earnout Shares are issued; (ii) 50% of the Lock-Up Shares held by certain Closing ProKidney Unitholders and their affiliates will remain locked up until the earlier of four years following the Closing and the date that PKLP receives notice of any regulatory market authorization, including full or conditional authorization, to market its lead product candidate, rilparencel (but, in any event, not earlier than 180 days following the Closing or (in the case of Earnout Shares) the date of issuance); and (iii) the lock-up period for the Private Placement Shares expired 30 days after the Closing. The restrictions on transfer set forth in the Lockup Agreement are subject to customary exceptions.</w:t>
      </w:r>
    </w:p>
    <w:p>
      <w:pPr>
        <w:spacing w:after="0" w:line="86" w:lineRule="exact"/>
        <w:rPr>
          <w:sz w:val="20"/>
          <w:szCs w:val="20"/>
          <w:color w:val="auto"/>
        </w:rPr>
      </w:pPr>
    </w:p>
    <w:p>
      <w:pPr>
        <w:jc w:val="center"/>
        <w:ind w:left="760" w:right="100"/>
        <w:spacing w:after="0" w:line="282" w:lineRule="auto"/>
        <w:rPr>
          <w:sz w:val="20"/>
          <w:szCs w:val="20"/>
          <w:color w:val="auto"/>
        </w:rPr>
      </w:pPr>
      <w:r>
        <w:rPr>
          <w:rFonts w:ascii="Times New Roman" w:cs="Times New Roman" w:eastAsia="Times New Roman" w:hAnsi="Times New Roman"/>
          <w:sz w:val="18"/>
          <w:szCs w:val="18"/>
          <w:color w:val="auto"/>
        </w:rPr>
        <w:t>During January 2023, the lock-up period for 50% of the shares held by the Closing ProKidney Unitholders (other than the Earnout Shares) expired.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Tax Receivable Agreement</w:t>
      </w:r>
    </w:p>
    <w:p>
      <w:pPr>
        <w:spacing w:after="0" w:line="119"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On the Closing Date, the Company entered into a tax receivable agreement (the “Tax Receivable Agreement”) with the Closing ProKidney Unitholders. Pursuant to the Tax Receivable Agreement, among other things, the Company will be required to pay the Closing ProKidney Unitholders party thereto 85% of certain tax savings recognized by the Company, if any, as a result of the increases in tax basis attributable to exchanges by the Closing ProKidney Unitholders of Post-Combination ProKidney Common Units for Class A ordinary shares of the Company or, subject to certain restrictions, cash, pursuant to the Exchange Agreement and certain other tax attributes of PKLP and tax benefits related to entering into the Tax Receivable Agreement.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Rights</w:t>
      </w:r>
    </w:p>
    <w:p>
      <w:pPr>
        <w:spacing w:after="0" w:line="119" w:lineRule="exact"/>
        <w:rPr>
          <w:sz w:val="20"/>
          <w:szCs w:val="20"/>
          <w:color w:val="auto"/>
        </w:rPr>
      </w:pPr>
    </w:p>
    <w:p>
      <w:pPr>
        <w:ind w:right="140" w:firstLine="524"/>
        <w:spacing w:after="0" w:line="258" w:lineRule="auto"/>
        <w:rPr>
          <w:sz w:val="20"/>
          <w:szCs w:val="20"/>
          <w:color w:val="auto"/>
        </w:rPr>
      </w:pPr>
      <w:r>
        <w:rPr>
          <w:rFonts w:ascii="Times New Roman" w:cs="Times New Roman" w:eastAsia="Times New Roman" w:hAnsi="Times New Roman"/>
          <w:sz w:val="18"/>
          <w:szCs w:val="18"/>
          <w:color w:val="auto"/>
        </w:rPr>
        <w:t>At the Closing, certain shareholders were issued an aggregate of 17,500,000 Earnout Restricted Common Units and 17,500,000 Earnout Restricted Stock Rights (collectively, the “Earnout Rights”). The Earnout Rights vest in three equal tranches if, during the five-year period after Closing, the VWAP of a Class A ordinary share reaches $15.00 per share, $20.00 per share and $25.00 per share. Likewise, the Earnout Rights will vest upon a change of control with a per share price exceeding those same VWAP thresholds within a five-year period immediately following the Closing. Upon vesting, the Earnout Rights will automatically convert into Post Combination ProKidney Common Units and Class B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ProKidney-KY and Nefro Health</w:t>
      </w:r>
    </w:p>
    <w:p>
      <w:pPr>
        <w:spacing w:after="0" w:line="335" w:lineRule="exact"/>
        <w:rPr>
          <w:sz w:val="20"/>
          <w:szCs w:val="20"/>
          <w:color w:val="auto"/>
        </w:rPr>
      </w:pPr>
    </w:p>
    <w:p>
      <w:pPr>
        <w:ind w:firstLine="524"/>
        <w:spacing w:after="0" w:line="252" w:lineRule="auto"/>
        <w:rPr>
          <w:sz w:val="20"/>
          <w:szCs w:val="20"/>
          <w:color w:val="auto"/>
        </w:rPr>
      </w:pPr>
      <w:r>
        <w:rPr>
          <w:rFonts w:ascii="Times New Roman" w:cs="Times New Roman" w:eastAsia="Times New Roman" w:hAnsi="Times New Roman"/>
          <w:sz w:val="18"/>
          <w:szCs w:val="18"/>
          <w:color w:val="auto"/>
        </w:rPr>
        <w:t>On January 1, 2020, ProKidney-KY (formerly known as inRegen) entered into a consulting services agreement with Nefro Health (“Nefro”), an Irish partnership controlled and majority-owned by Mr. Pablo Legorreta, a director of the Company, ProKidney GP Limited, a private limited company incorporated under the laws of Ireland (“Legacy GP”) and a holder of over 5% of Class A Units in PKLP, pursuant to which Nefro provides consulting services for the research and development of the Company’s product candidates, including the conduct of clinical trials in North America and the European Union, the design and manufacturing of ProKidney’s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ProKidney-KY has paid Nefro an aggregate of $25,000 and $75,000 for the each of the three and nine months ended September 30, 2024 and 2023,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ProKidney-KY will be obligated to pay Nefro any earned but unpaid consulting fee as of the termination date.</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Consulting Services Agreement between ProKidney-US and Nefro Health</w:t>
      </w:r>
    </w:p>
    <w:p>
      <w:pPr>
        <w:spacing w:after="0" w:line="119" w:lineRule="exact"/>
        <w:rPr>
          <w:sz w:val="20"/>
          <w:szCs w:val="20"/>
          <w:color w:val="auto"/>
        </w:rPr>
      </w:pPr>
    </w:p>
    <w:p>
      <w:pPr>
        <w:ind w:right="40" w:firstLine="524"/>
        <w:spacing w:after="0" w:line="252" w:lineRule="auto"/>
        <w:rPr>
          <w:sz w:val="20"/>
          <w:szCs w:val="20"/>
          <w:color w:val="auto"/>
        </w:rPr>
      </w:pPr>
      <w:r>
        <w:rPr>
          <w:rFonts w:ascii="Times New Roman" w:cs="Times New Roman" w:eastAsia="Times New Roman" w:hAnsi="Times New Roman"/>
          <w:sz w:val="18"/>
          <w:szCs w:val="18"/>
          <w:color w:val="auto"/>
        </w:rPr>
        <w:t>On January 1, 2020, ProKidney-US (formerly known as Twin City Bio, LLC) entered into a consulting services agreement with Nefro, pursuant to which Nefro provides consulting services for the research and development of the Company’s product candidates, including the conduct of clinical trials in North America and the European Union, the design and manufacturing of the Company’s product candidates as well as pre-commercialization activities, which are primarily performed by Mr. Legorreta. Under the agreement, Nefro receives $25,000 per quarter and is reimbursed for any out-of-pocket expenses incurred in connection with activities Nefro conducted under the agreement. ProKidney-US has paid Nefro an aggregate of $25,000 and $75,000 for each of the three and nine months ended September 30, 2024 and 2023, respectively. The initial term of the consulting services agreement continued through December 31, 2020 and was renewed pursuant to the provision allowing for automatic renewals for additional periods of one year each unless terminated by either party by providing written notice to the other party at least ninety (90) days prior to the scheduled termination date. Either party may terminate this agreement upon the occurrence of a material breach by the other party in the performance of its obligations under the agreement or in respect of any provision, representation, warranty or covenant if such breach has not been cured within thirty (30) days after receiving written notice from the non-breaching party. Additionally, either of the parties may terminate the consulting services agreement for any reason upon giving thirty (30) days’ advance notice of such termination to the other party. In the event of such termination, ProKidney-US will be obligated to pay Nefro any earned but unpaid consulting fee as of the termination date.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9" w:name="page20"/>
    <w:bookmarkEnd w:id="1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Redeemable Noncontrolling Interest</w:t>
      </w:r>
    </w:p>
    <w:p>
      <w:pPr>
        <w:spacing w:after="0" w:line="121" w:lineRule="exact"/>
        <w:rPr>
          <w:sz w:val="20"/>
          <w:szCs w:val="20"/>
          <w:color w:val="auto"/>
        </w:rPr>
      </w:pPr>
    </w:p>
    <w:p>
      <w:pPr>
        <w:ind w:firstLine="524"/>
        <w:spacing w:after="0" w:line="255" w:lineRule="auto"/>
        <w:rPr>
          <w:sz w:val="20"/>
          <w:szCs w:val="20"/>
          <w:color w:val="auto"/>
        </w:rPr>
      </w:pPr>
      <w:r>
        <w:rPr>
          <w:rFonts w:ascii="Times New Roman" w:cs="Times New Roman" w:eastAsia="Times New Roman" w:hAnsi="Times New Roman"/>
          <w:sz w:val="18"/>
          <w:szCs w:val="18"/>
          <w:color w:val="auto"/>
        </w:rPr>
        <w:t>The Company is subject to the Exchange Agreement with respect to the Post-Combination ProKidney Common Units representing the outstanding 56.1% noncontrolling interest in PKLP (see Note 1). The Exchange Agreement requires the surrender of an equal number of Post-Combination ProKidney Common Units and Class B ordinary shares for (i) Class A ordinary shares on a one-for-one basis or (ii) cash (based on the fair market value of the Class A ordinary shares as determined pursuant to the Exchange Agreement), at the Company’s option (as the managing member of PKLP), subject to customary conversion rate adjustments for share splits, share dividends and reclassifications. The exchange value is determined based on a five-day VWAP of the Class A ordinary shares as defined in the Exchange Agreement, subject to customary conversion rate adjustments for share splits, share dividends and reclassifications.</w:t>
      </w:r>
    </w:p>
    <w:p>
      <w:pPr>
        <w:spacing w:after="0" w:line="81" w:lineRule="exact"/>
        <w:rPr>
          <w:sz w:val="20"/>
          <w:szCs w:val="20"/>
          <w:color w:val="auto"/>
        </w:rPr>
      </w:pPr>
    </w:p>
    <w:p>
      <w:pPr>
        <w:ind w:firstLine="524"/>
        <w:spacing w:after="0" w:line="261" w:lineRule="auto"/>
        <w:rPr>
          <w:sz w:val="20"/>
          <w:szCs w:val="20"/>
          <w:color w:val="auto"/>
        </w:rPr>
      </w:pPr>
      <w:r>
        <w:rPr>
          <w:rFonts w:ascii="Times New Roman" w:cs="Times New Roman" w:eastAsia="Times New Roman" w:hAnsi="Times New Roman"/>
          <w:sz w:val="18"/>
          <w:szCs w:val="18"/>
          <w:color w:val="auto"/>
        </w:rPr>
        <w:t>The redeemable noncontrolling interest is recognized at the higher of (1) its initial fair value plus accumulated earnings/losses associated with the noncontrolling interest or (2) the redemption value as of the balance sheet date. At September 30, 2024, the redeemable noncontrolling interest was recorded based on its initial fair value plus accumulated losses associated with the noncontrolling interest which was higher than the redemption value as of the balance sheet date.</w:t>
      </w:r>
    </w:p>
    <w:p>
      <w:pPr>
        <w:spacing w:after="0" w:line="72" w:lineRule="exact"/>
        <w:rPr>
          <w:sz w:val="20"/>
          <w:szCs w:val="20"/>
          <w:color w:val="auto"/>
        </w:rPr>
      </w:pPr>
    </w:p>
    <w:p>
      <w:pPr>
        <w:ind w:right="460" w:firstLine="524"/>
        <w:spacing w:after="0" w:line="266" w:lineRule="auto"/>
        <w:rPr>
          <w:sz w:val="20"/>
          <w:szCs w:val="20"/>
          <w:color w:val="auto"/>
        </w:rPr>
      </w:pPr>
      <w:r>
        <w:rPr>
          <w:rFonts w:ascii="Times New Roman" w:cs="Times New Roman" w:eastAsia="Times New Roman" w:hAnsi="Times New Roman"/>
          <w:sz w:val="18"/>
          <w:szCs w:val="18"/>
          <w:color w:val="auto"/>
        </w:rPr>
        <w:t>Changes in the Company’s ownership interest in PKLP while the Company retains its controlling interest in PKLP are accounted for as equity transactions, and the Company is required to adjust noncontrolling interest and equity for such changes. The following is a summary of net income attributable to the Company and transfers to noncontrolling interest (in thousands):</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40" w:type="dxa"/>
            <w:vAlign w:val="bottom"/>
          </w:tcPr>
          <w:p>
            <w:pPr>
              <w:spacing w:after="0"/>
              <w:rPr>
                <w:sz w:val="18"/>
                <w:szCs w:val="18"/>
                <w:color w:val="auto"/>
              </w:rPr>
            </w:pPr>
          </w:p>
        </w:tc>
        <w:tc>
          <w:tcPr>
            <w:tcW w:w="27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5"/>
        </w:trPr>
        <w:tc>
          <w:tcPr>
            <w:tcW w:w="4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(17,910 )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(10,984 )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(39,908 )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(29,767 )</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accumulated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deficit for impact of</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subsidiary equity-based compensation</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additional paid-in</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 for exchange</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of Common Units in ProKidney LP for Class A ordinary</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2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(454 )</w:t>
            </w:r>
          </w:p>
        </w:tc>
        <w:tc>
          <w:tcPr>
            <w:tcW w:w="46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(64 )</w:t>
            </w:r>
          </w:p>
        </w:tc>
        <w:tc>
          <w:tcPr>
            <w:tcW w:w="2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(15,356 )</w:t>
            </w:r>
          </w:p>
        </w:tc>
        <w:tc>
          <w:tcPr>
            <w:tcW w:w="4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11"/>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ProKidney Corp. additional paid-in</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for vesting of</w:t>
            </w:r>
          </w:p>
        </w:tc>
        <w:tc>
          <w:tcPr>
            <w:tcW w:w="2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14,839</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(4,457 )</w:t>
            </w:r>
          </w:p>
        </w:tc>
        <w:tc>
          <w:tcPr>
            <w:tcW w:w="0" w:type="dxa"/>
            <w:vAlign w:val="bottom"/>
          </w:tcPr>
          <w:p>
            <w:pPr>
              <w:spacing w:after="0"/>
              <w:rPr>
                <w:sz w:val="1"/>
                <w:szCs w:val="1"/>
                <w:color w:val="auto"/>
              </w:rPr>
            </w:pPr>
          </w:p>
        </w:tc>
      </w:tr>
      <w:tr>
        <w:trPr>
          <w:trHeight w:val="234"/>
        </w:trPr>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Common Units in ProKidney LP</w:t>
            </w: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3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from net loss available to Class A ordinary</w:t>
            </w: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shareholders and change</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(16,747 )</w:t>
            </w:r>
          </w:p>
        </w:tc>
        <w:tc>
          <w:tcPr>
            <w:tcW w:w="460" w:type="dxa"/>
            <w:vAlign w:val="bottom"/>
            <w:vMerge w:val="restart"/>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(8,398 )</w:t>
            </w:r>
          </w:p>
        </w:tc>
        <w:tc>
          <w:tcPr>
            <w:tcW w:w="24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(36,560 )</w:t>
            </w:r>
          </w:p>
        </w:tc>
        <w:tc>
          <w:tcPr>
            <w:tcW w:w="460" w:type="dxa"/>
            <w:vAlign w:val="bottom"/>
            <w:vMerge w:val="restart"/>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(26,440 )</w:t>
            </w:r>
          </w:p>
        </w:tc>
        <w:tc>
          <w:tcPr>
            <w:tcW w:w="0" w:type="dxa"/>
            <w:vAlign w:val="bottom"/>
          </w:tcPr>
          <w:p>
            <w:pPr>
              <w:spacing w:after="0"/>
              <w:rPr>
                <w:sz w:val="1"/>
                <w:szCs w:val="1"/>
                <w:color w:val="auto"/>
              </w:rPr>
            </w:pPr>
          </w:p>
        </w:tc>
      </w:tr>
      <w:tr>
        <w:trPr>
          <w:trHeight w:val="227"/>
        </w:trPr>
        <w:tc>
          <w:tcPr>
            <w:tcW w:w="4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 ownership interest in ProKidney LP</w:t>
            </w:r>
          </w:p>
        </w:tc>
        <w:tc>
          <w:tcPr>
            <w:tcW w:w="240" w:type="dxa"/>
            <w:vAlign w:val="bottom"/>
            <w:vMerge w:val="continue"/>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140" w:type="dxa"/>
            <w:vAlign w:val="bottom"/>
            <w:gridSpan w:val="2"/>
            <w:vMerge w:val="continue"/>
            <w:shd w:val="clear" w:color="auto" w:fill="CFF0FC"/>
          </w:tcPr>
          <w:p>
            <w:pPr>
              <w:spacing w:after="0"/>
              <w:rPr>
                <w:sz w:val="19"/>
                <w:szCs w:val="19"/>
                <w:color w:val="auto"/>
              </w:rPr>
            </w:pPr>
          </w:p>
        </w:tc>
        <w:tc>
          <w:tcPr>
            <w:tcW w:w="24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9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-24765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Shareholders’ Equity</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June 2024, the Company sold 46,886,452 of its Class A ordinary shares in an underwritten public offering at a price of $2.42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in June 2024, the Company sold 11,030,574 of its Class A ordinary shares to certain investment entities at price of $2.42 per share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concurrent registered direct offering pursuant to share purchase agreements. The net proceeds to the Company from the offerings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$136,618,000, after deducting the underwriting discounts and commissions and offering expenses payable by the Company. The shares were offered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pursuant to the Company’s shelf registration statement on Form S-3.</w:t>
      </w:r>
    </w:p>
    <w:p>
      <w:pPr>
        <w:spacing w:after="0" w:line="106" w:lineRule="exact"/>
        <w:rPr>
          <w:sz w:val="20"/>
          <w:szCs w:val="20"/>
          <w:color w:val="auto"/>
        </w:rPr>
      </w:pPr>
    </w:p>
    <w:p>
      <w:pPr>
        <w:jc w:val="both"/>
        <w:ind w:right="180" w:firstLine="594"/>
        <w:spacing w:after="0" w:line="237" w:lineRule="auto"/>
        <w:rPr>
          <w:sz w:val="20"/>
          <w:szCs w:val="20"/>
          <w:color w:val="auto"/>
        </w:rPr>
      </w:pPr>
      <w:r>
        <w:rPr>
          <w:rFonts w:ascii="Times New Roman" w:cs="Times New Roman" w:eastAsia="Times New Roman" w:hAnsi="Times New Roman"/>
          <w:sz w:val="18"/>
          <w:szCs w:val="18"/>
          <w:color w:val="auto"/>
        </w:rPr>
        <w:t>In January 2024, the Company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(“Jefferies”) as the sales agent, pursuant to which the Company may offer and sell, from time to time, through Jefferies, shares of its Class A ordinary shares having an aggregate offering price of up to $100.0 million by any method deemed to be an “at the market offering” as defined in Rule 415(a)(4) under the Securities Act. The shares are offered and sold pursuant to the Company’s shelf registration statement on Form S-3.</w:t>
      </w:r>
    </w:p>
    <w:p>
      <w:pPr>
        <w:spacing w:after="0" w:line="93" w:lineRule="exact"/>
        <w:rPr>
          <w:sz w:val="20"/>
          <w:szCs w:val="20"/>
          <w:color w:val="auto"/>
        </w:rPr>
      </w:pPr>
    </w:p>
    <w:p>
      <w:pPr>
        <w:ind w:right="60" w:firstLine="59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sold 1,868,891 of its Class A ordinary shares under the Sales Agreement for net proceeds of $4,470,000. During the nine months ended September 30, 2024, the Company sold 4,170,791 of its Class A ordinary shares under the Sales Agreement for net proceeds of $7,707,000.</w:t>
      </w:r>
    </w:p>
    <w:p>
      <w:pPr>
        <w:spacing w:after="0" w:line="2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right="220" w:firstLine="5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attributable to Class A ordinary shareholders by the weighted-average shares of Class A ordinary shares outstanding without the consideration for potential dilutive securities. Diluted net loss per share</w:t>
      </w: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0" w:name="page21"/>
    <w:bookmarkEnd w:id="20"/>
    <w:p>
      <w:pPr>
        <w:ind w:right="300"/>
        <w:spacing w:after="0" w:line="282" w:lineRule="auto"/>
        <w:rPr>
          <w:sz w:val="20"/>
          <w:szCs w:val="20"/>
          <w:color w:val="auto"/>
        </w:rPr>
      </w:pPr>
      <w:r>
        <w:rPr>
          <w:rFonts w:ascii="Times New Roman" w:cs="Times New Roman" w:eastAsia="Times New Roman" w:hAnsi="Times New Roman"/>
          <w:sz w:val="18"/>
          <w:szCs w:val="18"/>
          <w:color w:val="auto"/>
        </w:rPr>
        <w:t>represents basic net loss per share adjusted to include the effects of all potentially dilutive shares. Diluted net loss per share is the same as basic loss per share for all periods as the inclusion of potentially issuable shares would be antidilutive.</w:t>
      </w:r>
    </w:p>
    <w:p>
      <w:pPr>
        <w:spacing w:after="0" w:line="54" w:lineRule="exact"/>
        <w:rPr>
          <w:sz w:val="20"/>
          <w:szCs w:val="20"/>
          <w:color w:val="auto"/>
        </w:rPr>
      </w:pPr>
    </w:p>
    <w:p>
      <w:pPr>
        <w:ind w:right="180"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share for the three months ended September 30, 2024 and 2023 (in thousands, except share and per share amounts):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7"/>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For the Nine Months Ended</w:t>
            </w:r>
          </w:p>
        </w:tc>
        <w:tc>
          <w:tcPr>
            <w:tcW w:w="0" w:type="dxa"/>
            <w:vAlign w:val="bottom"/>
          </w:tcPr>
          <w:p>
            <w:pPr>
              <w:spacing w:after="0"/>
              <w:rPr>
                <w:sz w:val="1"/>
                <w:szCs w:val="1"/>
                <w:color w:val="auto"/>
              </w:rPr>
            </w:pPr>
          </w:p>
        </w:tc>
      </w:tr>
      <w:tr>
        <w:trPr>
          <w:trHeight w:val="238"/>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gridSpan w:val="7"/>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(41,053 )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(41,991 )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(114,852 )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(113,723 )</w:t>
            </w: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(23,143 )</w:t>
            </w:r>
          </w:p>
        </w:tc>
        <w:tc>
          <w:tcPr>
            <w:tcW w:w="18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(31,007 )</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(74,944 )</w:t>
            </w:r>
          </w:p>
        </w:tc>
        <w:tc>
          <w:tcPr>
            <w:tcW w:w="12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(83,956 )</w:t>
            </w:r>
          </w:p>
        </w:tc>
        <w:tc>
          <w:tcPr>
            <w:tcW w:w="0" w:type="dxa"/>
            <w:vAlign w:val="bottom"/>
          </w:tcPr>
          <w:p>
            <w:pPr>
              <w:spacing w:after="0"/>
              <w:rPr>
                <w:sz w:val="1"/>
                <w:szCs w:val="1"/>
                <w:color w:val="auto"/>
              </w:rPr>
            </w:pPr>
          </w:p>
        </w:tc>
      </w:tr>
      <w:tr>
        <w:trPr>
          <w:trHeight w:val="209"/>
        </w:trPr>
        <w:tc>
          <w:tcPr>
            <w:tcW w:w="5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 of ProKidney</w:t>
            </w: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(17,910 )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(10,984 )</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(39,908 )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(29,767 )</w:t>
            </w:r>
          </w:p>
        </w:tc>
        <w:tc>
          <w:tcPr>
            <w:tcW w:w="0" w:type="dxa"/>
            <w:vAlign w:val="bottom"/>
          </w:tcPr>
          <w:p>
            <w:pPr>
              <w:spacing w:after="0"/>
              <w:rPr>
                <w:sz w:val="1"/>
                <w:szCs w:val="1"/>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1280" w:type="dxa"/>
            <w:vAlign w:val="bottom"/>
            <w:gridSpan w:val="4"/>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Class A ordinary shares or ProKidney Corp.</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126,173,463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61,592,876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87,818,229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61,565,298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Class A ordinary share</w:t>
            </w: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22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Net loss per Class A ordinary share of ProKidney Corp., basic and</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(0.14 )</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(0.18 )</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(0.45 )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(0.48 )</w:t>
            </w:r>
          </w:p>
        </w:tc>
        <w:tc>
          <w:tcPr>
            <w:tcW w:w="0" w:type="dxa"/>
            <w:vAlign w:val="bottom"/>
          </w:tcPr>
          <w:p>
            <w:pPr>
              <w:spacing w:after="0"/>
              <w:rPr>
                <w:sz w:val="1"/>
                <w:szCs w:val="1"/>
                <w:color w:val="auto"/>
              </w:rPr>
            </w:pPr>
          </w:p>
        </w:tc>
      </w:tr>
      <w:tr>
        <w:trPr>
          <w:trHeight w:val="207"/>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1280" w:type="dxa"/>
            <w:vAlign w:val="bottom"/>
            <w:gridSpan w:val="4"/>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420" w:type="dxa"/>
            <w:vAlign w:val="bottom"/>
            <w:gridSpan w:val="14"/>
          </w:tcPr>
          <w:p>
            <w:pPr>
              <w:ind w:left="200"/>
              <w:spacing w:after="0"/>
              <w:rPr>
                <w:sz w:val="20"/>
                <w:szCs w:val="20"/>
                <w:color w:val="auto"/>
              </w:rPr>
            </w:pPr>
            <w:r>
              <w:rPr>
                <w:rFonts w:ascii="Times New Roman" w:cs="Times New Roman" w:eastAsia="Times New Roman" w:hAnsi="Times New Roman"/>
                <w:sz w:val="18"/>
                <w:szCs w:val="18"/>
                <w:color w:val="auto"/>
              </w:rPr>
              <w:t>Outstanding anti-dilutive securities not included in the diluted net loss per share calculation include the following: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Antidilutive securities</w:t>
            </w: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ProKidney Corp. Class B ordinary shares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163,741,676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173,839,330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Restricted Stock Rights</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1,755,686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5,644,596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Earnout Rights</w:t>
            </w: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 granted under the 2022 Equity Incentive Plan</w:t>
            </w: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22,076,832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17,356,148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-3291205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-3291205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-3291205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-3291205</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-1807845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-1807845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-1807845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-1807845</wp:posOffset>
            </wp:positionV>
            <wp:extent cx="596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Based Compensation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Incentive Equity Plan</w:t>
      </w:r>
    </w:p>
    <w:p>
      <w:pPr>
        <w:spacing w:after="0" w:line="119" w:lineRule="exact"/>
        <w:rPr>
          <w:sz w:val="20"/>
          <w:szCs w:val="20"/>
          <w:color w:val="auto"/>
        </w:rPr>
      </w:pPr>
    </w:p>
    <w:p>
      <w:pPr>
        <w:ind w:firstLine="524"/>
        <w:spacing w:after="0" w:line="256" w:lineRule="auto"/>
        <w:rPr>
          <w:sz w:val="20"/>
          <w:szCs w:val="20"/>
          <w:color w:val="auto"/>
        </w:rPr>
      </w:pPr>
      <w:r>
        <w:rPr>
          <w:rFonts w:ascii="Times New Roman" w:cs="Times New Roman" w:eastAsia="Times New Roman" w:hAnsi="Times New Roman"/>
          <w:sz w:val="18"/>
          <w:szCs w:val="18"/>
          <w:color w:val="auto"/>
        </w:rPr>
        <w:t>On July 11, 2022, the shareholders of the Company approved the ProKidney Corp. 2022 Incentive Equity Plan (the “2022 Plan”) which provides for the issuance of equity based awards to the Company’s employees, non-employee directors, individual consultants, advisors and other service providers. The 2022 Plan provides for the issuance of equity awards in the form of incentive stock options, which are intended to satisfy the requirements of Section 422 of the Internal Revenue Code of 1986, as amended, or nonqualified stock options, which are not intended to meet those requirements, stock appreciation rights, restricted stock, restricted stock units, performance awards or other cash or stock-based awards as determined appropriate by the plan administrator. In settlement of its obligations under this plan, the Company will issue new Class A ordinary shares.</w:t>
      </w:r>
    </w:p>
    <w:p>
      <w:pPr>
        <w:spacing w:after="0" w:line="79" w:lineRule="exact"/>
        <w:rPr>
          <w:sz w:val="20"/>
          <w:szCs w:val="20"/>
          <w:color w:val="auto"/>
        </w:rPr>
      </w:pPr>
    </w:p>
    <w:p>
      <w:pPr>
        <w:ind w:firstLine="524"/>
        <w:spacing w:after="0" w:line="266" w:lineRule="auto"/>
        <w:rPr>
          <w:sz w:val="20"/>
          <w:szCs w:val="20"/>
          <w:color w:val="auto"/>
        </w:rPr>
      </w:pPr>
      <w:r>
        <w:rPr>
          <w:rFonts w:ascii="Times New Roman" w:cs="Times New Roman" w:eastAsia="Times New Roman" w:hAnsi="Times New Roman"/>
          <w:sz w:val="18"/>
          <w:szCs w:val="18"/>
          <w:color w:val="auto"/>
        </w:rPr>
        <w:t>The Company has issued incentive and non-qualified stock option awards under the 2022 Plan to certain employees, individual consultants and non-employee directors of the Company. Given that the Company has established a full valuation allowance against its deferred tax assets, the Company has recognized no tax benefit related to these awards.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Time-Vested Awards</w:t>
      </w:r>
    </w:p>
    <w:p>
      <w:pPr>
        <w:spacing w:after="0" w:line="121" w:lineRule="exact"/>
        <w:rPr>
          <w:sz w:val="20"/>
          <w:szCs w:val="20"/>
          <w:color w:val="auto"/>
        </w:rPr>
      </w:pPr>
    </w:p>
    <w:p>
      <w:pPr>
        <w:ind w:right="40" w:firstLine="524"/>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calculate the fair value of time-vested stock options granted. These awards generally vest ratably over a three or four-year period and the option awards expire after a term of ten years from the date of grant. The fair value of stock options granted was estimated using the following assumptions during the nine months ended September 30, 2024: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1" w:name="page22"/>
    <w:bookmarkEnd w:id="21"/>
    <w:tbl>
      <w:tblPr>
        <w:tblLayout w:type="fixed"/>
        <w:tblInd w:w="34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460" w:type="dxa"/>
            <w:vAlign w:val="bottom"/>
          </w:tcPr>
          <w:p>
            <w:pPr>
              <w:spacing w:after="0"/>
              <w:rPr>
                <w:sz w:val="20"/>
                <w:szCs w:val="20"/>
                <w:color w:val="auto"/>
              </w:rPr>
            </w:pPr>
          </w:p>
        </w:tc>
      </w:tr>
      <w:tr>
        <w:trPr>
          <w:trHeight w:val="250"/>
        </w:trPr>
        <w:tc>
          <w:tcPr>
            <w:tcW w:w="4700" w:type="dxa"/>
            <w:vAlign w:val="bottom"/>
          </w:tcPr>
          <w:p>
            <w:pPr>
              <w:spacing w:after="0"/>
              <w:rPr>
                <w:sz w:val="21"/>
                <w:szCs w:val="21"/>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820" w:type="dxa"/>
            <w:vAlign w:val="bottom"/>
            <w:tcBorders>
              <w:bottom w:val="single" w:sz="8" w:color="auto"/>
            </w:tcBorders>
            <w:gridSpan w:val="2"/>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- 85.0%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- 84.0%</w:t>
            </w:r>
          </w:p>
        </w:tc>
      </w:tr>
      <w:tr>
        <w:trPr>
          <w:trHeight w:val="23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w:t>
            </w: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- 4.3%</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8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c>
          <w:tcPr>
            <w:tcW w:w="304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0.0%</w:t>
            </w:r>
          </w:p>
        </w:tc>
      </w:tr>
    </w:tbl>
    <w:p>
      <w:pPr>
        <w:spacing w:after="0" w:line="98" w:lineRule="exact"/>
        <w:rPr>
          <w:sz w:val="20"/>
          <w:szCs w:val="20"/>
          <w:color w:val="auto"/>
        </w:rPr>
      </w:pPr>
    </w:p>
    <w:p>
      <w:pPr>
        <w:ind w:firstLine="5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activity related to the Company’s time-vested stock option awards granted under the 2022 Plan for the nine months ended September 30, 2024:</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7220" w:type="dxa"/>
            <w:vAlign w:val="bottom"/>
          </w:tcPr>
          <w:p>
            <w:pPr>
              <w:spacing w:after="0"/>
              <w:rPr>
                <w:sz w:val="21"/>
                <w:szCs w:val="21"/>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21"/>
                <w:szCs w:val="21"/>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outstanding at January 1, 2024</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14,680,109</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8,442,907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r>
      <w:tr>
        <w:trPr>
          <w:trHeight w:val="247"/>
        </w:trPr>
        <w:tc>
          <w:tcPr>
            <w:tcW w:w="7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(668 )</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(2,716,766 )</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0"/>
                <w:szCs w:val="20"/>
                <w:color w:val="auto"/>
              </w:rPr>
            </w:pPr>
          </w:p>
        </w:tc>
      </w:tr>
      <w:tr>
        <w:trPr>
          <w:trHeight w:val="277"/>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options outstanding at September 30, 2024</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20,405,582</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Time-vested options exercisable at September 30,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4,177,180</w:t>
            </w:r>
          </w:p>
        </w:tc>
        <w:tc>
          <w:tcPr>
            <w:tcW w:w="2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Pr>
          <w:p>
            <w:pPr>
              <w:spacing w:after="0"/>
              <w:rPr>
                <w:sz w:val="19"/>
                <w:szCs w:val="19"/>
                <w:color w:val="auto"/>
              </w:rPr>
            </w:pPr>
          </w:p>
        </w:tc>
      </w:tr>
      <w:tr>
        <w:trPr>
          <w:trHeight w:val="247"/>
        </w:trPr>
        <w:tc>
          <w:tcPr>
            <w:tcW w:w="7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8.3 years</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Time-vested options vested and expected to vest at September 30,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20,405,582</w:t>
            </w:r>
          </w:p>
        </w:tc>
        <w:tc>
          <w:tcPr>
            <w:tcW w:w="2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20"/>
                <w:szCs w:val="20"/>
                <w:color w:val="auto"/>
              </w:rPr>
            </w:pPr>
          </w:p>
        </w:tc>
      </w:tr>
      <w:tr>
        <w:trPr>
          <w:trHeight w:val="247"/>
        </w:trPr>
        <w:tc>
          <w:tcPr>
            <w:tcW w:w="72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8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8.8 years</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-642620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-625475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-642620</wp:posOffset>
            </wp:positionV>
            <wp:extent cx="596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-625475</wp:posOffset>
            </wp:positionV>
            <wp:extent cx="596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89" w:lineRule="auto"/>
        <w:rPr>
          <w:sz w:val="20"/>
          <w:szCs w:val="20"/>
          <w:color w:val="auto"/>
        </w:rPr>
      </w:pPr>
      <w:r>
        <w:rPr>
          <w:rFonts w:ascii="Times New Roman" w:cs="Times New Roman" w:eastAsia="Times New Roman" w:hAnsi="Times New Roman"/>
          <w:sz w:val="17"/>
          <w:szCs w:val="17"/>
          <w:color w:val="auto"/>
        </w:rPr>
        <w:t>As of September 30, 2024, the Company had total unrecognized stock-based compensation expense of approximately $47,185,000 related to the time-vested grants under the 2022 Plan, which is expected to be recognized on a straight-line basis over a weighted average period of 2.8 years. The weighted average grant date fair value for the option grants during the nine months ended September 30, 2024 and 2023 was $1.37 and $7.11, respectively.</w:t>
      </w:r>
    </w:p>
    <w:p>
      <w:pPr>
        <w:spacing w:after="0" w:line="50"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the in-the-money time-vested awards outstanding and those exercisable as of September 30, 2024 was $3,201,000 and $209,000,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has issued stock options to certain of its employees which vest based on the achievement of both operational performance metrics and service rendered over a specific time period. The following table summarizes the activity related to the Company’s performance-based stock option awards granted under the 2022 Plan for the nine months ended September 30, 2024:</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5"/>
        </w:trPr>
        <w:tc>
          <w:tcPr>
            <w:tcW w:w="722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1"/>
                <w:szCs w:val="21"/>
                <w:color w:val="auto"/>
              </w:rPr>
            </w:pP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outstanding at January 1,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4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671,250</w:t>
            </w:r>
          </w:p>
        </w:tc>
        <w:tc>
          <w:tcPr>
            <w:tcW w:w="28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FF0FC"/>
            </w:tcBorders>
          </w:tcPr>
          <w:p>
            <w:pPr>
              <w:spacing w:after="0"/>
              <w:rPr>
                <w:sz w:val="20"/>
                <w:szCs w:val="20"/>
                <w:color w:val="auto"/>
              </w:rPr>
            </w:pPr>
          </w:p>
        </w:tc>
      </w:tr>
      <w:tr>
        <w:trPr>
          <w:trHeight w:val="277"/>
        </w:trPr>
        <w:tc>
          <w:tcPr>
            <w:tcW w:w="7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outstanding at September 30, 2024</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1,671,250</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options exercisable at September 30, 2024</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Performance-based options vested and expected to vest at September 30, 2024</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1,671,250</w:t>
            </w:r>
          </w:p>
        </w:tc>
        <w:tc>
          <w:tcPr>
            <w:tcW w:w="42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FF0FC"/>
          </w:tcPr>
          <w:p>
            <w:pPr>
              <w:spacing w:after="0"/>
              <w:rPr>
                <w:sz w:val="21"/>
                <w:szCs w:val="21"/>
                <w:color w:val="auto"/>
              </w:rPr>
            </w:pPr>
          </w:p>
        </w:tc>
      </w:tr>
      <w:tr>
        <w:trPr>
          <w:trHeight w:val="234"/>
        </w:trPr>
        <w:tc>
          <w:tcPr>
            <w:tcW w:w="7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remaining contractual life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years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-482600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-465455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-645160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-482600</wp:posOffset>
            </wp:positionV>
            <wp:extent cx="596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-465455</wp:posOffset>
            </wp:positionV>
            <wp:extent cx="596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-645160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jc w:val="both"/>
        <w:ind w:right="3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total unrecognized stock-based compensation expense of approximately $458,000 related to the performance-based grants under the 2022 Plan, which is expected to be recognized on a straight-line basis over a weighted average period of 1.0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Market-Vested Awards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In previous periods, the Company had granted market-vested options to its former Chief Executive Officer, these awards were forfeited upon the termination of his employment in November 2023. There were no market-vested awards granted during the three and nine months ended September 30, 2024 and 2023. There were no market based awards outstanding at September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Profits Interests</w:t>
      </w:r>
    </w:p>
    <w:p>
      <w:pPr>
        <w:spacing w:after="0" w:line="121" w:lineRule="exact"/>
        <w:rPr>
          <w:sz w:val="20"/>
          <w:szCs w:val="20"/>
          <w:color w:val="auto"/>
        </w:rPr>
      </w:pPr>
    </w:p>
    <w:p>
      <w:pPr>
        <w:ind w:right="580" w:firstLine="524"/>
        <w:spacing w:after="0" w:line="261" w:lineRule="auto"/>
        <w:rPr>
          <w:sz w:val="20"/>
          <w:szCs w:val="20"/>
          <w:color w:val="auto"/>
        </w:rPr>
      </w:pPr>
      <w:r>
        <w:rPr>
          <w:rFonts w:ascii="Times New Roman" w:cs="Times New Roman" w:eastAsia="Times New Roman" w:hAnsi="Times New Roman"/>
          <w:sz w:val="18"/>
          <w:szCs w:val="18"/>
          <w:color w:val="auto"/>
        </w:rPr>
        <w:t>The Deed for the Establishment of a Limited Partnership of PKLP, dated as of August 5, 2021 (the “Limited Partnership Agreement”) which replaced the Amended and Restated Limited Liability Company Agreement of ProKidney LLC as the governing</w:t>
      </w: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t>document of the parent entity in the Company, allowed for the issuance of Profits Interests (as defined in the Limited Partnership Agreement) to employees, directors, other service providers of the Company and others denominated in the form of one or more Class B Units of PKLP (as defined in the Limited Partnership Agreement).</w:t>
      </w:r>
    </w:p>
    <w:p>
      <w:pPr>
        <w:spacing w:after="0" w:line="68" w:lineRule="exact"/>
        <w:rPr>
          <w:sz w:val="20"/>
          <w:szCs w:val="20"/>
          <w:color w:val="auto"/>
        </w:rPr>
      </w:pPr>
    </w:p>
    <w:p>
      <w:pPr>
        <w:ind w:right="140" w:firstLine="524"/>
        <w:spacing w:after="0" w:line="256" w:lineRule="auto"/>
        <w:rPr>
          <w:sz w:val="20"/>
          <w:szCs w:val="20"/>
          <w:color w:val="auto"/>
        </w:rPr>
      </w:pPr>
      <w:r>
        <w:rPr>
          <w:rFonts w:ascii="Times New Roman" w:cs="Times New Roman" w:eastAsia="Times New Roman" w:hAnsi="Times New Roman"/>
          <w:sz w:val="18"/>
          <w:szCs w:val="18"/>
          <w:color w:val="auto"/>
        </w:rPr>
        <w:t>Under the Limited Partnership Agreement, Legacy GP determined the terms and conditions of the Profits Interests issued. The threshold value assigned to each grant was not to be less than the fair market value of PKLP on the date of grant. Profits Interests awarded would vest at a rate of 25% on the latter of the first anniversary of employment and the first anniversary of the Acquisition Date with the remaining 75% to vest in increments of 25% on each anniversary following the first anniversary date, ratably over a three or four-year period from the date of grant, in annual installments of 33.3% over the three-year period from the date of grant, in increments of 6.25% each calendar quarter following the first anniversary date, or were fully vested upon issuance.</w:t>
      </w:r>
    </w:p>
    <w:p>
      <w:pPr>
        <w:spacing w:after="0" w:line="79" w:lineRule="exact"/>
        <w:rPr>
          <w:sz w:val="20"/>
          <w:szCs w:val="20"/>
          <w:color w:val="auto"/>
        </w:rPr>
      </w:pPr>
    </w:p>
    <w:p>
      <w:pPr>
        <w:ind w:right="200" w:firstLine="524"/>
        <w:spacing w:after="0" w:line="258" w:lineRule="auto"/>
        <w:rPr>
          <w:sz w:val="20"/>
          <w:szCs w:val="20"/>
          <w:color w:val="auto"/>
        </w:rPr>
      </w:pPr>
      <w:r>
        <w:rPr>
          <w:rFonts w:ascii="Times New Roman" w:cs="Times New Roman" w:eastAsia="Times New Roman" w:hAnsi="Times New Roman"/>
          <w:sz w:val="18"/>
          <w:szCs w:val="18"/>
          <w:color w:val="auto"/>
        </w:rPr>
        <w:t>On January 17, 2022, PKLP amended and restated its Limited Partnership Agreement (the “Amended and Restated Limited Partnership Agreement”) which provided that certain qualified distribution events would result in holders of Profits Interests receiving disproportionate distributions from PKLP until each such holder’s valuation threshold had been reduced to zero in order to “catch up” such holder’s distributions to its pro rata share of aggregate cumulative distributions, and once sufficient distributions to a holder of Profits Interests had been made in accordance with the foregoing, the associated Class B Units of PKLP would automatically be converted into Class A Units of PKLP (as defined in the Limited Partnership Agreement).</w:t>
      </w:r>
    </w:p>
    <w:p>
      <w:pPr>
        <w:spacing w:after="0" w:line="2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discussed in Note 1, PKLP’s existing Class B and B-1 Units were “caught up” and were converted into Class A Units of PKLP. The resulting vested and unvested Class A Units of PKLP were then recapitalized into Post-Combination ProKidney Common Units or Restricted Common Units of the Company, respectively. This recapitalization resulted in a decrease in the number of awards held by each participant. As such, the number of Profits Interests and related per unit values within these financial statements have been adjusted to reflect this recapitalization. Upon recapitalization, the Restricted Common Units maintained the vesting schedules associated with the original Profits Interest awards.</w:t>
      </w:r>
    </w:p>
    <w:p>
      <w:pPr>
        <w:spacing w:after="0" w:line="7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Profits Interest awards for the nine months ended September 30, 2024:</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16"/>
        </w:trPr>
        <w:tc>
          <w:tcPr>
            <w:tcW w:w="7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7220" w:type="dxa"/>
            <w:vAlign w:val="bottom"/>
          </w:tcPr>
          <w:p>
            <w:pPr>
              <w:spacing w:after="0"/>
              <w:rPr>
                <w:sz w:val="21"/>
                <w:szCs w:val="21"/>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30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43"/>
        </w:trPr>
        <w:tc>
          <w:tcPr>
            <w:tcW w:w="7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January 1, 2024</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3,565,753</w:t>
            </w:r>
          </w:p>
        </w:tc>
        <w:tc>
          <w:tcPr>
            <w:tcW w:w="280" w:type="dxa"/>
            <w:vAlign w:val="bottom"/>
            <w:shd w:val="clear" w:color="auto" w:fill="CFF0FC"/>
          </w:tcPr>
          <w:p>
            <w:pPr>
              <w:spacing w:after="0"/>
              <w:rPr>
                <w:sz w:val="21"/>
                <w:szCs w:val="21"/>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FF0FC"/>
          </w:tcPr>
          <w:p>
            <w:pPr>
              <w:spacing w:after="0"/>
              <w:rPr>
                <w:sz w:val="21"/>
                <w:szCs w:val="21"/>
                <w:color w:val="auto"/>
              </w:rPr>
            </w:pPr>
          </w:p>
        </w:tc>
      </w:tr>
      <w:tr>
        <w:trPr>
          <w:trHeight w:val="239"/>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(1,336,572 )</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Pr>
          <w:p>
            <w:pPr>
              <w:spacing w:after="0"/>
              <w:rPr>
                <w:sz w:val="20"/>
                <w:szCs w:val="20"/>
                <w:color w:val="auto"/>
              </w:rPr>
            </w:pPr>
          </w:p>
        </w:tc>
      </w:tr>
      <w:tr>
        <w:trPr>
          <w:trHeight w:val="243"/>
        </w:trPr>
        <w:tc>
          <w:tcPr>
            <w:tcW w:w="7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(473,495 )</w:t>
            </w:r>
          </w:p>
        </w:tc>
        <w:tc>
          <w:tcPr>
            <w:tcW w:w="3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FF0FC"/>
          </w:tcPr>
          <w:p>
            <w:pPr>
              <w:spacing w:after="0"/>
              <w:rPr>
                <w:sz w:val="21"/>
                <w:szCs w:val="21"/>
                <w:color w:val="auto"/>
              </w:rPr>
            </w:pPr>
          </w:p>
        </w:tc>
      </w:tr>
      <w:tr>
        <w:trPr>
          <w:trHeight w:val="237"/>
        </w:trPr>
        <w:tc>
          <w:tcPr>
            <w:tcW w:w="72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Unvested awards outstanding at September 30, 2024</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1,755,686</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CFF0FC"/>
            </w:tcBorders>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740" w:firstLine="524"/>
        <w:spacing w:after="0" w:line="282" w:lineRule="auto"/>
        <w:rPr>
          <w:sz w:val="20"/>
          <w:szCs w:val="20"/>
          <w:color w:val="auto"/>
        </w:rPr>
      </w:pPr>
      <w:r>
        <w:rPr>
          <w:rFonts w:ascii="Times New Roman" w:cs="Times New Roman" w:eastAsia="Times New Roman" w:hAnsi="Times New Roman"/>
          <w:sz w:val="18"/>
          <w:szCs w:val="18"/>
          <w:color w:val="auto"/>
        </w:rPr>
        <w:t>As of September 30, 2024, the unrecognized compensation expense related to these awards was $8,002,000. The current weighted average remaining period over which the unrecognized compensation expense is expected to be recognized is 1.2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Equity Based Compensation Awards</w:t>
      </w:r>
    </w:p>
    <w:p>
      <w:pPr>
        <w:spacing w:after="0" w:line="121" w:lineRule="exact"/>
        <w:rPr>
          <w:sz w:val="20"/>
          <w:szCs w:val="20"/>
          <w:color w:val="auto"/>
        </w:rPr>
      </w:pPr>
    </w:p>
    <w:p>
      <w:pPr>
        <w:ind w:right="180" w:firstLine="5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modified the vesting terms of outstanding time-based stock options issued to certain personnel upon their separation. This amendment constituted a modification of the awards under the provisions of ASC Topic 718 and resulted in the recognition of an additional $3,011,000 of compensation expense during the nine months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Based Compensation Expense</w:t>
      </w:r>
    </w:p>
    <w:p>
      <w:pPr>
        <w:spacing w:after="0" w:line="121" w:lineRule="exact"/>
        <w:rPr>
          <w:sz w:val="20"/>
          <w:szCs w:val="20"/>
          <w:color w:val="auto"/>
        </w:rPr>
      </w:pPr>
    </w:p>
    <w:p>
      <w:pPr>
        <w:ind w:right="200" w:firstLine="524"/>
        <w:spacing w:after="0" w:line="282" w:lineRule="auto"/>
        <w:rPr>
          <w:sz w:val="20"/>
          <w:szCs w:val="20"/>
          <w:color w:val="auto"/>
        </w:rPr>
      </w:pPr>
      <w:r>
        <w:rPr>
          <w:rFonts w:ascii="Times New Roman" w:cs="Times New Roman" w:eastAsia="Times New Roman" w:hAnsi="Times New Roman"/>
          <w:sz w:val="18"/>
          <w:szCs w:val="18"/>
          <w:color w:val="auto"/>
        </w:rPr>
        <w:t>Compensation expense related to equity-based awards is included in research and development and general and administrative expense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47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13,324</w:t>
            </w:r>
          </w:p>
        </w:tc>
        <w:tc>
          <w:tcPr>
            <w:tcW w:w="100" w:type="dxa"/>
            <w:vAlign w:val="bottom"/>
            <w:shd w:val="clear" w:color="auto" w:fill="CFF0FC"/>
          </w:tcPr>
          <w:p>
            <w:pPr>
              <w:spacing w:after="0"/>
              <w:rPr>
                <w:sz w:val="21"/>
                <w:szCs w:val="21"/>
                <w:color w:val="auto"/>
              </w:rPr>
            </w:pPr>
          </w:p>
        </w:tc>
      </w:tr>
      <w:tr>
        <w:trPr>
          <w:trHeight w:val="239"/>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23,891</w:t>
            </w:r>
          </w:p>
        </w:tc>
        <w:tc>
          <w:tcPr>
            <w:tcW w:w="100" w:type="dxa"/>
            <w:vAlign w:val="bottom"/>
          </w:tcPr>
          <w:p>
            <w:pPr>
              <w:spacing w:after="0"/>
              <w:rPr>
                <w:sz w:val="20"/>
                <w:szCs w:val="20"/>
                <w:color w:val="auto"/>
              </w:rPr>
            </w:pPr>
          </w:p>
        </w:tc>
      </w:tr>
      <w:tr>
        <w:trPr>
          <w:trHeight w:val="281"/>
        </w:trPr>
        <w:tc>
          <w:tcPr>
            <w:tcW w:w="4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37,215</w:t>
            </w:r>
          </w:p>
        </w:tc>
        <w:tc>
          <w:tcPr>
            <w:tcW w:w="100" w:type="dxa"/>
            <w:vAlign w:val="bottom"/>
            <w:shd w:val="clear" w:color="auto" w:fill="CFF0FC"/>
          </w:tcPr>
          <w:p>
            <w:pPr>
              <w:spacing w:after="0"/>
              <w:rPr>
                <w:sz w:val="24"/>
                <w:szCs w:val="24"/>
                <w:color w:val="auto"/>
              </w:rPr>
            </w:pPr>
          </w:p>
        </w:tc>
      </w:tr>
      <w:tr>
        <w:trPr>
          <w:trHeight w:val="413"/>
        </w:trPr>
        <w:tc>
          <w:tcPr>
            <w:tcW w:w="47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-796290</wp:posOffset>
            </wp:positionV>
            <wp:extent cx="774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-779145</wp:posOffset>
            </wp:positionV>
            <wp:extent cx="7747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-796290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-779145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-796290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-779145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ind w:left="540"/>
        <w:spacing w:after="0"/>
        <w:rPr>
          <w:sz w:val="20"/>
          <w:szCs w:val="20"/>
          <w:color w:val="auto"/>
        </w:rPr>
      </w:pPr>
      <w:r>
        <w:rPr>
          <w:rFonts w:ascii="Times New Roman" w:cs="Times New Roman" w:eastAsia="Times New Roman" w:hAnsi="Times New Roman"/>
          <w:sz w:val="18"/>
          <w:szCs w:val="18"/>
          <w:color w:val="auto"/>
        </w:rPr>
        <w:t>The following table summarizes our equity based compensation by type of award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9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29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40" w:type="dxa"/>
            <w:vAlign w:val="bottom"/>
          </w:tcPr>
          <w:p>
            <w:pPr>
              <w:spacing w:after="0"/>
              <w:rPr>
                <w:sz w:val="20"/>
                <w:szCs w:val="20"/>
                <w:color w:val="auto"/>
              </w:rPr>
            </w:pPr>
          </w:p>
        </w:tc>
      </w:tr>
      <w:tr>
        <w:trPr>
          <w:trHeight w:val="250"/>
        </w:trPr>
        <w:tc>
          <w:tcPr>
            <w:tcW w:w="3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Time-vested stock options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15,889</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Performance-based stock options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Market-vested stock options</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100" w:type="dxa"/>
            <w:vAlign w:val="bottom"/>
            <w:shd w:val="clear" w:color="auto" w:fill="CFF0FC"/>
          </w:tcPr>
          <w:p>
            <w:pPr>
              <w:spacing w:after="0"/>
              <w:rPr>
                <w:sz w:val="21"/>
                <w:szCs w:val="21"/>
                <w:color w:val="auto"/>
              </w:rPr>
            </w:pPr>
          </w:p>
        </w:tc>
        <w:tc>
          <w:tcPr>
            <w:tcW w:w="340" w:type="dxa"/>
            <w:vAlign w:val="bottom"/>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profits interests</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81"/>
        </w:trPr>
        <w:tc>
          <w:tcPr>
            <w:tcW w:w="340" w:type="dxa"/>
            <w:vAlign w:val="bottom"/>
          </w:tcPr>
          <w:p>
            <w:pPr>
              <w:spacing w:after="0"/>
              <w:rPr>
                <w:sz w:val="24"/>
                <w:szCs w:val="24"/>
                <w:color w:val="auto"/>
              </w:rPr>
            </w:pPr>
          </w:p>
        </w:tc>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equity-based compensation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5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37,215</w:t>
            </w:r>
          </w:p>
        </w:tc>
        <w:tc>
          <w:tcPr>
            <w:tcW w:w="100" w:type="dxa"/>
            <w:vAlign w:val="bottom"/>
            <w:shd w:val="clear" w:color="auto" w:fill="CFF0FC"/>
          </w:tcPr>
          <w:p>
            <w:pPr>
              <w:spacing w:after="0"/>
              <w:rPr>
                <w:sz w:val="24"/>
                <w:szCs w:val="24"/>
                <w:color w:val="auto"/>
              </w:rPr>
            </w:pPr>
          </w:p>
        </w:tc>
        <w:tc>
          <w:tcPr>
            <w:tcW w:w="340" w:type="dxa"/>
            <w:vAlign w:val="bottom"/>
          </w:tcPr>
          <w:p>
            <w:pPr>
              <w:spacing w:after="0"/>
              <w:rPr>
                <w:sz w:val="24"/>
                <w:szCs w:val="24"/>
                <w:color w:val="auto"/>
              </w:rPr>
            </w:pPr>
          </w:p>
        </w:tc>
      </w:tr>
      <w:tr>
        <w:trPr>
          <w:trHeight w:val="413"/>
        </w:trPr>
        <w:tc>
          <w:tcPr>
            <w:tcW w:w="340" w:type="dxa"/>
            <w:vAlign w:val="bottom"/>
          </w:tcPr>
          <w:p>
            <w:pPr>
              <w:spacing w:after="0"/>
              <w:rPr>
                <w:sz w:val="24"/>
                <w:szCs w:val="24"/>
                <w:color w:val="auto"/>
              </w:rPr>
            </w:pPr>
          </w:p>
        </w:tc>
        <w:tc>
          <w:tcPr>
            <w:tcW w:w="444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40" w:type="dxa"/>
            <w:vAlign w:val="bottom"/>
          </w:tcPr>
          <w:p>
            <w:pPr>
              <w:spacing w:after="0"/>
              <w:rPr>
                <w:sz w:val="24"/>
                <w:szCs w:val="24"/>
                <w:color w:val="auto"/>
              </w:rPr>
            </w:pPr>
          </w:p>
        </w:tc>
      </w:tr>
      <w:tr>
        <w:trPr>
          <w:trHeight w:val="763"/>
        </w:trPr>
        <w:tc>
          <w:tcPr>
            <w:tcW w:w="34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-796290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-779145</wp:posOffset>
            </wp:positionV>
            <wp:extent cx="685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-796290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-779145</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-796290</wp:posOffset>
            </wp:positionV>
            <wp:extent cx="603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-779145</wp:posOffset>
            </wp:positionV>
            <wp:extent cx="603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-796290</wp:posOffset>
            </wp:positionV>
            <wp:extent cx="596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-779145</wp:posOffset>
            </wp:positionV>
            <wp:extent cx="596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the “Company”, the “Registrant”, “we” or “us” refer to ProKidney Corp. The following discussion and analysis of our financial condition and results of operations should be read in conjunction with our unaudited condensed consolidated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in the Risk Factors section of the Annual Report on Form 10-K filed with the Securities and Exchange Commission,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24"/>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transformative proprietary cell therapy platform that has the potential to treat multiple chronic kidney diseases using a patient’s own cells isolated from the patient intended for treatment. Our approach seeks to redefine the treatment of chronic kidney disease (“CKD”), shifting the emphasis away from management of kidney failure to the preservation, if not improvement, of kidney function. Our lead product candidate, rilparencel (which we sometimes refer to as REACT®), is designed to preserve kidney function in a CKD patient’s diseased kidneys. Rilparencel is a product that includes autologous Selected Renal Cells (“SRC”) prepared from a patient’s own (autologous) kidney cells. SRC are formulated into a product for reinjection into the patient’s kidneys using a minimally invasive outpatient procedure that is repeatable, if necessary. Because rilparencel is a personalized treatment composed of cells prepared from a patient’s own kidney, there is no need for treatment with immunosuppressive therapies that are required during a patient’s lifetime when a patient receives a kidney transplant from another, allogeneic donor.</w:t>
      </w:r>
    </w:p>
    <w:p>
      <w:pPr>
        <w:spacing w:after="0" w:line="84" w:lineRule="exact"/>
        <w:rPr>
          <w:sz w:val="20"/>
          <w:szCs w:val="20"/>
          <w:color w:val="auto"/>
        </w:rPr>
      </w:pPr>
    </w:p>
    <w:p>
      <w:pPr>
        <w:ind w:right="100" w:firstLine="524"/>
        <w:spacing w:after="0" w:line="258" w:lineRule="auto"/>
        <w:rPr>
          <w:sz w:val="20"/>
          <w:szCs w:val="20"/>
          <w:color w:val="auto"/>
        </w:rPr>
      </w:pPr>
      <w:r>
        <w:rPr>
          <w:rFonts w:ascii="Times New Roman" w:cs="Times New Roman" w:eastAsia="Times New Roman" w:hAnsi="Times New Roman"/>
          <w:sz w:val="18"/>
          <w:szCs w:val="18"/>
          <w:color w:val="auto"/>
        </w:rPr>
        <w:t>We are currently conducting a global Phase 3 development program and one ongoing Phase 2 clinical trial for rilparencel in subjects with moderate to severe diabetic kidney disease (“DKD”). We also completed a Phase 1 clinical trial for rilparencel in subjects with CKD due to congenital anomalies of the kidney and urinary tract (“CAKUT”) for which the last subject visit occurred in January 2023 and the clinical study report was submitted to the United States Food and Drug Administration (“FDA”) in December 2023. Rilparencel has, to date, been generally well tolerated by subjects with moderate to severe CKD in Phase 1 and 2 clinical testing.</w:t>
      </w:r>
    </w:p>
    <w:p>
      <w:pPr>
        <w:spacing w:after="0" w:line="75" w:lineRule="exact"/>
        <w:rPr>
          <w:sz w:val="20"/>
          <w:szCs w:val="20"/>
          <w:color w:val="auto"/>
        </w:rPr>
      </w:pPr>
    </w:p>
    <w:p>
      <w:pPr>
        <w:ind w:right="120" w:firstLine="569"/>
        <w:spacing w:after="0" w:line="258"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and scientific planning, conducting discovery and research activities, acquiring or discovering product candidates, establishing and protecting our intellectual property portfolio, developing and progressing rilparencel, raising capital and preparing for clinical trials, establishing arrangements with third parties for the manufacture of component materials, and providing general and administrative support for these operations. We do not have any product candidates approved for sale and have not generated any revenue from product sales.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REGEN-006/PROACT 1 trial:</w:t>
      </w:r>
    </w:p>
    <w:p>
      <w:pPr>
        <w:spacing w:after="0" w:line="121" w:lineRule="exact"/>
        <w:rPr>
          <w:sz w:val="20"/>
          <w:szCs w:val="20"/>
          <w:color w:val="auto"/>
        </w:rPr>
      </w:pPr>
    </w:p>
    <w:p>
      <w:pPr>
        <w:ind w:right="100" w:firstLine="509"/>
        <w:spacing w:after="0" w:line="230" w:lineRule="auto"/>
        <w:rPr>
          <w:sz w:val="20"/>
          <w:szCs w:val="20"/>
          <w:color w:val="auto"/>
        </w:rPr>
      </w:pPr>
      <w:r>
        <w:rPr>
          <w:rFonts w:ascii="Times New Roman" w:cs="Times New Roman" w:eastAsia="Times New Roman" w:hAnsi="Times New Roman"/>
          <w:sz w:val="18"/>
          <w:szCs w:val="18"/>
          <w:color w:val="auto"/>
        </w:rPr>
        <w:t>REGEN-006 (PROACT 1) is an ongoing Phase 3, randomized, blinded, bi-lateral kidney dose, sham control arm, controlled safety and efficacy study of rilparencel in subjects with advanced kidney disease caused by type 2 diabetes. The related study protocol has been amended to focus on a subset of patients with Stage 4 CKD (estimated glomerular filtration rate (“eGFR”)) between 20 and 30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and late Stage 3b CKD (eGFR between 30 and 35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with accompanying albuminuria (urinary albumin-creatinine ratio (“UACR”) between 300 and 5000 mg/g). PROACT 1 has resumed enrolling patients under the amended protocol.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REGEN-016/PROACT 2 trial:</w:t>
      </w:r>
    </w:p>
    <w:p>
      <w:pPr>
        <w:spacing w:after="0" w:line="121" w:lineRule="exact"/>
        <w:rPr>
          <w:sz w:val="20"/>
          <w:szCs w:val="20"/>
          <w:color w:val="auto"/>
        </w:rPr>
      </w:pPr>
    </w:p>
    <w:p>
      <w:pPr>
        <w:ind w:right="100" w:firstLine="509"/>
        <w:spacing w:after="0" w:line="236" w:lineRule="auto"/>
        <w:rPr>
          <w:sz w:val="20"/>
          <w:szCs w:val="20"/>
          <w:color w:val="auto"/>
        </w:rPr>
      </w:pPr>
      <w:r>
        <w:rPr>
          <w:rFonts w:ascii="Times New Roman" w:cs="Times New Roman" w:eastAsia="Times New Roman" w:hAnsi="Times New Roman"/>
          <w:sz w:val="18"/>
          <w:szCs w:val="18"/>
          <w:color w:val="auto"/>
        </w:rPr>
        <w:t>REGEN-016 (PROACT 2) was a planned Phase 3, randomized, blinded, sham control arm, bi-lateral kidney dose, controlled safety and efficacy study of rilparencel in subjects with Stages 3b and 4 CKD caused by type 2 diabetes (specifically eGFR between 20 and 44 mL/min/1.73m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with moderate to severe albuminuria (UACR between 300 and 5,000 mg/g)).</w:t>
      </w:r>
    </w:p>
    <w:p>
      <w:pPr>
        <w:spacing w:after="0" w:line="9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the third quarter of 2024, we completed a comprehensive internal and external review, including engaging with ex-FDA officials and seasoned regulatory experts, to determine the optimal path to bring rilparencel to patients in the U.S. with type 2 diabetes and advanced CKD – a market where there is high unmet clinical and economic need. An important conclusion of this review was that under the provisions of the Regenerative Medicine Advanced Therapy (“RMAT”) designation, we believe rilparencel is eligible for initial FDA approval under an expedited approval pathway based upon successful completion of the ongoing Phase 3 REGEN-006 (PROACT 1) trial. We believe that the Phase 3 REGEN-016 (PROACT 2) trial is not required for initial U.S. registration. Thus, we have discontinued PROACT 2, which was focused on enrollment outside the U.S.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October 2024, we had a Type B meeting with the FDA to discuss updates to rilparencel’s registrational trial strategy. The FDA confirmed that PROACT 1 could be sufficient to support a potential Biologics License Application (“BLA”) submission. Additionally,the FDA confirmed that the accelerated approval pathway is available to rilparencel and that the Company could consider eGFR slope as a surrogate endpoint for accelerated approval. We will continue to engage with the FDA, under our RMAT designation, to further define the details supporting this accelerated pathway.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Matters: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Due to a change in the planned use for our Greensboro, North Carolina facility, we performed an impairment analysis to compare the building’s carrying value with its estimated fair value. This analysis resulted in the recognition of a non-cash impairment charge of $5.3 million during the three and nine months ended September 30, 2024.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We have not generated any revenue since our inception and do not expect to generate any revenue from the sale of products in the near future, if at all. If our development efforts for rilparencel or any other product candidates are successful and result in marketing approval, or if we enter into collaboration or license agreements with third parties, we may generate revenue in the future from a combination of product sales or payments from such agreements.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our research and development activities, including the development of rilparencel.</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costs include:</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CROs and other scientific development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other outside consultants, including their fees and related travel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quality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laboratory supplies and acquiring and developing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and stock-based compensation expenses, for individuals involved in research and development activities; and</w:t>
      </w:r>
    </w:p>
    <w:p>
      <w:pPr>
        <w:spacing w:after="0" w:line="53" w:lineRule="exact"/>
        <w:rPr>
          <w:rFonts w:ascii="Times New Roman" w:cs="Times New Roman" w:eastAsia="Times New Roman" w:hAnsi="Times New Roman"/>
          <w:sz w:val="18"/>
          <w:szCs w:val="18"/>
          <w:color w:val="auto"/>
        </w:rPr>
      </w:pPr>
    </w:p>
    <w:p>
      <w:pPr>
        <w:ind w:left="1020" w:right="5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insurance and other internal operating costs.</w:t>
      </w:r>
    </w:p>
    <w:p>
      <w:pPr>
        <w:spacing w:after="0" w:line="162"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external development costs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balance sheets as prepaid clinical or as a component of total accrued expenses and other. Nonrefundable advance payments for goods or services to be received in the future for use in research and development activities are deferred and capitalized, even when there is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right="140"/>
        <w:spacing w:after="0" w:line="282" w:lineRule="auto"/>
        <w:rPr>
          <w:sz w:val="20"/>
          <w:szCs w:val="20"/>
          <w:color w:val="auto"/>
        </w:rPr>
      </w:pPr>
      <w:r>
        <w:rPr>
          <w:rFonts w:ascii="Times New Roman" w:cs="Times New Roman" w:eastAsia="Times New Roman" w:hAnsi="Times New Roman"/>
          <w:sz w:val="18"/>
          <w:szCs w:val="18"/>
          <w:color w:val="auto"/>
        </w:rPr>
        <w:t>no alternative future use for the research and development. The capitalized amounts are recorded as prepaid clinical and are expensed as the related goods are delivered or the services are performed.</w:t>
      </w:r>
    </w:p>
    <w:p>
      <w:pPr>
        <w:spacing w:after="0" w:line="16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We expect that our research and development expenses will increase significantly for the foreseeable future as rilparencel moves into later stages of clinical development.</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successful development of rilparencel and any product candidates we may develop in the future is highly uncertain. Therefore, we cannot reasonably estimate or know the nature, timing and estimated costs of the efforts that will be necessary to complete the development and commercialization of any of our product candidates. We are also unable to predict when, if ever, material net cash inflows will commence from the sale of rilparencel or potential future product candidates, if approved. This is due to the numerous risks and uncertainties associated with developing product candidates, many of which are outside of our control, including the uncertainty of:</w:t>
      </w:r>
    </w:p>
    <w:p>
      <w:pPr>
        <w:spacing w:after="0" w:line="75"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non-clinical and clinical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current research and development programs and to establish new ones;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safety-profile;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and patients involved in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clinical trials are conducted;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patient enrollment in, and the initiation of, clinical trials, as well as drop out or discontinuation rates;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completion of clinical trials with safety, tolerability and efficacy profiles that are satisfactory to the FDA and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regulatory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regulatory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new licensing or collaboration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future collaborators, if 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defending and enforcing patient claims or other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rilparencel over other therapies;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rilparencel, if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rilparencel following approval.</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Any changes in the outcome of any of these variables could mean a significant change in the costs and timing associated with the development of our product candidates.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 We may never obtain regulatory approval for any of our product candidates.</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equity-based compensation expenses for individuals involved in our executive, finance, corporate and administrative functions, as well as expenses for outside professional services, including legal, audit, accounting and tax-related services and other consulting fees, facility-related expenses, which include depreciation costs and other allocated expenses for rent and maintenance of facilities, insurance costs, recruiting costs, travel expenses and other general administrative expenses.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firstLine="509"/>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significantly for the foreseeable future as our business expands and we hire additional personnel to support our operations. We also anticipate increased expenses associated with being a public company, including costs for legal, audit, accounting, investor and public relations, tax-related services, director and officer insurance, and regulatory costs related to compliance with the rules and regulations of the United States Securities and Exchange Commission (the “SEC”) as well as listing standards applicable to companies listed on a national securities exchange.</w:t>
      </w:r>
    </w:p>
    <w:p>
      <w:pPr>
        <w:spacing w:after="0" w:line="11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consists primarily of interest income earned on cash, cash equivalents and marketable securities.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Income tax expense reflects federal and state taxes on income earned by our subsidiary that is organized as a C corporation for U.S. income tax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0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41"/>
        </w:trPr>
        <w:tc>
          <w:tcPr>
            <w:tcW w:w="66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r>
      <w:tr>
        <w:trPr>
          <w:trHeight w:val="23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8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32,198</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(948 )</w:t>
            </w:r>
          </w:p>
        </w:tc>
      </w:tr>
      <w:tr>
        <w:trPr>
          <w:trHeight w:val="247"/>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17,723</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14,419</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48,973</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Pr>
          <w:p>
            <w:pPr>
              <w:spacing w:after="0"/>
              <w:rPr>
                <w:sz w:val="20"/>
                <w:szCs w:val="20"/>
                <w:color w:val="auto"/>
              </w:rPr>
            </w:pPr>
          </w:p>
        </w:tc>
      </w:tr>
      <w:tr>
        <w:trPr>
          <w:trHeight w:val="23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(48,973 )</w:t>
            </w: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(46,617 )</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(2,356 )</w:t>
            </w:r>
          </w:p>
        </w:tc>
      </w:tr>
      <w:tr>
        <w:trPr>
          <w:trHeight w:val="232"/>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28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w:t>
            </w:r>
          </w:p>
        </w:tc>
        <w:tc>
          <w:tcPr>
            <w:tcW w:w="2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FF0FC"/>
            </w:tcBorders>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(43,395 )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(41,078 )</w:t>
            </w:r>
          </w:p>
        </w:tc>
        <w:tc>
          <w:tcPr>
            <w:tcW w:w="2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(2,317 )</w:t>
            </w:r>
          </w:p>
        </w:tc>
      </w:tr>
      <w:tr>
        <w:trPr>
          <w:trHeight w:val="20"/>
        </w:trPr>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0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(2,342 )</w:t>
            </w: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(3,255 )</w:t>
            </w: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30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(41,053 )</w:t>
            </w:r>
          </w:p>
        </w:tc>
        <w:tc>
          <w:tcPr>
            <w:tcW w:w="28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(41,991 )</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(23,143 )</w:t>
            </w:r>
          </w:p>
        </w:tc>
        <w:tc>
          <w:tcPr>
            <w:tcW w:w="28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(31,007 )</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w:t>
            </w:r>
          </w:p>
        </w:tc>
        <w:tc>
          <w:tcPr>
            <w:tcW w:w="100" w:type="dxa"/>
            <w:vAlign w:val="bottom"/>
            <w:shd w:val="clear" w:color="auto" w:fill="CFF0FC"/>
          </w:tcPr>
          <w:p>
            <w:pPr>
              <w:spacing w:after="0"/>
              <w:rPr>
                <w:sz w:val="21"/>
                <w:szCs w:val="2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(17,910 )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(10,984 )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(6,926 )</w:t>
            </w:r>
          </w:p>
        </w:tc>
      </w:tr>
      <w:tr>
        <w:trPr>
          <w:trHeight w:val="20"/>
        </w:trPr>
        <w:tc>
          <w:tcPr>
            <w:tcW w:w="6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-1473835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-1473835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-1148080</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-1148080</wp:posOffset>
            </wp:positionV>
            <wp:extent cx="685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-830580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-830580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-504825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-504825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-187960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-187960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decrease in research and development expenses of approximately $0.9 million was primarily driven by the following:</w:t>
      </w:r>
    </w:p>
    <w:p>
      <w:pPr>
        <w:spacing w:after="0" w:line="117" w:lineRule="exact"/>
        <w:rPr>
          <w:sz w:val="20"/>
          <w:szCs w:val="20"/>
          <w:color w:val="auto"/>
        </w:rPr>
      </w:pPr>
    </w:p>
    <w:p>
      <w:pPr>
        <w:ind w:left="1020" w:right="28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costs for clinical operations of approximately $2.5 million, primarily due to wind down of activities related to PROACT 2 as well as decreases in the costs for other trials,</w:t>
      </w:r>
    </w:p>
    <w:p>
      <w:pPr>
        <w:ind w:left="1020" w:right="18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costs of approximately $1.9 million driven by awards forfeited by terminated employees as well as lower valuations of awards granted in the current year,</w:t>
      </w: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spending of approximately $1.8 million related to manufacturing process development; offset by;</w:t>
      </w:r>
    </w:p>
    <w:p>
      <w:pPr>
        <w:spacing w:after="0" w:line="9"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costs of approximately $3.5 million due to the hiring of additional personnel particularly in the areas of clinical development, manufacturing and quality as we move forward with our clinical programs; and</w:t>
      </w:r>
    </w:p>
    <w:p>
      <w:pPr>
        <w:ind w:left="1020" w:right="420" w:hanging="503"/>
        <w:spacing w:after="0" w:line="260"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operational costs of $1.4 million as we continue to expand operations and purchase materials to support our Phase 3 clinical program.</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general and administrative expenses of approximately $3.3 million was primarily driven by the following:</w:t>
      </w:r>
    </w:p>
    <w:p>
      <w:pPr>
        <w:spacing w:after="0" w:line="225"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an impairment charge of $5.3 million related to our Greensboro facility;</w:t>
      </w:r>
    </w:p>
    <w:p>
      <w:pPr>
        <w:spacing w:after="0" w:line="27" w:lineRule="exact"/>
        <w:rPr>
          <w:rFonts w:ascii="Times New Roman" w:cs="Times New Roman" w:eastAsia="Times New Roman" w:hAnsi="Times New Roman"/>
          <w:sz w:val="18"/>
          <w:szCs w:val="18"/>
          <w:color w:val="auto"/>
        </w:rPr>
      </w:pPr>
    </w:p>
    <w:p>
      <w:pPr>
        <w:ind w:left="1020" w:right="760" w:hanging="503"/>
        <w:spacing w:after="0" w:line="250"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of approximately $2.0 million related to the hiring of new employees and severance costs for terminated employees; offset by;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1020" w:right="3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of approximately $4.1 million due to lower expenses in the 2024 period driven by the impact of forfeitures of awards made to executives.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9"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change in income tax (benefit) expense is due to the impact of the change in the treatment of specified research and development expenses by our U.S. subsidiary due to recent guidance issued by the Internal Revenue Service such that these costs are no longer required to be capitalized and amortized ratably over a five-year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2024 and 2023</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 (in thousands):</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45"/>
        </w:trPr>
        <w:tc>
          <w:tcPr>
            <w:tcW w:w="6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60" w:type="dxa"/>
            <w:vAlign w:val="bottom"/>
            <w:gridSpan w:val="8"/>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1"/>
        </w:trPr>
        <w:tc>
          <w:tcPr>
            <w:tcW w:w="62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0"/>
                <w:szCs w:val="20"/>
                <w:color w:val="auto"/>
              </w:rPr>
            </w:pPr>
          </w:p>
        </w:tc>
      </w:tr>
      <w:tr>
        <w:trPr>
          <w:trHeight w:val="239"/>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87,887</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84,179</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00" w:type="dxa"/>
            <w:vAlign w:val="bottom"/>
          </w:tcPr>
          <w:p>
            <w:pPr>
              <w:spacing w:after="0"/>
              <w:rPr>
                <w:sz w:val="20"/>
                <w:szCs w:val="20"/>
                <w:color w:val="auto"/>
              </w:rPr>
            </w:pPr>
          </w:p>
        </w:tc>
      </w:tr>
      <w:tr>
        <w:trPr>
          <w:trHeight w:val="247"/>
        </w:trPr>
        <w:tc>
          <w:tcPr>
            <w:tcW w:w="6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44,218</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43,133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132,105</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127,312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tcPr>
          <w:p>
            <w:pPr>
              <w:spacing w:after="0"/>
              <w:rPr>
                <w:sz w:val="20"/>
                <w:szCs w:val="20"/>
                <w:color w:val="auto"/>
              </w:rPr>
            </w:pPr>
          </w:p>
        </w:tc>
      </w:tr>
      <w:tr>
        <w:trPr>
          <w:trHeight w:val="237"/>
        </w:trPr>
        <w:tc>
          <w:tcPr>
            <w:tcW w:w="6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(132,105 )</w:t>
            </w: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(127,312 )</w:t>
            </w: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(4,793 )</w:t>
            </w:r>
          </w:p>
        </w:tc>
      </w:tr>
      <w:tr>
        <w:trPr>
          <w:trHeight w:val="20"/>
        </w:trPr>
        <w:tc>
          <w:tcPr>
            <w:tcW w:w="6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(1,843 )</w:t>
            </w:r>
          </w:p>
        </w:tc>
      </w:tr>
      <w:tr>
        <w:trPr>
          <w:trHeight w:val="247"/>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taxes</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(117,152 )</w:t>
            </w: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(110,518 )</w:t>
            </w: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(6,634 )</w:t>
            </w:r>
          </w:p>
        </w:tc>
      </w:tr>
      <w:tr>
        <w:trPr>
          <w:trHeight w:val="20"/>
        </w:trPr>
        <w:tc>
          <w:tcPr>
            <w:tcW w:w="6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2"/>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(2,300 )</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(5,505 )</w:t>
            </w:r>
          </w:p>
        </w:tc>
      </w:tr>
      <w:tr>
        <w:trPr>
          <w:trHeight w:val="20"/>
        </w:trPr>
        <w:tc>
          <w:tcPr>
            <w:tcW w:w="6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noncontrolling interest</w:t>
            </w:r>
          </w:p>
        </w:tc>
        <w:tc>
          <w:tcPr>
            <w:tcW w:w="28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(114,852 )</w:t>
            </w:r>
          </w:p>
        </w:tc>
        <w:tc>
          <w:tcPr>
            <w:tcW w:w="2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(113,723 )</w:t>
            </w:r>
          </w:p>
        </w:tc>
        <w:tc>
          <w:tcPr>
            <w:tcW w:w="2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(1,129 )</w:t>
            </w:r>
          </w:p>
        </w:tc>
      </w:tr>
      <w:tr>
        <w:trPr>
          <w:trHeight w:val="243"/>
        </w:trPr>
        <w:tc>
          <w:tcPr>
            <w:tcW w:w="6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(74,944 )</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(83,956 )</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100" w:type="dxa"/>
            <w:vAlign w:val="bottom"/>
            <w:shd w:val="clear" w:color="auto" w:fill="CFF0FC"/>
          </w:tcPr>
          <w:p>
            <w:pPr>
              <w:spacing w:after="0"/>
              <w:rPr>
                <w:sz w:val="21"/>
                <w:szCs w:val="21"/>
                <w:color w:val="auto"/>
              </w:rPr>
            </w:pPr>
          </w:p>
        </w:tc>
      </w:tr>
      <w:tr>
        <w:trPr>
          <w:trHeight w:val="20"/>
        </w:trPr>
        <w:tc>
          <w:tcPr>
            <w:tcW w:w="6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available to Class A ordinary shareholders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(39,908 )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(29,767 )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(10,141 )</w:t>
            </w:r>
          </w:p>
        </w:tc>
      </w:tr>
      <w:tr>
        <w:trPr>
          <w:trHeight w:val="20"/>
        </w:trPr>
        <w:tc>
          <w:tcPr>
            <w:tcW w:w="6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-1473835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-1473835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-1473835</wp:posOffset>
            </wp:positionV>
            <wp:extent cx="596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-1148080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-1148080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-1148080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-831215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-831215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-831215</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-504825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-504825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-504825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-187960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-187960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-187960</wp:posOffset>
            </wp:positionV>
            <wp:extent cx="59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research and development expenses of approximately $3.7 million was primarily driven by the following:</w:t>
      </w:r>
    </w:p>
    <w:p>
      <w:pPr>
        <w:spacing w:after="0" w:line="117" w:lineRule="exact"/>
        <w:rPr>
          <w:sz w:val="20"/>
          <w:szCs w:val="20"/>
          <w:color w:val="auto"/>
        </w:rPr>
      </w:pPr>
    </w:p>
    <w:p>
      <w:pPr>
        <w:ind w:left="10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costs of approximately $9.8 million due to the hiring of additional personnel particularly in the areas of clinical development, manufacturing and quality as we move forward with our clinical programs,</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professional fees of $4.4 million related to the remediation of quality and manufacturing compliance deficiencies;</w:t>
      </w:r>
    </w:p>
    <w:p>
      <w:pPr>
        <w:spacing w:after="0" w:line="9" w:lineRule="exact"/>
        <w:rPr>
          <w:rFonts w:ascii="Times New Roman" w:cs="Times New Roman" w:eastAsia="Times New Roman" w:hAnsi="Times New Roman"/>
          <w:sz w:val="18"/>
          <w:szCs w:val="18"/>
          <w:color w:val="auto"/>
        </w:rPr>
      </w:pPr>
    </w:p>
    <w:p>
      <w:pPr>
        <w:ind w:left="1020" w:right="2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operational and material costs of $4.1 million as we continue to expand operations and purchase materials to support our Phase 3 clinical trials, offset by;</w:t>
      </w: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spending of approximately $7.1 million related to manufacturing process development;</w:t>
      </w:r>
    </w:p>
    <w:p>
      <w:pPr>
        <w:spacing w:after="0" w:line="9" w:lineRule="exact"/>
        <w:rPr>
          <w:rFonts w:ascii="Times New Roman" w:cs="Times New Roman" w:eastAsia="Times New Roman" w:hAnsi="Times New Roman"/>
          <w:sz w:val="18"/>
          <w:szCs w:val="18"/>
          <w:color w:val="auto"/>
        </w:rPr>
      </w:pPr>
    </w:p>
    <w:p>
      <w:pPr>
        <w:ind w:left="1020" w:right="100" w:hanging="503"/>
        <w:spacing w:after="0" w:line="25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costs of $3.8 million associated with lower valuations of equity-based awards granted in the current period coupled with the impact of forfeitures of awards for terminated employees; and</w:t>
      </w:r>
    </w:p>
    <w:p>
      <w:pPr>
        <w:ind w:left="1020" w:right="220" w:hanging="503"/>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clinical study costs of approximately $3.7 million primarily due to the impact of the pause of manufacturing and its impact on our Phase 3 program as well as the levels of activity ongoing with our other clinical trials.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increase in general and administrative expenses of approximately $1.1 million was primarily driven by the following:</w:t>
      </w:r>
    </w:p>
    <w:p>
      <w:pPr>
        <w:spacing w:after="0" w:line="225"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an impairment charge of $5.3 million related to our Greensboro facility;</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cash-based compensation of approximately $6.0 million related to the hiring of new employees; offset by;</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equity-based compensation of approximately $11.0 million due to lower expenses in the 2024 period driven by the impact of</w:t>
      </w:r>
    </w:p>
    <w:p>
      <w:pPr>
        <w:spacing w:after="0" w:line="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forfeitures of awards made to executives.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change in income tax (benefit) expense was driven by a change in the treatment of specified research and development expenses by our U.S. subsidiary due to recent guidance issued by the Internal Revenue Service such that these costs are no longer required to be capitalized and amortized ratably over a five-year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1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From our inception through September 30, 2024, we funded our operations primarily through capital contributions from the holders of PKLP, the proceeds obtained through the Business Combination and related private placement financing, and an underwritten public offering and registered direct offering in June 2024.</w:t>
      </w:r>
    </w:p>
    <w:p>
      <w:pPr>
        <w:spacing w:after="0" w:line="56" w:lineRule="exact"/>
        <w:rPr>
          <w:sz w:val="20"/>
          <w:szCs w:val="20"/>
          <w:color w:val="auto"/>
        </w:rPr>
      </w:pPr>
    </w:p>
    <w:p>
      <w:pPr>
        <w:ind w:right="240" w:firstLine="594"/>
        <w:spacing w:after="0" w:line="258" w:lineRule="auto"/>
        <w:rPr>
          <w:sz w:val="20"/>
          <w:szCs w:val="20"/>
          <w:color w:val="auto"/>
        </w:rPr>
      </w:pPr>
      <w:r>
        <w:rPr>
          <w:rFonts w:ascii="Times New Roman" w:cs="Times New Roman" w:eastAsia="Times New Roman" w:hAnsi="Times New Roman"/>
          <w:sz w:val="18"/>
          <w:szCs w:val="18"/>
          <w:color w:val="auto"/>
        </w:rPr>
        <w:t>As noted above, in June 2024, the Company sold 46,886,452 of its Class A ordinary shares in an underwritten public offering at a price of $2.42 per share. Additionally, in June 2024, the Company sold 11,030,574 of its Class A ordinary shares to certain investment entities at a price of $2.42 per share in a concurrent registered direct offering pursuant to share purchase agreements. The net proceeds to the Company from the offerings were approximately $136.7 million, after deducting the underwriting discounts and commissions and offering expenses payable by the Company. The shares were offered and sold pursuant to the Company’s shelf registration statement on Form S-3.</w:t>
      </w:r>
    </w:p>
    <w:p>
      <w:pPr>
        <w:spacing w:after="0" w:line="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we entered into an Open Market Sale Agreement</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with Jefferies LLC (“Jefferies”) as the sales agent,</w:t>
      </w:r>
    </w:p>
    <w:p>
      <w:pPr>
        <w:spacing w:after="0"/>
        <w:rPr>
          <w:sz w:val="20"/>
          <w:szCs w:val="20"/>
          <w:color w:val="auto"/>
        </w:rPr>
      </w:pPr>
      <w:r>
        <w:rPr>
          <w:rFonts w:ascii="Times New Roman" w:cs="Times New Roman" w:eastAsia="Times New Roman" w:hAnsi="Times New Roman"/>
          <w:sz w:val="18"/>
          <w:szCs w:val="18"/>
          <w:color w:val="auto"/>
        </w:rPr>
        <w:t>pursuant to which we may offer and sell, from time to time, through Jefferies, our Class A ordinary shares having an aggregate offering price of up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million by any method deemed to be an “at the market offering” as defined in Rule 415(a)(4) under the Securities Act. The shares are offered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sold pursuant to the Company’s shelf registration statement on Form S-3. As of September 30, 2024, we have sold $7.9 million worth of Class A ordinary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under the Sales Agreement for net proceeds of $7.7 million, leaving $92.1 million available to be sold.</w:t>
      </w:r>
    </w:p>
    <w:p>
      <w:pPr>
        <w:spacing w:after="0" w:line="99" w:lineRule="exact"/>
        <w:rPr>
          <w:sz w:val="20"/>
          <w:szCs w:val="20"/>
          <w:color w:val="auto"/>
        </w:rPr>
      </w:pPr>
    </w:p>
    <w:p>
      <w:pPr>
        <w:jc w:val="both"/>
        <w:ind w:right="48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held at September 30, 2024, will enable us to fund our operating expenses and capital expenditure requirements into mid-2026. We have based this estimate on assumptions that may prove to be wrong and we could exhaust our capital resources sooner than we expect.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expenses to increase substantially if, and as, we:</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continue research and clinical development of our product candidates, including in particular our clinical trials for rilparencel;</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third-party manufacturing costs to support our non-clinical studies and clinical trials of our product candidate and, if approved, its commercialization;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develop additional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 in developing internal manufacturing capabilities;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product candidates.</w:t>
      </w:r>
    </w:p>
    <w:p>
      <w:pPr>
        <w:spacing w:after="0" w:line="117"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addition, since the closing of the Business Combination we have begun incurring additional costs associated with operating as a public company, including significant legal, audit, accounting, investor and public relations, regulatory, tax-related, director and officer insurance premiums and other expenses. Developing pharmaceutical products, including conducting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product that we do not expect to be commercially available for at least several years, if ever.</w:t>
      </w:r>
    </w:p>
    <w:p>
      <w:pPr>
        <w:spacing w:after="0" w:line="8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public or private sale of equity, government or private party grants, debt financings or other capital sources, including potential collaborations with other companies or other strategic transactions. To the extent that we raise additional capital through the sale of equity or convertible debt securities, the ownership interest of our shareholders will be or could be diluted, and the terms of these securities may include liquidation or other preferences that adversely affect the rights of our shareholders. Debt financing and equity financing, if available, may involve agreements that include covenants limiting or restricting our ability to take specific actions, such as incurring additional debt, making capital expenditures or declaring dividends. If we are unable to obtain additional funding, we could be forced to delay, reduce or eliminate some or all of our research and development programs, product portfolio expansion or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7" w:right="359" w:bottom="1440" w:gutter="0" w:footer="0" w:header="0"/>
        </w:sectPr>
      </w:pPr>
    </w:p>
    <w:bookmarkStart w:id="30" w:name="page31"/>
    <w:bookmarkEnd w:id="30"/>
    <w:p>
      <w:pPr>
        <w:spacing w:after="0" w:line="255" w:lineRule="auto"/>
        <w:rPr>
          <w:sz w:val="20"/>
          <w:szCs w:val="20"/>
          <w:color w:val="auto"/>
        </w:rPr>
      </w:pPr>
      <w:r>
        <w:rPr>
          <w:rFonts w:ascii="Times New Roman" w:cs="Times New Roman" w:eastAsia="Times New Roman" w:hAnsi="Times New Roman"/>
          <w:sz w:val="18"/>
          <w:szCs w:val="18"/>
          <w:color w:val="auto"/>
        </w:rPr>
        <w:t>any commercialization efforts, which could adversely affect our business prospects, or we may be unable to continue operations. If we raise funds through strategic collaborations or other similar arrangements with third parties, we may have to relinquish valuable rights to our technology, future- revenue streams, research programs or product candidates or may have to grant licenses on terms that may not be favorable to us and/or may reduce the value of our shares. Our ability to raise additional funds may be adversely impacted by potential worsening global economic conditions and disruptions to and volatility in the credit and financial markets in the United States and worldwide. Because of the numerous risks and uncertainties associated with product development, we cannot predict the timing or amount of increased expenses, and there is no assurance that we will ever be profitable or generate positive cash flow from operating activities.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Flows for the Nine Months Ended September 30, 2024 and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2024 and 2023 (in thousands):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6180" w:type="dxa"/>
            <w:vAlign w:val="bottom"/>
          </w:tcPr>
          <w:p>
            <w:pPr>
              <w:spacing w:after="0"/>
              <w:rPr>
                <w:sz w:val="21"/>
                <w:szCs w:val="21"/>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1"/>
        </w:trPr>
        <w:tc>
          <w:tcPr>
            <w:tcW w:w="6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3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(102,180 )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(64,685 )</w:t>
            </w:r>
          </w:p>
        </w:tc>
      </w:tr>
      <w:tr>
        <w:trPr>
          <w:trHeight w:val="23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(234,139 )</w:t>
            </w:r>
          </w:p>
        </w:tc>
      </w:tr>
      <w:tr>
        <w:trPr>
          <w:trHeight w:val="247"/>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144,285</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6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47,439</w:t>
            </w:r>
          </w:p>
        </w:tc>
        <w:tc>
          <w:tcPr>
            <w:tcW w:w="24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(298,863 )</w:t>
            </w:r>
          </w:p>
        </w:tc>
      </w:tr>
      <w:tr>
        <w:trPr>
          <w:trHeight w:val="20"/>
        </w:trPr>
        <w:tc>
          <w:tcPr>
            <w:tcW w:w="6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-187960</wp:posOffset>
            </wp:positionV>
            <wp:extent cx="603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was approximately $102.2 million for the nine months ended September 30, 2024, reflecting a net loss of approximately $114.9 million and uses driven by changes in working capital of approximately $13.6 million. Such uses were partially offset by non-cash charges and gains on investments of $26.1 million. The non-cash charges primarily consisted of equity-based compensation expense of $22.4 million, an impairment charge of $5.3 million and depreciation and amortization expense of $3.9 million. The changes in working capital primarily relate to the timing of payments made to our vendors for services performed and the recognition of receivable amounts related to interest on our marketable security investments.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Net cash used in operating activities was approximately $64.7 million for the nine months ended September 30, 2023, reflecting net loss of $113.7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partially offset cash provided by changes in working capital of approximately $12.8 million and non-cash charges and gains on investments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$36.2 million. The non-cash charges primarily consisted of equity-based compensation expense of $37.2 million and depreciation and amortization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$2.7 million.</w:t>
      </w:r>
    </w:p>
    <w:p>
      <w:pPr>
        <w:spacing w:after="0" w:line="9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approximately $37.4 million increase in cash used in operating activities for the nine months ended September 30, 2024 compared to the nine months ended September 30, 2023 was primarily driven by an increase in net loss after adjusting for the non-cash charges and gains on investments of approximately $11.3 million coupled with an increase in the use of cash related to the timing of payments to our vendors and receipt of interest amounts due.</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(used in) investing activities was approximately $5.3 million and $(234.1 million) for the nine months ended September 30, 2024 and 2023, respectively. The cash provided by investing activities during the nine months ended September 30, 2024 was primarily related to withdrawal of cash from our investments for use in operations. The cash used in investing activities during the nine months ended September 30, 2023, was driven by the investment of a portion of the proceeds raised through the Business Combination in marketable securities as well as the purchase of our facility in Greensboro, North Carolina.</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Net cash from financing activities for the nine months ended September 30, 2024 includes proceeds of $144.3 million related to the sale of our Class A ordinary shares. Net cash used in financing activities for the nine months ended September 30, 2023 was an insignificant amount.</w:t>
      </w: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condensed consolidated financial statements. Our condensed consolidated financial statements are prepared in accordance with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unaudited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our consolidated financial statements may not be comparable to the financial statements of companies that are required to comply with the effective dates for new or revised accounting standards that are applicable to public companies, which may make our ordinary shares less attractive to investors.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ind w:right="20" w:firstLine="578"/>
        <w:spacing w:after="0" w:line="256" w:lineRule="auto"/>
        <w:rPr>
          <w:sz w:val="20"/>
          <w:szCs w:val="20"/>
          <w:color w:val="auto"/>
        </w:rPr>
      </w:pPr>
      <w:r>
        <w:rPr>
          <w:rFonts w:ascii="Times New Roman" w:cs="Times New Roman" w:eastAsia="Times New Roman" w:hAnsi="Times New Roman"/>
          <w:sz w:val="18"/>
          <w:szCs w:val="18"/>
          <w:color w:val="auto"/>
        </w:rPr>
        <w:t>The Company’s exposure to changes in interest rates relates primarily to the Company’s investment portfolio.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All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other than its impact on the general economy. To the extent our costs are impacted by general inflationary pressures, we may not be able to fully offset such higher costs through price increases or manufacturing efficiencies. Our inability or failure to do so could harm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We do not have any material foreign currency exposure.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80" w:firstLine="578"/>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as of September 30, 2024. Based upon that evaluation, our Chief Executive Officer and Chief Financial Officer concluded that, as of September 30, 2024, our disclosure controls and procedures were effective in causing material information relating to us (including our consolidated subsidiaries) to be recorded, processed,</w:t>
      </w:r>
    </w:p>
    <w:p>
      <w:pPr>
        <w:spacing w:after="0" w:line="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32" w:name="page33"/>
    <w:bookmarkEnd w:id="32"/>
    <w:p>
      <w:pPr>
        <w:ind w:right="220"/>
        <w:spacing w:after="0" w:line="282" w:lineRule="auto"/>
        <w:rPr>
          <w:sz w:val="20"/>
          <w:szCs w:val="20"/>
          <w:color w:val="auto"/>
        </w:rPr>
      </w:pPr>
      <w:r>
        <w:rPr>
          <w:rFonts w:ascii="Times New Roman" w:cs="Times New Roman" w:eastAsia="Times New Roman" w:hAnsi="Times New Roman"/>
          <w:sz w:val="18"/>
          <w:szCs w:val="18"/>
          <w:color w:val="auto"/>
        </w:rPr>
        <w:t>summarized and reported by management on a timely basis and to ensure the quality and timeliness of our public disclosures pursuant to SEC disclosure obligations.</w:t>
      </w:r>
    </w:p>
    <w:p>
      <w:pPr>
        <w:spacing w:after="0" w:line="54" w:lineRule="exact"/>
        <w:rPr>
          <w:sz w:val="20"/>
          <w:szCs w:val="20"/>
          <w:color w:val="auto"/>
        </w:rPr>
      </w:pPr>
    </w:p>
    <w:p>
      <w:pPr>
        <w:ind w:firstLine="578"/>
        <w:spacing w:after="0" w:line="255"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81" w:lineRule="exact"/>
        <w:rPr>
          <w:sz w:val="20"/>
          <w:szCs w:val="20"/>
          <w:color w:val="auto"/>
        </w:rPr>
      </w:pPr>
    </w:p>
    <w:p>
      <w:pPr>
        <w:ind w:right="140" w:firstLine="578"/>
        <w:spacing w:after="0" w:line="261"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to Internal Control over Financial Reporting</w:t>
      </w:r>
    </w:p>
    <w:p>
      <w:pPr>
        <w:spacing w:after="0" w:line="121" w:lineRule="exact"/>
        <w:rPr>
          <w:sz w:val="20"/>
          <w:szCs w:val="20"/>
          <w:color w:val="auto"/>
        </w:rPr>
      </w:pPr>
    </w:p>
    <w:p>
      <w:pPr>
        <w:ind w:right="240" w:firstLine="57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Availability of Reports and other Corporate Governance Information</w:t>
      </w:r>
    </w:p>
    <w:p>
      <w:pPr>
        <w:spacing w:after="0" w:line="121" w:lineRule="exact"/>
        <w:rPr>
          <w:sz w:val="20"/>
          <w:szCs w:val="20"/>
          <w:color w:val="auto"/>
        </w:rPr>
      </w:pPr>
    </w:p>
    <w:p>
      <w:pPr>
        <w:ind w:right="40" w:firstLine="578"/>
        <w:spacing w:after="0" w:line="256" w:lineRule="auto"/>
        <w:rPr>
          <w:sz w:val="20"/>
          <w:szCs w:val="20"/>
          <w:color w:val="auto"/>
        </w:rPr>
      </w:pPr>
      <w:r>
        <w:rPr>
          <w:rFonts w:ascii="Times New Roman" w:cs="Times New Roman" w:eastAsia="Times New Roman" w:hAnsi="Times New Roman"/>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Talent and Compensation Committee. The Company maintains a corporate investor relations website, https://investors.prokidney.com/, where stockholders and other interested persons may review, without charge, among other things, corporate governance materials and certain SEC filings, which are generally available on the same business day as the filing date with the SEC on the SEC’s website http://www.sec.gov. The contents of our website are not made a part of this Quarterly Report on Form 10-Q.</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firstLine="524"/>
        <w:spacing w:after="0" w:line="261" w:lineRule="auto"/>
        <w:rPr>
          <w:sz w:val="20"/>
          <w:szCs w:val="20"/>
          <w:color w:val="auto"/>
        </w:rPr>
      </w:pPr>
      <w:r>
        <w:rPr>
          <w:rFonts w:ascii="Times New Roman" w:cs="Times New Roman" w:eastAsia="Times New Roman" w:hAnsi="Times New Roman"/>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in the section entitled “Risk Factors” in our Annual Report on Form 10-K filed with the SEC on March 22, 2024 (the “2023 Annual Report”). There have been no material changes to the risk factors described in the 2023 Annual Report.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September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640" w:firstLine="749"/>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none of the Company’s directors or officers adopted or terminated a “Rule 10b5-1 trading arrangement” or “non-Rule 10b5-1 trading arrangement,” as those terms are defined in Regulation S-K, Item 408, that was intended to satisfy the affirmative defense conditions of Rule 10b5-1(c).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20" w:type="dxa"/>
            <w:vAlign w:val="bottom"/>
            <w:gridSpan w:val="6"/>
            <w:vMerge w:val="restart"/>
          </w:tcPr>
          <w:p>
            <w:pPr>
              <w:ind w:left="3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220" w:type="dxa"/>
            <w:vAlign w:val="bottom"/>
            <w:tcBorders>
              <w:bottom w:val="single" w:sz="8" w:color="auto"/>
            </w:tcBorders>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1"/>
                <w:szCs w:val="21"/>
                <w:color w:val="auto"/>
              </w:rPr>
            </w:pPr>
          </w:p>
        </w:tc>
        <w:tc>
          <w:tcPr>
            <w:tcW w:w="9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4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9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shd w:val="clear" w:color="auto" w:fill="0000FF"/>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10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100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1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92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materials from the Company’s Quarterly Report on Form 10-Q for the quarter ended September 30, 2024, formatted in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iXBRL (Inline Extensible Business Reporting Language):  (i) Condensed Consolidated Balance Sheets (unaudited), (ii) Condensed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Statements of Operations (unaudited), (iii) Condensed Consolidated Statements of Comprehensive Loss (unaudited), (iv)</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Condensed Consolidated Statements of Changes in Redeemable Noncontrolling Interest and Stockholders’ Deficit (unaudited), (v)</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Consolidated Statements of Cash Flows (unaudited) and (vi) Notes to Condensed Consolidated Financial Statements (unaudited), tagged as</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blocks of text and including detailed tags.</w:t>
            </w:r>
          </w:p>
        </w:tc>
        <w:tc>
          <w:tcPr>
            <w:tcW w:w="0" w:type="dxa"/>
            <w:vAlign w:val="bottom"/>
          </w:tcPr>
          <w:p>
            <w:pPr>
              <w:spacing w:after="0"/>
              <w:rPr>
                <w:sz w:val="1"/>
                <w:szCs w:val="1"/>
                <w:color w:val="auto"/>
              </w:rPr>
            </w:pPr>
          </w:p>
        </w:tc>
      </w:tr>
      <w:tr>
        <w:trPr>
          <w:trHeight w:val="311"/>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10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cover page from this Quarterly Report on Form 10-Q for the quarter ended September 30, 2024, formatted in Inline XBRL.</w:t>
            </w:r>
          </w:p>
        </w:tc>
        <w:tc>
          <w:tcPr>
            <w:tcW w:w="0" w:type="dxa"/>
            <w:vAlign w:val="bottom"/>
          </w:tcPr>
          <w:p>
            <w:pPr>
              <w:spacing w:after="0"/>
              <w:rPr>
                <w:sz w:val="1"/>
                <w:szCs w:val="1"/>
                <w:color w:val="auto"/>
              </w:rPr>
            </w:pPr>
          </w:p>
        </w:tc>
      </w:tr>
    </w:tbl>
    <w:p>
      <w:pPr>
        <w:spacing w:after="0" w:line="373" w:lineRule="exact"/>
        <w:rPr>
          <w:sz w:val="20"/>
          <w:szCs w:val="20"/>
          <w:color w:val="auto"/>
        </w:rPr>
      </w:pPr>
    </w:p>
    <w:p>
      <w:pPr>
        <w:ind w:right="6800" w:firstLine="8"/>
        <w:spacing w:after="0" w:line="407" w:lineRule="auto"/>
        <w:tabs>
          <w:tab w:leader="none" w:pos="135"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9512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Company Name</w:t>
            </w:r>
          </w:p>
        </w:tc>
      </w:tr>
      <w:tr>
        <w:trPr>
          <w:trHeight w:val="47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74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205"/>
        </w:trPr>
        <w:tc>
          <w:tcPr>
            <w:tcW w:w="3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Bruce Culleton</w:t>
            </w:r>
          </w:p>
        </w:tc>
      </w:tr>
      <w:tr>
        <w:trPr>
          <w:trHeight w:val="229"/>
        </w:trPr>
        <w:tc>
          <w:tcPr>
            <w:tcW w:w="38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7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742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James Coulston</w:t>
            </w:r>
          </w:p>
        </w:tc>
      </w:tr>
      <w:tr>
        <w:trPr>
          <w:trHeight w:val="205"/>
        </w:trPr>
        <w:tc>
          <w:tcPr>
            <w:tcW w:w="3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Name: James Coulston</w:t>
            </w:r>
          </w:p>
        </w:tc>
      </w:tr>
      <w:tr>
        <w:trPr>
          <w:trHeight w:val="229"/>
        </w:trPr>
        <w:tc>
          <w:tcPr>
            <w:tcW w:w="38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8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Bruce Culleton,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ProKidney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748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205"/>
        </w:trPr>
        <w:tc>
          <w:tcPr>
            <w:tcW w:w="37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Bruce Culleton</w:t>
            </w:r>
          </w:p>
        </w:tc>
      </w:tr>
      <w:tr>
        <w:trPr>
          <w:trHeight w:val="229"/>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992"/>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Coulston,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ProKidney Corp.;</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744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James Coulston</w:t>
            </w:r>
          </w:p>
        </w:tc>
      </w:tr>
      <w:tr>
        <w:trPr>
          <w:trHeight w:val="205"/>
        </w:trPr>
        <w:tc>
          <w:tcPr>
            <w:tcW w:w="3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51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James Coulston</w:t>
            </w:r>
          </w:p>
        </w:tc>
      </w:tr>
      <w:tr>
        <w:trPr>
          <w:trHeight w:val="229"/>
        </w:trPr>
        <w:tc>
          <w:tcPr>
            <w:tcW w:w="38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92"/>
        </w:trPr>
        <w:tc>
          <w:tcPr>
            <w:tcW w:w="38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period ending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75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Bruce Culleton</w:t>
            </w:r>
          </w:p>
        </w:tc>
      </w:tr>
      <w:tr>
        <w:trPr>
          <w:trHeight w:val="205"/>
        </w:trPr>
        <w:tc>
          <w:tcPr>
            <w:tcW w:w="3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5220" w:type="dxa"/>
            <w:vAlign w:val="bottom"/>
            <w:tcBorders>
              <w:top w:val="single" w:sz="8" w:color="auto"/>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Bruce Culleton</w:t>
            </w:r>
          </w:p>
        </w:tc>
      </w:tr>
      <w:tr>
        <w:trPr>
          <w:trHeight w:val="229"/>
        </w:trPr>
        <w:tc>
          <w:tcPr>
            <w:tcW w:w="3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56"/>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ProKidney Corp. (the “Company”) on Form 10-Q for the period ending September 30, 2024,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12, 2024</w:t>
            </w:r>
          </w:p>
        </w:tc>
        <w:tc>
          <w:tcPr>
            <w:tcW w:w="2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Coulston</w:t>
            </w:r>
          </w:p>
        </w:tc>
      </w:tr>
      <w:tr>
        <w:trPr>
          <w:trHeight w:val="205"/>
        </w:trPr>
        <w:tc>
          <w:tcPr>
            <w:tcW w:w="38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0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James Coulston</w:t>
            </w:r>
          </w:p>
        </w:tc>
      </w:tr>
      <w:tr>
        <w:trPr>
          <w:trHeight w:val="229"/>
        </w:trPr>
        <w:tc>
          <w:tcPr>
            <w:tcW w:w="38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1856"/>
        </w:trPr>
        <w:tc>
          <w:tcPr>
            <w:tcW w:w="380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Letter"/>
      <w:start w:val="2"/>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2024-11-12T15:23:36Z</dcterms:created>
  <dcterms:modified xsi:type="dcterms:W3CDTF">2024-11-12T15:23:36Z</dcterms:modified>
</cp:coreProperties>
</file>