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407"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1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ProKidney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4560" w:type="dxa"/>
            <w:vAlign w:val="bottom"/>
          </w:tcPr>
          <w:p>
            <w:pPr>
              <w:jc w:val="center"/>
              <w:ind w:right="1804"/>
              <w:spacing w:after="0"/>
              <w:rPr>
                <w:sz w:val="20"/>
                <w:szCs w:val="20"/>
                <w:color w:val="auto"/>
              </w:rPr>
            </w:pPr>
            <w:r>
              <w:rPr>
                <w:rFonts w:ascii="Arial" w:cs="Arial" w:eastAsia="Arial" w:hAnsi="Arial"/>
                <w:sz w:val="18"/>
                <w:szCs w:val="18"/>
                <w:b w:val="1"/>
                <w:bCs w:val="1"/>
                <w:color w:val="auto"/>
                <w:w w:val="90"/>
              </w:rPr>
              <w:t>Cayman Islands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98-1586514</w:t>
            </w:r>
          </w:p>
        </w:tc>
      </w:tr>
      <w:tr>
        <w:trPr>
          <w:trHeight w:val="148"/>
        </w:trPr>
        <w:tc>
          <w:tcPr>
            <w:tcW w:w="4560" w:type="dxa"/>
            <w:vAlign w:val="bottom"/>
          </w:tcPr>
          <w:p>
            <w:pPr>
              <w:jc w:val="center"/>
              <w:ind w:right="1804"/>
              <w:spacing w:after="0"/>
              <w:rPr>
                <w:sz w:val="20"/>
                <w:szCs w:val="20"/>
                <w:color w:val="auto"/>
              </w:rPr>
            </w:pPr>
            <w:r>
              <w:rPr>
                <w:rFonts w:ascii="Arial" w:cs="Arial" w:eastAsia="Arial" w:hAnsi="Arial"/>
                <w:sz w:val="13"/>
                <w:szCs w:val="13"/>
                <w:b w:val="1"/>
                <w:bCs w:val="1"/>
                <w:color w:val="auto"/>
                <w:w w:val="87"/>
              </w:rPr>
              <w:t>( State or other jurisdiction of</w:t>
            </w:r>
          </w:p>
        </w:tc>
        <w:tc>
          <w:tcPr>
            <w:tcW w:w="2880" w:type="dxa"/>
            <w:vAlign w:val="bottom"/>
          </w:tcPr>
          <w:p>
            <w:pPr>
              <w:jc w:val="center"/>
              <w:ind w:left="1826"/>
              <w:spacing w:after="0"/>
              <w:rPr>
                <w:sz w:val="20"/>
                <w:szCs w:val="20"/>
                <w:color w:val="auto"/>
              </w:rPr>
            </w:pPr>
            <w:r>
              <w:rPr>
                <w:rFonts w:ascii="Arial" w:cs="Arial" w:eastAsia="Arial" w:hAnsi="Arial"/>
                <w:sz w:val="13"/>
                <w:szCs w:val="13"/>
                <w:b w:val="1"/>
                <w:bCs w:val="1"/>
                <w:color w:val="auto"/>
                <w:w w:val="90"/>
              </w:rPr>
              <w:t>(I.R.S. Employer</w:t>
            </w:r>
          </w:p>
        </w:tc>
      </w:tr>
      <w:tr>
        <w:trPr>
          <w:trHeight w:val="171"/>
        </w:trPr>
        <w:tc>
          <w:tcPr>
            <w:tcW w:w="4560" w:type="dxa"/>
            <w:vAlign w:val="bottom"/>
          </w:tcPr>
          <w:p>
            <w:pPr>
              <w:jc w:val="center"/>
              <w:ind w:right="1804"/>
              <w:spacing w:after="0"/>
              <w:rPr>
                <w:sz w:val="20"/>
                <w:szCs w:val="20"/>
                <w:color w:val="auto"/>
              </w:rPr>
            </w:pPr>
            <w:r>
              <w:rPr>
                <w:rFonts w:ascii="Arial" w:cs="Arial" w:eastAsia="Arial" w:hAnsi="Arial"/>
                <w:sz w:val="13"/>
                <w:szCs w:val="13"/>
                <w:b w:val="1"/>
                <w:bCs w:val="1"/>
                <w:color w:val="auto"/>
                <w:w w:val="88"/>
              </w:rPr>
              <w:t>incorporation or organization)</w:t>
            </w:r>
          </w:p>
        </w:tc>
        <w:tc>
          <w:tcPr>
            <w:tcW w:w="2880" w:type="dxa"/>
            <w:vAlign w:val="bottom"/>
          </w:tcPr>
          <w:p>
            <w:pPr>
              <w:jc w:val="center"/>
              <w:ind w:left="1826"/>
              <w:spacing w:after="0"/>
              <w:rPr>
                <w:sz w:val="20"/>
                <w:szCs w:val="20"/>
                <w:color w:val="auto"/>
              </w:rPr>
            </w:pPr>
            <w:r>
              <w:rPr>
                <w:rFonts w:ascii="Arial" w:cs="Arial" w:eastAsia="Arial" w:hAnsi="Arial"/>
                <w:sz w:val="13"/>
                <w:szCs w:val="13"/>
                <w:b w:val="1"/>
                <w:bCs w:val="1"/>
                <w:color w:val="auto"/>
                <w:w w:val="89"/>
              </w:rPr>
              <w:t>Identification No.)</w:t>
            </w:r>
          </w:p>
        </w:tc>
      </w:tr>
      <w:tr>
        <w:trPr>
          <w:trHeight w:val="230"/>
        </w:trPr>
        <w:tc>
          <w:tcPr>
            <w:tcW w:w="4560" w:type="dxa"/>
            <w:vAlign w:val="bottom"/>
          </w:tcPr>
          <w:p>
            <w:pPr>
              <w:jc w:val="center"/>
              <w:ind w:right="1804"/>
              <w:spacing w:after="0"/>
              <w:rPr>
                <w:sz w:val="20"/>
                <w:szCs w:val="20"/>
                <w:color w:val="auto"/>
              </w:rPr>
            </w:pPr>
            <w:r>
              <w:rPr>
                <w:rFonts w:ascii="Arial" w:cs="Arial" w:eastAsia="Arial" w:hAnsi="Arial"/>
                <w:sz w:val="18"/>
                <w:szCs w:val="18"/>
                <w:b w:val="1"/>
                <w:bCs w:val="1"/>
                <w:color w:val="auto"/>
                <w:w w:val="90"/>
              </w:rPr>
              <w:t>2000 Frontis Plaza Blvd., Suite 250</w:t>
            </w:r>
          </w:p>
        </w:tc>
        <w:tc>
          <w:tcPr>
            <w:tcW w:w="2880" w:type="dxa"/>
            <w:vAlign w:val="bottom"/>
          </w:tcPr>
          <w:p>
            <w:pPr>
              <w:spacing w:after="0"/>
              <w:rPr>
                <w:sz w:val="19"/>
                <w:szCs w:val="19"/>
                <w:color w:val="auto"/>
              </w:rPr>
            </w:pPr>
          </w:p>
        </w:tc>
      </w:tr>
      <w:tr>
        <w:trPr>
          <w:trHeight w:val="248"/>
        </w:trPr>
        <w:tc>
          <w:tcPr>
            <w:tcW w:w="4560" w:type="dxa"/>
            <w:vAlign w:val="bottom"/>
          </w:tcPr>
          <w:p>
            <w:pPr>
              <w:jc w:val="center"/>
              <w:ind w:right="1804"/>
              <w:spacing w:after="0"/>
              <w:rPr>
                <w:sz w:val="20"/>
                <w:szCs w:val="20"/>
                <w:color w:val="auto"/>
              </w:rPr>
            </w:pPr>
            <w:r>
              <w:rPr>
                <w:rFonts w:ascii="Arial" w:cs="Arial" w:eastAsia="Arial" w:hAnsi="Arial"/>
                <w:sz w:val="18"/>
                <w:szCs w:val="18"/>
                <w:b w:val="1"/>
                <w:bCs w:val="1"/>
                <w:color w:val="auto"/>
                <w:w w:val="91"/>
              </w:rPr>
              <w:t>Winston-Salem, NC</w:t>
            </w:r>
          </w:p>
        </w:tc>
        <w:tc>
          <w:tcPr>
            <w:tcW w:w="2880" w:type="dxa"/>
            <w:vAlign w:val="bottom"/>
          </w:tcPr>
          <w:p>
            <w:pPr>
              <w:jc w:val="right"/>
              <w:ind w:right="186"/>
              <w:spacing w:after="0"/>
              <w:rPr>
                <w:sz w:val="20"/>
                <w:szCs w:val="20"/>
                <w:color w:val="auto"/>
              </w:rPr>
            </w:pPr>
            <w:r>
              <w:rPr>
                <w:rFonts w:ascii="Arial" w:cs="Arial" w:eastAsia="Arial" w:hAnsi="Arial"/>
                <w:sz w:val="18"/>
                <w:szCs w:val="18"/>
                <w:b w:val="1"/>
                <w:bCs w:val="1"/>
                <w:color w:val="auto"/>
              </w:rPr>
              <w:t>27103</w:t>
            </w:r>
          </w:p>
        </w:tc>
      </w:tr>
      <w:tr>
        <w:trPr>
          <w:trHeight w:val="173"/>
        </w:trPr>
        <w:tc>
          <w:tcPr>
            <w:tcW w:w="4560" w:type="dxa"/>
            <w:vAlign w:val="bottom"/>
          </w:tcPr>
          <w:p>
            <w:pPr>
              <w:jc w:val="center"/>
              <w:ind w:right="180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80" w:type="dxa"/>
            <w:vAlign w:val="bottom"/>
          </w:tcPr>
          <w:p>
            <w:pPr>
              <w:jc w:val="center"/>
              <w:ind w:left="182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(336) 999-7028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Class A ordinary shares,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PROK</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The Nasdaq Stock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5500" w:type="dxa"/>
            <w:vAlign w:val="bottom"/>
            <w:gridSpan w:val="2"/>
          </w:tcPr>
          <w:p>
            <w:pPr>
              <w:spacing w:after="0"/>
              <w:rPr>
                <w:sz w:val="20"/>
                <w:szCs w:val="20"/>
                <w:color w:val="auto"/>
              </w:rPr>
            </w:pPr>
            <w:r>
              <w:rPr>
                <w:rFonts w:ascii="Arial" w:cs="Arial" w:eastAsia="Arial" w:hAnsi="Arial"/>
                <w:sz w:val="16"/>
                <w:szCs w:val="16"/>
                <w:color w:val="auto"/>
                <w:w w:val="93"/>
              </w:rPr>
              <w:t>1934 subsequent to the distribution of securities under a plan confirmed by a court.</w:t>
            </w:r>
          </w:p>
        </w:tc>
        <w:tc>
          <w:tcPr>
            <w:tcW w:w="5700" w:type="dxa"/>
            <w:vAlign w:val="bottom"/>
            <w:gridSpan w:val="3"/>
          </w:tcPr>
          <w:p>
            <w:pPr>
              <w:jc w:val="right"/>
              <w:ind w:right="4479"/>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40" w:type="dxa"/>
            <w:vAlign w:val="bottom"/>
          </w:tcPr>
          <w:p>
            <w:pPr>
              <w:spacing w:after="0"/>
              <w:rPr>
                <w:sz w:val="23"/>
                <w:szCs w:val="23"/>
                <w:color w:val="auto"/>
              </w:rPr>
            </w:pPr>
          </w:p>
        </w:tc>
      </w:tr>
      <w:tr>
        <w:trPr>
          <w:trHeight w:val="227"/>
        </w:trPr>
        <w:tc>
          <w:tcPr>
            <w:tcW w:w="1320" w:type="dxa"/>
            <w:vAlign w:val="bottom"/>
          </w:tcPr>
          <w:p>
            <w:pPr>
              <w:spacing w:after="0"/>
              <w:rPr>
                <w:sz w:val="19"/>
                <w:szCs w:val="19"/>
                <w:color w:val="auto"/>
              </w:rPr>
            </w:pPr>
          </w:p>
        </w:tc>
        <w:tc>
          <w:tcPr>
            <w:tcW w:w="41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Class of Stock</w:t>
            </w:r>
          </w:p>
        </w:tc>
        <w:tc>
          <w:tcPr>
            <w:tcW w:w="10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38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w w:val="92"/>
              </w:rPr>
              <w:t>Shares Outstanding as of November 14, 2023</w:t>
            </w:r>
          </w:p>
        </w:tc>
        <w:tc>
          <w:tcPr>
            <w:tcW w:w="40" w:type="dxa"/>
            <w:vAlign w:val="bottom"/>
          </w:tcPr>
          <w:p>
            <w:pPr>
              <w:spacing w:after="0"/>
              <w:rPr>
                <w:sz w:val="19"/>
                <w:szCs w:val="19"/>
                <w:color w:val="auto"/>
              </w:rPr>
            </w:pPr>
          </w:p>
        </w:tc>
      </w:tr>
      <w:tr>
        <w:trPr>
          <w:trHeight w:val="278"/>
        </w:trPr>
        <w:tc>
          <w:tcPr>
            <w:tcW w:w="132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Class A ordinary shares, par value $0.0001 per share</w:t>
            </w:r>
          </w:p>
        </w:tc>
        <w:tc>
          <w:tcPr>
            <w:tcW w:w="5700" w:type="dxa"/>
            <w:vAlign w:val="bottom"/>
            <w:gridSpan w:val="3"/>
          </w:tcPr>
          <w:p>
            <w:pPr>
              <w:jc w:val="right"/>
              <w:ind w:right="19"/>
              <w:spacing w:after="0"/>
              <w:rPr>
                <w:sz w:val="20"/>
                <w:szCs w:val="20"/>
                <w:color w:val="auto"/>
              </w:rPr>
            </w:pPr>
            <w:r>
              <w:rPr>
                <w:rFonts w:ascii="Arial" w:cs="Arial" w:eastAsia="Arial" w:hAnsi="Arial"/>
                <w:sz w:val="16"/>
                <w:szCs w:val="16"/>
                <w:color w:val="auto"/>
              </w:rPr>
              <w:t>67,136,714</w:t>
            </w:r>
          </w:p>
        </w:tc>
        <w:tc>
          <w:tcPr>
            <w:tcW w:w="40" w:type="dxa"/>
            <w:vAlign w:val="bottom"/>
          </w:tcPr>
          <w:p>
            <w:pPr>
              <w:spacing w:after="0"/>
              <w:rPr>
                <w:sz w:val="24"/>
                <w:szCs w:val="24"/>
                <w:color w:val="auto"/>
              </w:rPr>
            </w:pPr>
          </w:p>
        </w:tc>
      </w:tr>
      <w:tr>
        <w:trPr>
          <w:trHeight w:val="350"/>
        </w:trPr>
        <w:tc>
          <w:tcPr>
            <w:tcW w:w="13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tbl>
      <w:tblPr>
        <w:tblLayout w:type="fixed"/>
        <w:tblInd w:w="1420" w:type="dxa"/>
        <w:tblCellMar>
          <w:top w:w="0" w:type="dxa"/>
          <w:left w:w="0" w:type="dxa"/>
          <w:bottom w:w="0" w:type="dxa"/>
          <w:right w:w="0" w:type="dxa"/>
        </w:tblCellMar>
      </w:tblPr>
      <w:tr>
        <w:trPr>
          <w:trHeight w:val="206"/>
        </w:trPr>
        <w:tc>
          <w:tcPr>
            <w:tcW w:w="6120" w:type="dxa"/>
            <w:vAlign w:val="bottom"/>
          </w:tcPr>
          <w:p>
            <w:pPr>
              <w:spacing w:after="0"/>
              <w:rPr>
                <w:sz w:val="20"/>
                <w:szCs w:val="20"/>
                <w:color w:val="auto"/>
              </w:rPr>
            </w:pPr>
            <w:r>
              <w:rPr>
                <w:rFonts w:ascii="Arial" w:cs="Arial" w:eastAsia="Arial" w:hAnsi="Arial"/>
                <w:sz w:val="16"/>
                <w:szCs w:val="16"/>
                <w:color w:val="auto"/>
              </w:rPr>
              <w:t>Class B ordinary shares, par value $0.0001 per share</w:t>
            </w:r>
          </w:p>
        </w:tc>
        <w:tc>
          <w:tcPr>
            <w:tcW w:w="3520" w:type="dxa"/>
            <w:vAlign w:val="bottom"/>
          </w:tcPr>
          <w:p>
            <w:pPr>
              <w:jc w:val="right"/>
              <w:spacing w:after="0"/>
              <w:rPr>
                <w:sz w:val="20"/>
                <w:szCs w:val="20"/>
                <w:color w:val="auto"/>
              </w:rPr>
            </w:pPr>
            <w:r>
              <w:rPr>
                <w:rFonts w:ascii="Arial" w:cs="Arial" w:eastAsia="Arial" w:hAnsi="Arial"/>
                <w:sz w:val="16"/>
                <w:szCs w:val="16"/>
                <w:color w:val="auto"/>
              </w:rPr>
              <w:t>168,297,916</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27" w:right="5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8"/>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500" w:type="dxa"/>
            <w:vAlign w:val="bottom"/>
            <w:gridSpan w:val="10"/>
            <w:vMerge w:val="restart"/>
          </w:tcPr>
          <w:p>
            <w:pPr>
              <w:spacing w:after="0"/>
              <w:rPr>
                <w:sz w:val="20"/>
                <w:szCs w:val="20"/>
                <w:color w:val="auto"/>
              </w:rPr>
            </w:pPr>
            <w:r>
              <w:rPr>
                <w:rFonts w:ascii="Arial" w:cs="Arial" w:eastAsia="Arial" w:hAnsi="Arial"/>
                <w:sz w:val="18"/>
                <w:szCs w:val="18"/>
                <w:color w:val="0000FF"/>
                <w:w w:val="93"/>
              </w:rPr>
              <w:t>Financial Information (Unaudited)</w:t>
            </w:r>
          </w:p>
        </w:tc>
        <w:tc>
          <w:tcPr>
            <w:tcW w:w="6800" w:type="dxa"/>
            <w:vAlign w:val="bottom"/>
            <w:gridSpan w:val="11"/>
            <w:vMerge w:val="restart"/>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2500" w:type="dxa"/>
            <w:vAlign w:val="bottom"/>
            <w:tcBorders>
              <w:bottom w:val="single" w:sz="8" w:color="0000FF"/>
            </w:tcBorders>
            <w:gridSpan w:val="10"/>
            <w:vMerge w:val="continue"/>
          </w:tcPr>
          <w:p>
            <w:pPr>
              <w:spacing w:after="0"/>
              <w:rPr>
                <w:sz w:val="14"/>
                <w:szCs w:val="14"/>
                <w:color w:val="auto"/>
              </w:rPr>
            </w:pPr>
          </w:p>
        </w:tc>
        <w:tc>
          <w:tcPr>
            <w:tcW w:w="6800" w:type="dxa"/>
            <w:vAlign w:val="bottom"/>
            <w:gridSpan w:val="1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Financial Statements</w:t>
            </w:r>
          </w:p>
        </w:tc>
        <w:tc>
          <w:tcPr>
            <w:tcW w:w="20" w:type="dxa"/>
            <w:vAlign w:val="bottom"/>
            <w:tcBorders>
              <w:bottom w:val="single" w:sz="8" w:color="0000EE"/>
            </w:tcBorders>
          </w:tcPr>
          <w:p>
            <w:pPr>
              <w:spacing w:after="0"/>
              <w:rPr>
                <w:sz w:val="18"/>
                <w:szCs w:val="18"/>
                <w:color w:val="auto"/>
              </w:rPr>
            </w:pPr>
          </w:p>
        </w:tc>
        <w:tc>
          <w:tcPr>
            <w:tcW w:w="776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Statements of Comprehensive Loss</w:t>
            </w:r>
          </w:p>
        </w:tc>
        <w:tc>
          <w:tcPr>
            <w:tcW w:w="49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Condensed Consolidated Statements of Changes in Redeemable Noncontrolling Interest and Shareholders’ Deficit / Members’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1"/>
          </w:tcPr>
          <w:p>
            <w:pPr>
              <w:spacing w:after="0" w:line="196" w:lineRule="exact"/>
              <w:rPr>
                <w:sz w:val="20"/>
                <w:szCs w:val="20"/>
                <w:color w:val="auto"/>
              </w:rPr>
            </w:pPr>
            <w:r>
              <w:rPr>
                <w:rFonts w:ascii="Arial" w:cs="Arial" w:eastAsia="Arial" w:hAnsi="Arial"/>
                <w:sz w:val="18"/>
                <w:szCs w:val="18"/>
                <w:color w:val="0000FF"/>
              </w:rPr>
              <w:t>Equity</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2580" w:type="dxa"/>
            <w:vAlign w:val="bottom"/>
            <w:tcBorders>
              <w:top w:val="single" w:sz="8" w:color="0000FF"/>
            </w:tcBorders>
            <w:gridSpan w:val="6"/>
          </w:tcPr>
          <w:p>
            <w:pPr>
              <w:spacing w:after="0"/>
              <w:rPr>
                <w:sz w:val="18"/>
                <w:szCs w:val="18"/>
                <w:color w:val="auto"/>
              </w:rPr>
            </w:pP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1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Unregistered Sales of Equity Securities, Use of Proceeds and Issuer Purchases of Equity Securities</w:t>
            </w:r>
          </w:p>
        </w:tc>
        <w:tc>
          <w:tcPr>
            <w:tcW w:w="21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5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3"/>
              </w:rPr>
              <w:t>September 30, 2023</w:t>
            </w:r>
          </w:p>
        </w:tc>
        <w:tc>
          <w:tcPr>
            <w:tcW w:w="200" w:type="dxa"/>
            <w:vAlign w:val="bottom"/>
          </w:tcPr>
          <w:p>
            <w:pPr>
              <w:spacing w:after="0"/>
              <w:rPr>
                <w:sz w:val="20"/>
                <w:szCs w:val="20"/>
                <w:color w:val="auto"/>
              </w:rPr>
            </w:pPr>
          </w:p>
        </w:tc>
        <w:tc>
          <w:tcPr>
            <w:tcW w:w="1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December 31, 2022</w:t>
            </w:r>
          </w:p>
        </w:tc>
      </w:tr>
      <w:tr>
        <w:trPr>
          <w:trHeight w:val="250"/>
        </w:trPr>
        <w:tc>
          <w:tcPr>
            <w:tcW w:w="6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21"/>
                <w:szCs w:val="21"/>
                <w:color w:val="auto"/>
              </w:rPr>
            </w:pPr>
          </w:p>
        </w:tc>
        <w:tc>
          <w:tcPr>
            <w:tcW w:w="190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191,389</w:t>
            </w:r>
          </w:p>
        </w:tc>
        <w:tc>
          <w:tcPr>
            <w:tcW w:w="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490,252</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204,945</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714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assets</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Prepaid clinical</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5,203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10,459</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66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406,423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504,719</w:t>
            </w:r>
          </w:p>
        </w:tc>
        <w:tc>
          <w:tcPr>
            <w:tcW w:w="100" w:type="dxa"/>
            <w:vAlign w:val="bottom"/>
          </w:tcPr>
          <w:p>
            <w:pPr>
              <w:spacing w:after="0"/>
              <w:rPr>
                <w:sz w:val="20"/>
                <w:szCs w:val="20"/>
                <w:color w:val="auto"/>
              </w:rPr>
            </w:pPr>
          </w:p>
        </w:tc>
      </w:tr>
      <w:tr>
        <w:trPr>
          <w:trHeight w:val="256"/>
        </w:trPr>
        <w:tc>
          <w:tcPr>
            <w:tcW w:w="6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assets, net</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42,614</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10,708</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Right of use assets, net</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2,717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662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451,806</w:t>
            </w:r>
          </w:p>
        </w:tc>
        <w:tc>
          <w:tcPr>
            <w:tcW w:w="3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517,996</w:t>
            </w:r>
          </w:p>
        </w:tc>
        <w:tc>
          <w:tcPr>
            <w:tcW w:w="10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Deficit/Members' Equity</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4,476</w:t>
            </w:r>
          </w:p>
        </w:tc>
        <w:tc>
          <w:tcPr>
            <w:tcW w:w="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 liabilities</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15,464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Borders>
              <w:top w:val="single" w:sz="8" w:color="CFF0FC"/>
            </w:tcBorders>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20,987</w:t>
            </w:r>
          </w:p>
        </w:tc>
        <w:tc>
          <w:tcPr>
            <w:tcW w:w="3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10,873</w:t>
            </w:r>
          </w:p>
        </w:tc>
        <w:tc>
          <w:tcPr>
            <w:tcW w:w="100" w:type="dxa"/>
            <w:vAlign w:val="bottom"/>
            <w:tcBorders>
              <w:top w:val="single" w:sz="8" w:color="CFF0FC"/>
            </w:tcBorders>
          </w:tcPr>
          <w:p>
            <w:pPr>
              <w:spacing w:after="0"/>
              <w:rPr>
                <w:sz w:val="20"/>
                <w:szCs w:val="20"/>
                <w:color w:val="auto"/>
              </w:rPr>
            </w:pPr>
          </w:p>
        </w:tc>
      </w:tr>
      <w:tr>
        <w:trPr>
          <w:trHeight w:val="256"/>
        </w:trPr>
        <w:tc>
          <w:tcPr>
            <w:tcW w:w="6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payable, net of current portion</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23,618</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13,057</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1,520,825</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1,601,555</w:t>
            </w:r>
          </w:p>
        </w:tc>
        <w:tc>
          <w:tcPr>
            <w:tcW w:w="100" w:type="dxa"/>
            <w:vAlign w:val="bottom"/>
            <w:shd w:val="clear" w:color="auto" w:fill="CFF0FC"/>
          </w:tcPr>
          <w:p>
            <w:pPr>
              <w:spacing w:after="0"/>
              <w:rPr>
                <w:sz w:val="21"/>
                <w:szCs w:val="21"/>
                <w:color w:val="auto"/>
              </w:rPr>
            </w:pPr>
          </w:p>
        </w:tc>
      </w:tr>
      <w:tr>
        <w:trPr>
          <w:trHeight w:val="479"/>
        </w:trPr>
        <w:tc>
          <w:tcPr>
            <w:tcW w:w="6620" w:type="dxa"/>
            <w:vAlign w:val="bottom"/>
          </w:tcPr>
          <w:p>
            <w:pPr>
              <w:ind w:left="20"/>
              <w:spacing w:after="0"/>
              <w:rPr>
                <w:sz w:val="20"/>
                <w:szCs w:val="20"/>
                <w:color w:val="auto"/>
              </w:rPr>
            </w:pPr>
            <w:r>
              <w:rPr>
                <w:rFonts w:ascii="Arial" w:cs="Arial" w:eastAsia="Arial" w:hAnsi="Arial"/>
                <w:sz w:val="18"/>
                <w:szCs w:val="18"/>
                <w:color w:val="auto"/>
              </w:rPr>
              <w:t>Shareholders’ deficit / members' equity:</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Class A ordinary shares, $0.0001 par value; 500,000,000 shares</w:t>
            </w: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authorized; 61,595,300 and 61,540,231 issued and outstanding as</w:t>
            </w: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 September 30, 2023 and December 31, 2022, respectively</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r>
      <w:tr>
        <w:trPr>
          <w:trHeight w:val="215"/>
        </w:trPr>
        <w:tc>
          <w:tcPr>
            <w:tcW w:w="6620" w:type="dxa"/>
            <w:vAlign w:val="bottom"/>
          </w:tcPr>
          <w:p>
            <w:pPr>
              <w:ind w:left="120"/>
              <w:spacing w:after="0"/>
              <w:rPr>
                <w:sz w:val="20"/>
                <w:szCs w:val="20"/>
                <w:color w:val="auto"/>
              </w:rPr>
            </w:pPr>
            <w:r>
              <w:rPr>
                <w:rFonts w:ascii="Arial" w:cs="Arial" w:eastAsia="Arial" w:hAnsi="Arial"/>
                <w:sz w:val="18"/>
                <w:szCs w:val="18"/>
                <w:color w:val="auto"/>
              </w:rPr>
              <w:t>Class B ordinary shares, $0.0001 par value; 500,000,000 shares</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authorized; 173,839,330 and 171,578,320 issued and outstanding as</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620" w:type="dxa"/>
            <w:vAlign w:val="bottom"/>
          </w:tcPr>
          <w:p>
            <w:pPr>
              <w:ind w:left="240"/>
              <w:spacing w:after="0"/>
              <w:rPr>
                <w:sz w:val="20"/>
                <w:szCs w:val="20"/>
                <w:color w:val="auto"/>
              </w:rPr>
            </w:pPr>
            <w:r>
              <w:rPr>
                <w:rFonts w:ascii="Arial" w:cs="Arial" w:eastAsia="Arial" w:hAnsi="Arial"/>
                <w:sz w:val="18"/>
                <w:szCs w:val="18"/>
                <w:color w:val="auto"/>
              </w:rPr>
              <w:t>of September 30, 2023 and December 31, 2022, respectively</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r>
      <w:tr>
        <w:trPr>
          <w:trHeight w:val="250"/>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41,365</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0"/>
                <w:szCs w:val="20"/>
                <w:color w:val="auto"/>
              </w:rPr>
            </w:pPr>
          </w:p>
        </w:tc>
        <w:tc>
          <w:tcPr>
            <w:tcW w:w="2240" w:type="dxa"/>
            <w:vAlign w:val="bottom"/>
            <w:gridSpan w:val="2"/>
          </w:tcPr>
          <w:p>
            <w:pPr>
              <w:jc w:val="right"/>
              <w:ind w:right="260"/>
              <w:spacing w:after="0"/>
              <w:rPr>
                <w:sz w:val="20"/>
                <w:szCs w:val="20"/>
                <w:color w:val="auto"/>
              </w:rPr>
            </w:pPr>
            <w:r>
              <w:rPr>
                <w:rFonts w:ascii="Arial" w:cs="Arial" w:eastAsia="Arial" w:hAnsi="Arial"/>
                <w:sz w:val="18"/>
                <w:szCs w:val="18"/>
                <w:color w:val="auto"/>
              </w:rPr>
              <w:t>(64 )</w:t>
            </w:r>
          </w:p>
        </w:tc>
        <w:tc>
          <w:tcPr>
            <w:tcW w:w="2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(1,133,962 )</w:t>
            </w:r>
          </w:p>
        </w:tc>
        <w:tc>
          <w:tcPr>
            <w:tcW w:w="20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(1,104,116 )</w:t>
            </w:r>
          </w:p>
        </w:tc>
      </w:tr>
      <w:tr>
        <w:trPr>
          <w:trHeight w:val="20"/>
        </w:trPr>
        <w:tc>
          <w:tcPr>
            <w:tcW w:w="6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Total shareholders' deficit / members’ equity</w:t>
            </w:r>
          </w:p>
        </w:tc>
        <w:tc>
          <w:tcPr>
            <w:tcW w:w="200" w:type="dxa"/>
            <w:vAlign w:val="bottom"/>
          </w:tcPr>
          <w:p>
            <w:pPr>
              <w:spacing w:after="0"/>
              <w:rPr>
                <w:sz w:val="20"/>
                <w:szCs w:val="20"/>
                <w:color w:val="auto"/>
              </w:rPr>
            </w:pPr>
          </w:p>
        </w:tc>
        <w:tc>
          <w:tcPr>
            <w:tcW w:w="2240" w:type="dxa"/>
            <w:vAlign w:val="bottom"/>
            <w:gridSpan w:val="2"/>
          </w:tcPr>
          <w:p>
            <w:pPr>
              <w:jc w:val="right"/>
              <w:ind w:right="260"/>
              <w:spacing w:after="0"/>
              <w:rPr>
                <w:sz w:val="20"/>
                <w:szCs w:val="20"/>
                <w:color w:val="auto"/>
              </w:rPr>
            </w:pPr>
            <w:r>
              <w:rPr>
                <w:rFonts w:ascii="Arial" w:cs="Arial" w:eastAsia="Arial" w:hAnsi="Arial"/>
                <w:sz w:val="18"/>
                <w:szCs w:val="18"/>
                <w:color w:val="auto"/>
              </w:rPr>
              <w:t>(1,092,637 )</w:t>
            </w:r>
          </w:p>
        </w:tc>
        <w:tc>
          <w:tcPr>
            <w:tcW w:w="20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(1,096,616 )</w:t>
            </w:r>
          </w:p>
        </w:tc>
      </w:tr>
      <w:tr>
        <w:trPr>
          <w:trHeight w:val="28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 and shareholders' deficit/members' equity</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451,806</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517,996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-4971415</wp:posOffset>
            </wp:positionV>
            <wp:extent cx="6858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-4971415</wp:posOffset>
            </wp:positionV>
            <wp:extent cx="6858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-4191000</wp:posOffset>
            </wp:positionV>
            <wp:extent cx="6858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-3076575</wp:posOffset>
            </wp:positionV>
            <wp:extent cx="6858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-350520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w w:val="91"/>
              </w:rPr>
              <w:t>Three Months Ended September 30,</w:t>
            </w:r>
          </w:p>
        </w:tc>
        <w:tc>
          <w:tcPr>
            <w:tcW w:w="160" w:type="dxa"/>
            <w:vAlign w:val="bottom"/>
          </w:tcPr>
          <w:p>
            <w:pPr>
              <w:spacing w:after="0"/>
              <w:rPr>
                <w:sz w:val="20"/>
                <w:szCs w:val="20"/>
                <w:color w:val="auto"/>
              </w:rPr>
            </w:pPr>
          </w:p>
        </w:tc>
        <w:tc>
          <w:tcPr>
            <w:tcW w:w="304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32,198</w:t>
            </w:r>
          </w:p>
        </w:tc>
        <w:tc>
          <w:tcPr>
            <w:tcW w:w="3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21,132</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84,179</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14,419</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43,133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46,617</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35,572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127,312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(46,617 )</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(35,572 )</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(127,312 )</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(122,772 )</w:t>
            </w:r>
          </w:p>
        </w:tc>
        <w:tc>
          <w:tcPr>
            <w:tcW w:w="0" w:type="dxa"/>
            <w:vAlign w:val="bottom"/>
          </w:tcPr>
          <w:p>
            <w:pPr>
              <w:spacing w:after="0"/>
              <w:rPr>
                <w:sz w:val="1"/>
                <w:szCs w:val="1"/>
                <w:color w:val="auto"/>
              </w:rPr>
            </w:pPr>
          </w:p>
        </w:tc>
      </w:tr>
      <w:tr>
        <w:trPr>
          <w:trHeight w:val="479"/>
        </w:trPr>
        <w:tc>
          <w:tcPr>
            <w:tcW w:w="46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(2 )</w:t>
            </w:r>
          </w:p>
        </w:tc>
        <w:tc>
          <w:tcPr>
            <w:tcW w:w="30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(29 )</w:t>
            </w:r>
          </w:p>
        </w:tc>
        <w:tc>
          <w:tcPr>
            <w:tcW w:w="1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(9 )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before income taxes</w:t>
            </w:r>
          </w:p>
        </w:tc>
        <w:tc>
          <w:tcPr>
            <w:tcW w:w="14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(41,078</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(34,020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(110,518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(121,404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913</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(75 )</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before noncontrolling</w:t>
            </w:r>
          </w:p>
        </w:tc>
        <w:tc>
          <w:tcPr>
            <w:tcW w:w="140" w:type="dxa"/>
            <w:vAlign w:val="bottom"/>
            <w:shd w:val="clear" w:color="auto" w:fill="CFF0FC"/>
          </w:tcPr>
          <w:p>
            <w:pPr>
              <w:spacing w:after="0"/>
              <w:rPr>
                <w:sz w:val="18"/>
                <w:szCs w:val="18"/>
                <w:color w:val="auto"/>
              </w:rPr>
            </w:pPr>
          </w:p>
        </w:tc>
        <w:tc>
          <w:tcPr>
            <w:tcW w:w="160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(41,991 )</w:t>
            </w:r>
          </w:p>
        </w:tc>
        <w:tc>
          <w:tcPr>
            <w:tcW w:w="300" w:type="dxa"/>
            <w:vAlign w:val="bottom"/>
            <w:shd w:val="clear" w:color="auto" w:fill="CFF0FC"/>
          </w:tcPr>
          <w:p>
            <w:pPr>
              <w:spacing w:after="0"/>
              <w:rPr>
                <w:sz w:val="18"/>
                <w:szCs w:val="18"/>
                <w:color w:val="auto"/>
              </w:rPr>
            </w:pPr>
          </w:p>
        </w:tc>
        <w:tc>
          <w:tcPr>
            <w:tcW w:w="138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(33,945 )</w:t>
            </w:r>
          </w:p>
        </w:tc>
        <w:tc>
          <w:tcPr>
            <w:tcW w:w="160" w:type="dxa"/>
            <w:vAlign w:val="bottom"/>
            <w:shd w:val="clear" w:color="auto" w:fill="CFF0FC"/>
          </w:tcPr>
          <w:p>
            <w:pPr>
              <w:spacing w:after="0"/>
              <w:rPr>
                <w:sz w:val="18"/>
                <w:szCs w:val="18"/>
                <w:color w:val="auto"/>
              </w:rPr>
            </w:pPr>
          </w:p>
        </w:tc>
        <w:tc>
          <w:tcPr>
            <w:tcW w:w="152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(113,723 )</w:t>
            </w:r>
          </w:p>
        </w:tc>
        <w:tc>
          <w:tcPr>
            <w:tcW w:w="32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(123,562 )</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FF0FC"/>
          </w:tcPr>
          <w:p>
            <w:pPr>
              <w:spacing w:after="0"/>
              <w:rPr>
                <w:sz w:val="20"/>
                <w:szCs w:val="20"/>
                <w:color w:val="auto"/>
              </w:rPr>
            </w:pPr>
          </w:p>
        </w:tc>
        <w:tc>
          <w:tcPr>
            <w:tcW w:w="160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Pr>
          <w:p>
            <w:pPr>
              <w:spacing w:after="0"/>
              <w:rPr>
                <w:sz w:val="20"/>
                <w:szCs w:val="20"/>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(31,007 )</w:t>
            </w:r>
          </w:p>
        </w:tc>
        <w:tc>
          <w:tcPr>
            <w:tcW w:w="30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(22,017 )</w:t>
            </w:r>
          </w:p>
        </w:tc>
        <w:tc>
          <w:tcPr>
            <w:tcW w:w="1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(83,956 )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(22,017 )</w:t>
            </w:r>
          </w:p>
        </w:tc>
        <w:tc>
          <w:tcPr>
            <w:tcW w:w="0" w:type="dxa"/>
            <w:vAlign w:val="bottom"/>
          </w:tcPr>
          <w:p>
            <w:pPr>
              <w:spacing w:after="0"/>
              <w:rPr>
                <w:sz w:val="1"/>
                <w:szCs w:val="1"/>
                <w:color w:val="auto"/>
              </w:rPr>
            </w:pPr>
          </w:p>
        </w:tc>
      </w:tr>
      <w:tr>
        <w:trPr>
          <w:trHeight w:val="277"/>
        </w:trPr>
        <w:tc>
          <w:tcPr>
            <w:tcW w:w="4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loss available to Class A ordinary shareholders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(10,984</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(29,767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66"/>
        </w:trPr>
        <w:tc>
          <w:tcPr>
            <w:tcW w:w="4620" w:type="dxa"/>
            <w:vAlign w:val="bottom"/>
          </w:tcPr>
          <w:p>
            <w:pPr>
              <w:ind w:left="20"/>
              <w:spacing w:after="0"/>
              <w:rPr>
                <w:sz w:val="20"/>
                <w:szCs w:val="20"/>
                <w:color w:val="auto"/>
              </w:rPr>
            </w:pPr>
            <w:r>
              <w:rPr>
                <w:rFonts w:ascii="Arial" w:cs="Arial" w:eastAsia="Arial" w:hAnsi="Arial"/>
                <w:sz w:val="18"/>
                <w:szCs w:val="18"/>
                <w:color w:val="auto"/>
                <w:w w:val="97"/>
              </w:rPr>
              <w:t xml:space="preserve">Weighted average Class A ordinary shares outstanding: </w:t>
            </w:r>
            <w:r>
              <w:rPr>
                <w:rFonts w:ascii="Arial" w:cs="Arial" w:eastAsia="Arial" w:hAnsi="Arial"/>
                <w:sz w:val="24"/>
                <w:szCs w:val="24"/>
                <w:color w:val="auto"/>
                <w:w w:val="97"/>
                <w:vertAlign w:val="superscript"/>
              </w:rPr>
              <w:t>(1)</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61,592,876</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61,540,231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61,565,298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61,540,231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Arial" w:cs="Arial" w:eastAsia="Arial" w:hAnsi="Arial"/>
                <w:sz w:val="18"/>
                <w:szCs w:val="18"/>
                <w:color w:val="auto"/>
                <w:w w:val="94"/>
              </w:rPr>
              <w:t xml:space="preserve">Net loss per share attributable to Class A ordinary shares: </w:t>
            </w:r>
            <w:r>
              <w:rPr>
                <w:rFonts w:ascii="Arial" w:cs="Arial" w:eastAsia="Arial" w:hAnsi="Arial"/>
                <w:sz w:val="24"/>
                <w:szCs w:val="24"/>
                <w:color w:val="auto"/>
                <w:w w:val="94"/>
                <w:vertAlign w:val="superscript"/>
              </w:rPr>
              <w:t>(1)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(0.18 )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(0.13 )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(0.48 )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(0.13 )</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-2691130</wp:posOffset>
            </wp:positionV>
            <wp:extent cx="7683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-2691130</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-2691130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-1148080</wp:posOffset>
            </wp:positionV>
            <wp:extent cx="7683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-1148080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-1148080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-822325</wp:posOffset>
            </wp:positionV>
            <wp:extent cx="3300095" cy="3340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0095" cy="33401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180" w:firstLine="8"/>
        <w:spacing w:after="0" w:line="275" w:lineRule="auto"/>
        <w:tabs>
          <w:tab w:leader="none" w:pos="185"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Company analyzed the calculation of net loss per share for periods prior to the Business Combination, as defined in Note 1,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The basic and diluted net loss per share attributable to Class A ordinary shareholders for the three and nine months ended September 30, 2022, represents only the period after the Business Combination to September 30, 2022. For more information refer to Note 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960" w:type="dxa"/>
            <w:vAlign w:val="bottom"/>
            <w:gridSpan w:val="6"/>
          </w:tcPr>
          <w:p>
            <w:pPr>
              <w:jc w:val="right"/>
              <w:ind w:right="301"/>
              <w:spacing w:after="0"/>
              <w:rPr>
                <w:sz w:val="20"/>
                <w:szCs w:val="20"/>
                <w:color w:val="auto"/>
              </w:rPr>
            </w:pPr>
            <w:r>
              <w:rPr>
                <w:rFonts w:ascii="Arial" w:cs="Arial" w:eastAsia="Arial" w:hAnsi="Arial"/>
                <w:sz w:val="18"/>
                <w:szCs w:val="18"/>
                <w:b w:val="1"/>
                <w:bCs w:val="1"/>
                <w:color w:val="auto"/>
                <w:w w:val="92"/>
              </w:rPr>
              <w:t>Three Months Ended September</w:t>
            </w:r>
          </w:p>
        </w:tc>
        <w:tc>
          <w:tcPr>
            <w:tcW w:w="274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w w:val="93"/>
              </w:rPr>
              <w:t>Nine Months Ended September</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including noncontrolling interest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(113,723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(123,562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Unrealized gain (loss) on marketable securities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(244 )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(244 )</w:t>
            </w:r>
          </w:p>
        </w:tc>
        <w:tc>
          <w:tcPr>
            <w:tcW w:w="260" w:type="dxa"/>
            <w:vAlign w:val="bottom"/>
          </w:tcPr>
          <w:p>
            <w:pPr>
              <w:spacing w:after="0"/>
              <w:rPr>
                <w:sz w:val="20"/>
                <w:szCs w:val="20"/>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comprehensive loss including noncontrolling interest</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(41,750 )</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(33,945 )</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(113,967 )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(123,562 )</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8"/>
                <w:szCs w:val="18"/>
                <w:color w:val="auto"/>
                <w:w w:val="99"/>
              </w:rPr>
              <w:t>Less: Total comprehensive loss attributable to noncontrolling</w:t>
            </w:r>
          </w:p>
        </w:tc>
        <w:tc>
          <w:tcPr>
            <w:tcW w:w="260" w:type="dxa"/>
            <w:vAlign w:val="bottom"/>
          </w:tcPr>
          <w:p>
            <w:pPr>
              <w:spacing w:after="0"/>
              <w:rPr>
                <w:sz w:val="18"/>
                <w:szCs w:val="18"/>
                <w:color w:val="auto"/>
              </w:rPr>
            </w:pPr>
          </w:p>
        </w:tc>
        <w:tc>
          <w:tcPr>
            <w:tcW w:w="12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(30,829 )</w:t>
            </w:r>
          </w:p>
        </w:tc>
        <w:tc>
          <w:tcPr>
            <w:tcW w:w="260" w:type="dxa"/>
            <w:vAlign w:val="bottom"/>
          </w:tcPr>
          <w:p>
            <w:pPr>
              <w:spacing w:after="0"/>
              <w:rPr>
                <w:sz w:val="18"/>
                <w:szCs w:val="18"/>
                <w:color w:val="auto"/>
              </w:rPr>
            </w:pPr>
          </w:p>
        </w:tc>
        <w:tc>
          <w:tcPr>
            <w:tcW w:w="122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(22,017 )</w:t>
            </w:r>
          </w:p>
        </w:tc>
        <w:tc>
          <w:tcPr>
            <w:tcW w:w="260" w:type="dxa"/>
            <w:vAlign w:val="bottom"/>
          </w:tcPr>
          <w:p>
            <w:pPr>
              <w:spacing w:after="0"/>
              <w:rPr>
                <w:sz w:val="18"/>
                <w:szCs w:val="18"/>
                <w:color w:val="auto"/>
              </w:rPr>
            </w:pPr>
          </w:p>
        </w:tc>
        <w:tc>
          <w:tcPr>
            <w:tcW w:w="12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(84,136 )</w:t>
            </w:r>
          </w:p>
        </w:tc>
        <w:tc>
          <w:tcPr>
            <w:tcW w:w="2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(22,017 )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comprehensive loss attributable to Class A ordinary</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(10,921 )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121"/>
              <w:spacing w:after="0"/>
              <w:rPr>
                <w:sz w:val="20"/>
                <w:szCs w:val="20"/>
                <w:color w:val="auto"/>
              </w:rPr>
            </w:pPr>
            <w:r>
              <w:rPr>
                <w:rFonts w:ascii="Arial" w:cs="Arial" w:eastAsia="Arial" w:hAnsi="Arial"/>
                <w:sz w:val="18"/>
                <w:szCs w:val="18"/>
                <w:color w:val="auto"/>
              </w:rPr>
              <w:t>(11,928 )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(29,831 )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(101,545 )</w:t>
            </w: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shareholders</w:t>
            </w:r>
          </w:p>
        </w:tc>
        <w:tc>
          <w:tcPr>
            <w:tcW w:w="2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-899795</wp:posOffset>
            </wp:positionV>
            <wp:extent cx="685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-899795</wp:posOffset>
            </wp:positionV>
            <wp:extent cx="685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-899795</wp:posOffset>
            </wp:positionV>
            <wp:extent cx="6032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-899795</wp:posOffset>
            </wp:positionV>
            <wp:extent cx="5969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-24765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-7620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-24765</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-7620</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661" w:right="6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Redeemable Noncontrolling Interest and Shareholders’ Deficit / Members’ Equity -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29210</wp:posOffset>
            </wp:positionV>
            <wp:extent cx="45091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Class A Ordinary</w:t>
            </w:r>
          </w:p>
        </w:tc>
        <w:tc>
          <w:tcPr>
            <w:tcW w:w="22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Class B Ordinary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Shares</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Shares</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6"/>
              </w:rPr>
              <w:t>Rede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9"/>
              </w:rPr>
              <w:t>emab</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Shareh</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2"/>
              </w:rPr>
              <w:t>le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olders'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Nonc</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ulated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1"/>
              </w:rPr>
              <w:t>ontro</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onal</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right="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1"/>
              </w:rPr>
              <w:t>lling</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11"/>
          </w:tcPr>
          <w:p>
            <w:pPr>
              <w:spacing w:after="0"/>
              <w:rPr>
                <w:sz w:val="20"/>
                <w:szCs w:val="20"/>
                <w:color w:val="auto"/>
              </w:rPr>
            </w:pPr>
            <w:r>
              <w:rPr>
                <w:rFonts w:ascii="Arial" w:cs="Arial" w:eastAsia="Arial" w:hAnsi="Arial"/>
                <w:sz w:val="18"/>
                <w:szCs w:val="18"/>
                <w:b w:val="1"/>
                <w:bCs w:val="1"/>
                <w:color w:val="auto"/>
              </w:rPr>
              <w:t>Paid-in   Compr   Accum   Memb</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Inter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w:t>
            </w:r>
          </w:p>
        </w:tc>
        <w:tc>
          <w:tcPr>
            <w:tcW w:w="2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w:t>
            </w:r>
          </w:p>
        </w:tc>
        <w:tc>
          <w:tcPr>
            <w:tcW w:w="800" w:type="dxa"/>
            <w:vAlign w:val="bottom"/>
            <w:gridSpan w:val="3"/>
          </w:tcPr>
          <w:p>
            <w:pPr>
              <w:ind w:left="60"/>
              <w:spacing w:after="0"/>
              <w:rPr>
                <w:sz w:val="20"/>
                <w:szCs w:val="20"/>
                <w:color w:val="auto"/>
              </w:rPr>
            </w:pPr>
            <w:r>
              <w:rPr>
                <w:rFonts w:ascii="Arial" w:cs="Arial" w:eastAsia="Arial" w:hAnsi="Arial"/>
                <w:sz w:val="18"/>
                <w:szCs w:val="18"/>
                <w:b w:val="1"/>
                <w:bCs w:val="1"/>
                <w:color w:val="auto"/>
              </w:rPr>
              <w:t>ehensi</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ulated</w:t>
            </w:r>
          </w:p>
        </w:tc>
        <w:tc>
          <w:tcPr>
            <w:tcW w:w="100" w:type="dxa"/>
            <w:vAlign w:val="bottom"/>
          </w:tcPr>
          <w:p>
            <w:pPr>
              <w:spacing w:after="0"/>
              <w:rPr>
                <w:sz w:val="18"/>
                <w:szCs w:val="18"/>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ers'</w:t>
            </w:r>
          </w:p>
        </w:tc>
        <w:tc>
          <w:tcPr>
            <w:tcW w:w="0" w:type="dxa"/>
            <w:vAlign w:val="bottom"/>
          </w:tcPr>
          <w:p>
            <w:pPr>
              <w:spacing w:after="0"/>
              <w:rPr>
                <w:sz w:val="1"/>
                <w:szCs w:val="1"/>
                <w:color w:val="auto"/>
              </w:rPr>
            </w:pPr>
          </w:p>
        </w:tc>
      </w:tr>
      <w:tr>
        <w:trPr>
          <w:trHeight w:val="241"/>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4"/>
              </w:rPr>
              <w:t>est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3"/>
              </w:rPr>
              <w:t>Shares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nt</w:t>
            </w:r>
          </w:p>
        </w:tc>
        <w:tc>
          <w:tcPr>
            <w:tcW w:w="2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Shares</w:t>
            </w:r>
          </w:p>
        </w:tc>
        <w:tc>
          <w:tcPr>
            <w:tcW w:w="160" w:type="dxa"/>
            <w:vAlign w:val="bottom"/>
          </w:tcPr>
          <w:p>
            <w:pPr>
              <w:spacing w:after="0"/>
              <w:rPr>
                <w:sz w:val="20"/>
                <w:szCs w:val="20"/>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w:t>
            </w: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ve Loss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Deficit</w:t>
            </w:r>
          </w:p>
        </w:tc>
        <w:tc>
          <w:tcPr>
            <w:tcW w:w="680" w:type="dxa"/>
            <w:vAlign w:val="bottom"/>
            <w:gridSpan w:val="3"/>
          </w:tcPr>
          <w:p>
            <w:pPr>
              <w:ind w:left="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5"/>
        </w:trPr>
        <w:tc>
          <w:tcPr>
            <w:tcW w:w="33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1,77</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as of July 1, 2023</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9,19</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61,590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173,66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80" w:type="dxa"/>
            <w:vAlign w:val="bottom"/>
            <w:gridSpan w:val="2"/>
            <w:shd w:val="clear" w:color="auto" w:fill="CFF0FC"/>
          </w:tcPr>
          <w:p>
            <w:pPr>
              <w:ind w:left="33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(127 )</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7"/>
              </w:rPr>
              <w:t>$ 3,108 )</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15"/>
        </w:trPr>
        <w:tc>
          <w:tcPr>
            <w:tcW w:w="3480" w:type="dxa"/>
            <w:vAlign w:val="bottom"/>
            <w:gridSpan w:val="2"/>
            <w:vMerge w:val="restart"/>
          </w:tcPr>
          <w:p>
            <w:pPr>
              <w:ind w:left="20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2,62</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480" w:type="dxa"/>
            <w:vAlign w:val="bottom"/>
            <w:gridSpan w:val="2"/>
            <w:vMerge w:val="continue"/>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Issuance of Class A ordinary shares</w:t>
            </w:r>
          </w:p>
        </w:tc>
        <w:tc>
          <w:tcPr>
            <w:tcW w:w="6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80" w:type="dxa"/>
            <w:vAlign w:val="bottom"/>
            <w:gridSpan w:val="2"/>
            <w:vMerge w:val="restart"/>
          </w:tcPr>
          <w:p>
            <w:pPr>
              <w:ind w:left="200"/>
              <w:spacing w:after="0"/>
              <w:rPr>
                <w:sz w:val="20"/>
                <w:szCs w:val="20"/>
                <w:color w:val="auto"/>
              </w:rPr>
            </w:pPr>
            <w:r>
              <w:rPr>
                <w:rFonts w:ascii="Arial" w:cs="Arial" w:eastAsia="Arial" w:hAnsi="Arial"/>
                <w:sz w:val="18"/>
                <w:szCs w:val="18"/>
                <w:color w:val="auto"/>
              </w:rPr>
              <w:t>Vesting of Class B restricted stock rights</w:t>
            </w:r>
          </w:p>
        </w:tc>
        <w:tc>
          <w:tcPr>
            <w:tcW w:w="3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480" w:type="dxa"/>
            <w:vAlign w:val="bottom"/>
            <w:gridSpan w:val="2"/>
            <w:vMerge w:val="continue"/>
          </w:tcPr>
          <w:p>
            <w:pPr>
              <w:spacing w:after="0"/>
              <w:rPr>
                <w:sz w:val="10"/>
                <w:szCs w:val="10"/>
                <w:color w:val="auto"/>
              </w:rPr>
            </w:pPr>
          </w:p>
        </w:tc>
        <w:tc>
          <w:tcPr>
            <w:tcW w:w="60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Exchange of Class B ordinary shares for</w:t>
            </w:r>
          </w:p>
        </w:tc>
        <w:tc>
          <w:tcPr>
            <w:tcW w:w="38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Class A ordinary shares</w:t>
            </w:r>
          </w:p>
        </w:tc>
        <w:tc>
          <w:tcPr>
            <w:tcW w:w="60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(5,069 )</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80" w:type="dxa"/>
            <w:vAlign w:val="bottom"/>
            <w:gridSpan w:val="2"/>
          </w:tcPr>
          <w:p>
            <w:pPr>
              <w:ind w:left="200"/>
              <w:spacing w:after="0"/>
              <w:rPr>
                <w:sz w:val="20"/>
                <w:szCs w:val="20"/>
                <w:color w:val="auto"/>
              </w:rPr>
            </w:pPr>
            <w:r>
              <w:rPr>
                <w:rFonts w:ascii="Arial" w:cs="Arial" w:eastAsia="Arial" w:hAnsi="Arial"/>
                <w:sz w:val="18"/>
                <w:szCs w:val="18"/>
                <w:color w:val="auto"/>
              </w:rPr>
              <w:t>Impact of equity transactions on</w:t>
            </w:r>
          </w:p>
        </w:tc>
        <w:tc>
          <w:tcPr>
            <w:tcW w:w="3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80" w:type="dxa"/>
            <w:vAlign w:val="bottom"/>
            <w:gridSpan w:val="2"/>
          </w:tcPr>
          <w:p>
            <w:pPr>
              <w:ind w:left="200"/>
              <w:spacing w:after="0"/>
              <w:rPr>
                <w:sz w:val="20"/>
                <w:szCs w:val="20"/>
                <w:color w:val="auto"/>
              </w:rPr>
            </w:pPr>
            <w:r>
              <w:rPr>
                <w:rFonts w:ascii="Arial" w:cs="Arial" w:eastAsia="Arial" w:hAnsi="Arial"/>
                <w:sz w:val="18"/>
                <w:szCs w:val="18"/>
                <w:color w:val="auto"/>
              </w:rPr>
              <w:t>redeemable noncontrolling interest</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(21 )</w:t>
            </w:r>
          </w:p>
        </w:tc>
        <w:tc>
          <w:tcPr>
            <w:tcW w:w="1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50"/>
        </w:trPr>
        <w:tc>
          <w:tcPr>
            <w:tcW w:w="3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Unrealized loss on marketable securities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8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480" w:type="dxa"/>
            <w:vAlign w:val="bottom"/>
            <w:gridSpan w:val="2"/>
            <w:vMerge w:val="continue"/>
          </w:tcPr>
          <w:p>
            <w:pPr>
              <w:spacing w:after="0"/>
              <w:rPr>
                <w:sz w:val="10"/>
                <w:szCs w:val="10"/>
                <w:color w:val="auto"/>
              </w:rPr>
            </w:pPr>
          </w:p>
        </w:tc>
        <w:tc>
          <w:tcPr>
            <w:tcW w:w="6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007 )</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10"/>
                <w:szCs w:val="10"/>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Change in redemption value of</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(230</w:t>
            </w: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60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1"/>
              </w:rPr>
              <w:t>,130 )</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1,52</w:t>
            </w:r>
          </w:p>
        </w:tc>
        <w:tc>
          <w:tcPr>
            <w:tcW w:w="220" w:type="dxa"/>
            <w:vAlign w:val="bottom"/>
            <w:tcBorders>
              <w:top w:val="single" w:sz="8" w:color="CFF0FC"/>
              <w:right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Balance as of September 30, 2023</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0,82</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61,595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173,83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80" w:type="dxa"/>
            <w:vAlign w:val="bottom"/>
            <w:gridSpan w:val="2"/>
          </w:tcPr>
          <w:p>
            <w:pPr>
              <w:ind w:left="33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9,330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(64 )</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$ 3,962 )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,637 )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-462280</wp:posOffset>
            </wp:positionV>
            <wp:extent cx="68580" cy="462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-462280</wp:posOffset>
            </wp:positionV>
            <wp:extent cx="68580" cy="462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-462280</wp:posOffset>
            </wp:positionV>
            <wp:extent cx="68580" cy="462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-462280</wp:posOffset>
            </wp:positionV>
            <wp:extent cx="68580" cy="462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-462280</wp:posOffset>
            </wp:positionV>
            <wp:extent cx="68580" cy="4629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-462280</wp:posOffset>
            </wp:positionV>
            <wp:extent cx="68580" cy="4629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-462280</wp:posOffset>
            </wp:positionV>
            <wp:extent cx="68580" cy="462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-462280</wp:posOffset>
            </wp:positionV>
            <wp:extent cx="59690" cy="462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46291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-462280</wp:posOffset>
            </wp:positionV>
            <wp:extent cx="59690" cy="462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4629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Redeemable Noncontrolling Interest and Shareholders’ Deficit / Members’ Equity -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16"/>
          </w:tcPr>
          <w:p>
            <w:pPr>
              <w:jc w:val="right"/>
              <w:spacing w:after="0"/>
              <w:rPr>
                <w:sz w:val="20"/>
                <w:szCs w:val="20"/>
                <w:color w:val="auto"/>
              </w:rPr>
            </w:pPr>
            <w:r>
              <w:rPr>
                <w:rFonts w:ascii="Arial" w:cs="Arial" w:eastAsia="Arial" w:hAnsi="Arial"/>
                <w:sz w:val="18"/>
                <w:szCs w:val="18"/>
                <w:b w:val="1"/>
                <w:bCs w:val="1"/>
                <w:color w:val="auto"/>
                <w:w w:val="91"/>
              </w:rPr>
              <w:t>For the Three Months Ended September 30, 2022</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7"/>
              </w:rPr>
              <w:t>Class B</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B</w:t>
            </w:r>
          </w:p>
        </w:tc>
        <w:tc>
          <w:tcPr>
            <w:tcW w:w="12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Ordinary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8"/>
              </w:rPr>
              <w:t>Ordinary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4"/>
              </w:rPr>
              <w:t>Class A Units</w:t>
            </w:r>
          </w:p>
        </w:tc>
        <w:tc>
          <w:tcPr>
            <w:tcW w:w="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2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Addi</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Shareh</w:t>
            </w: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tiona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olders'</w:t>
            </w:r>
          </w:p>
        </w:tc>
      </w:tr>
      <w:tr>
        <w:trPr>
          <w:trHeight w:val="216"/>
        </w:trPr>
        <w:tc>
          <w:tcPr>
            <w:tcW w:w="28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Redeem</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center"/>
              <w:ind w:right="70"/>
              <w:spacing w:after="0"/>
              <w:rPr>
                <w:sz w:val="20"/>
                <w:szCs w:val="20"/>
                <w:color w:val="auto"/>
              </w:rPr>
            </w:pPr>
            <w:r>
              <w:rPr>
                <w:rFonts w:ascii="Arial" w:cs="Arial" w:eastAsia="Arial" w:hAnsi="Arial"/>
                <w:sz w:val="18"/>
                <w:szCs w:val="18"/>
                <w:b w:val="1"/>
                <w:bCs w:val="1"/>
                <w:color w:val="auto"/>
              </w:rPr>
              <w:t>l</w:t>
            </w:r>
          </w:p>
        </w:tc>
        <w:tc>
          <w:tcPr>
            <w:tcW w:w="20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Deficit</w:t>
            </w: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able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Profi</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Paid-</w:t>
            </w:r>
          </w:p>
        </w:tc>
        <w:tc>
          <w:tcPr>
            <w:tcW w:w="20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Arial" w:cs="Arial" w:eastAsia="Arial" w:hAnsi="Arial"/>
                <w:sz w:val="18"/>
                <w:szCs w:val="18"/>
                <w:b w:val="1"/>
                <w:bCs w:val="1"/>
                <w:color w:val="auto"/>
              </w:rPr>
              <w:t>mula</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78"/>
              </w:rPr>
              <w:t>/</w:t>
            </w: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74"/>
              </w:rPr>
              <w:t>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w:t>
            </w:r>
          </w:p>
        </w:tc>
        <w:tc>
          <w:tcPr>
            <w:tcW w:w="20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ted</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Memb</w:t>
            </w:r>
          </w:p>
        </w:tc>
      </w:tr>
      <w:tr>
        <w:trPr>
          <w:trHeight w:val="216"/>
        </w:trPr>
        <w:tc>
          <w:tcPr>
            <w:tcW w:w="28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trolling</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Amo</w:t>
            </w:r>
          </w:p>
        </w:tc>
        <w:tc>
          <w:tcPr>
            <w:tcW w:w="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Inter</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Shar</w:t>
            </w:r>
          </w:p>
        </w:tc>
        <w:tc>
          <w:tcPr>
            <w:tcW w:w="22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Amo</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Shar</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w:t>
            </w:r>
          </w:p>
        </w:tc>
        <w:tc>
          <w:tcPr>
            <w:tcW w:w="22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Capit</w:t>
            </w:r>
          </w:p>
        </w:tc>
        <w:tc>
          <w:tcPr>
            <w:tcW w:w="20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Arial" w:cs="Arial" w:eastAsia="Arial" w:hAnsi="Arial"/>
                <w:sz w:val="18"/>
                <w:szCs w:val="18"/>
                <w:b w:val="1"/>
                <w:bCs w:val="1"/>
                <w:color w:val="auto"/>
              </w:rPr>
              <w:t>Defic</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ers'</w:t>
            </w:r>
          </w:p>
        </w:tc>
      </w:tr>
      <w:tr>
        <w:trPr>
          <w:trHeight w:val="241"/>
        </w:trPr>
        <w:tc>
          <w:tcPr>
            <w:tcW w:w="286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Interest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Units</w:t>
            </w:r>
          </w:p>
        </w:tc>
        <w:tc>
          <w:tcPr>
            <w:tcW w:w="100" w:type="dxa"/>
            <w:vAlign w:val="bottom"/>
          </w:tcPr>
          <w:p>
            <w:pPr>
              <w:spacing w:after="0"/>
              <w:rPr>
                <w:sz w:val="20"/>
                <w:szCs w:val="20"/>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5"/>
              </w:rPr>
              <w:t>unt</w:t>
            </w:r>
          </w:p>
        </w:tc>
        <w:tc>
          <w:tcPr>
            <w:tcW w:w="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77"/>
              </w:rPr>
              <w:t>ests</w:t>
            </w:r>
          </w:p>
        </w:tc>
        <w:tc>
          <w:tcPr>
            <w:tcW w:w="12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es</w:t>
            </w: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unt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es</w:t>
            </w:r>
          </w:p>
        </w:tc>
        <w:tc>
          <w:tcPr>
            <w:tcW w:w="220" w:type="dxa"/>
            <w:vAlign w:val="bottom"/>
          </w:tcPr>
          <w:p>
            <w:pPr>
              <w:spacing w:after="0"/>
              <w:rPr>
                <w:sz w:val="20"/>
                <w:szCs w:val="20"/>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it</w:t>
            </w:r>
          </w:p>
        </w:tc>
        <w:tc>
          <w:tcPr>
            <w:tcW w:w="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Equity</w:t>
            </w:r>
          </w:p>
        </w:tc>
      </w:tr>
      <w:tr>
        <w:trPr>
          <w:trHeight w:val="215"/>
        </w:trPr>
        <w:tc>
          <w:tcPr>
            <w:tcW w:w="28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as of July 1, 2022</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186,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1,12</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2980" w:type="dxa"/>
            <w:vAlign w:val="bottom"/>
            <w:gridSpan w:val="2"/>
            <w:shd w:val="clear" w:color="auto" w:fill="CFF0FC"/>
          </w:tcPr>
          <w:p>
            <w:pPr>
              <w:ind w:left="28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7 )</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$ 6,537</w:t>
            </w:r>
          </w:p>
        </w:tc>
        <w:tc>
          <w:tcPr>
            <w:tcW w:w="100" w:type="dxa"/>
            <w:vAlign w:val="bottom"/>
            <w:shd w:val="clear" w:color="auto" w:fill="CFF0FC"/>
          </w:tcPr>
          <w:p>
            <w:pPr>
              <w:spacing w:after="0"/>
              <w:rPr>
                <w:sz w:val="21"/>
                <w:szCs w:val="21"/>
                <w:color w:val="auto"/>
              </w:rPr>
            </w:pPr>
          </w:p>
        </w:tc>
      </w:tr>
      <w:tr>
        <w:trPr>
          <w:trHeight w:val="215"/>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payments prior to Business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Combination</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r>
      <w:tr>
        <w:trPr>
          <w:trHeight w:val="222"/>
        </w:trPr>
        <w:tc>
          <w:tcPr>
            <w:tcW w:w="2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loss prior to the Business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(4,0</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FF0FC"/>
          </w:tcPr>
          <w:p>
            <w:pPr>
              <w:spacing w:after="0"/>
              <w:rPr>
                <w:sz w:val="19"/>
                <w:szCs w:val="19"/>
                <w:color w:val="auto"/>
              </w:rPr>
            </w:pPr>
          </w:p>
        </w:tc>
      </w:tr>
      <w:tr>
        <w:trPr>
          <w:trHeight w:val="244"/>
        </w:trPr>
        <w:tc>
          <w:tcPr>
            <w:tcW w:w="2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Combination</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15 )</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5 )</w:t>
            </w:r>
          </w:p>
        </w:tc>
      </w:tr>
      <w:tr>
        <w:trPr>
          <w:trHeight w:val="215"/>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Effect of the Business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Combination, including net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proceeds of shares sold</w:t>
            </w:r>
          </w:p>
        </w:tc>
        <w:tc>
          <w:tcPr>
            <w:tcW w:w="540" w:type="dxa"/>
            <w:vAlign w:val="bottom"/>
          </w:tcPr>
          <w:p>
            <w:pPr>
              <w:jc w:val="right"/>
              <w:spacing w:after="0"/>
              <w:rPr>
                <w:sz w:val="20"/>
                <w:szCs w:val="20"/>
                <w:color w:val="auto"/>
              </w:rPr>
            </w:pPr>
            <w:r>
              <w:rPr>
                <w:rFonts w:ascii="Arial" w:cs="Arial" w:eastAsia="Arial" w:hAnsi="Arial"/>
                <w:sz w:val="18"/>
                <w:szCs w:val="18"/>
                <w:color w:val="auto"/>
                <w:w w:val="99"/>
              </w:rPr>
              <w:t>1,635,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4"/>
              </w:rPr>
              <w:t>(186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40,2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4,57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r>
      <w:tr>
        <w:trPr>
          <w:trHeight w:val="237"/>
        </w:trPr>
        <w:tc>
          <w:tcPr>
            <w:tcW w:w="2980" w:type="dxa"/>
            <w:vAlign w:val="bottom"/>
            <w:gridSpan w:val="2"/>
          </w:tcPr>
          <w:p>
            <w:pPr>
              <w:ind w:left="340"/>
              <w:spacing w:after="0"/>
              <w:rPr>
                <w:sz w:val="20"/>
                <w:szCs w:val="20"/>
                <w:color w:val="auto"/>
              </w:rPr>
            </w:pPr>
            <w:r>
              <w:rPr>
                <w:rFonts w:ascii="Arial" w:cs="Arial" w:eastAsia="Arial" w:hAnsi="Arial"/>
                <w:sz w:val="18"/>
                <w:szCs w:val="18"/>
                <w:color w:val="auto"/>
              </w:rPr>
              <w:t>through the PIPE transaction</w:t>
            </w:r>
          </w:p>
        </w:tc>
        <w:tc>
          <w:tcPr>
            <w:tcW w:w="54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000 )</w:t>
            </w:r>
          </w:p>
        </w:tc>
        <w:tc>
          <w:tcPr>
            <w:tcW w:w="10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,500 )</w:t>
            </w:r>
          </w:p>
        </w:tc>
        <w:tc>
          <w:tcPr>
            <w:tcW w:w="1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644 )</w:t>
            </w: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2,694 )</w:t>
            </w:r>
          </w:p>
        </w:tc>
      </w:tr>
      <w:tr>
        <w:trPr>
          <w:trHeight w:val="222"/>
        </w:trPr>
        <w:tc>
          <w:tcPr>
            <w:tcW w:w="2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Equity-based compensation after</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1,45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2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the Business Combination</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2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FF0FC"/>
          </w:tcPr>
          <w:p>
            <w:pPr>
              <w:spacing w:after="0"/>
              <w:rPr>
                <w:sz w:val="21"/>
                <w:szCs w:val="21"/>
                <w:color w:val="auto"/>
              </w:rPr>
            </w:pPr>
          </w:p>
        </w:tc>
      </w:tr>
      <w:tr>
        <w:trPr>
          <w:trHeight w:val="215"/>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Vesting of Class B restricted stock</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rights</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2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Impact of equity transactions on</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29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redeemable noncontrolling interest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6 )</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(176 )</w:t>
            </w:r>
          </w:p>
        </w:tc>
      </w:tr>
      <w:tr>
        <w:trPr>
          <w:trHeight w:val="215"/>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Net loss after the Business</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(22,01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6"/>
              </w:rPr>
              <w:t>(7,9</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r>
      <w:tr>
        <w:trPr>
          <w:trHeight w:val="237"/>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Combination</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7 )</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13 )</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r>
      <w:tr>
        <w:trPr>
          <w:trHeight w:val="215"/>
        </w:trPr>
        <w:tc>
          <w:tcPr>
            <w:tcW w:w="28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61,5</w:t>
            </w: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(1,0</w:t>
            </w:r>
          </w:p>
        </w:tc>
        <w:tc>
          <w:tcPr>
            <w:tcW w:w="1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as of September 30, 2022</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1,616,</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40,2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1,45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97,8</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8"/>
                <w:szCs w:val="18"/>
                <w:color w:val="auto"/>
              </w:rPr>
            </w:pPr>
          </w:p>
        </w:tc>
      </w:tr>
      <w:tr>
        <w:trPr>
          <w:trHeight w:val="257"/>
        </w:trPr>
        <w:tc>
          <w:tcPr>
            <w:tcW w:w="2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6</w:t>
            </w:r>
          </w:p>
        </w:tc>
        <w:tc>
          <w:tcPr>
            <w:tcW w:w="20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$ 060</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05 )</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0"/>
              </w:rPr>
              <w:t>$ 6,325 )</w:t>
            </w: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-24765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-8255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-24765</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-8255</wp:posOffset>
            </wp:positionV>
            <wp:extent cx="59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Redeemable Noncontrolling Interest and Shareholders’ Deficit / Members’ Equity -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13"/>
          </w:tcPr>
          <w:p>
            <w:pPr>
              <w:ind w:left="60"/>
              <w:spacing w:after="0"/>
              <w:rPr>
                <w:sz w:val="20"/>
                <w:szCs w:val="20"/>
                <w:color w:val="auto"/>
              </w:rPr>
            </w:pPr>
            <w:r>
              <w:rPr>
                <w:rFonts w:ascii="Arial" w:cs="Arial" w:eastAsia="Arial" w:hAnsi="Arial"/>
                <w:sz w:val="18"/>
                <w:szCs w:val="18"/>
                <w:b w:val="1"/>
                <w:bCs w:val="1"/>
                <w:color w:val="auto"/>
              </w:rPr>
              <w:t>For the Nine Months Ended September 30, 2023</w:t>
            </w: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Class A Ordinary</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5"/>
              </w:rPr>
              <w:t>Class B Ordinary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Shares</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Redee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2"/>
              </w:rPr>
              <w:t>mable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Accum</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Shareh</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5"/>
              </w:rPr>
              <w:t>Nonco</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ulated</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olders'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5"/>
              </w:rPr>
              <w:t>ntrolli</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93"/>
              </w:rPr>
              <w:t>Additio</w:t>
            </w:r>
          </w:p>
        </w:tc>
        <w:tc>
          <w:tcPr>
            <w:tcW w:w="22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Deficit /</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0"/>
              </w:rPr>
              <w:t>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nal</w:t>
            </w:r>
          </w:p>
        </w:tc>
        <w:tc>
          <w:tcPr>
            <w:tcW w:w="2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Compr</w:t>
            </w: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Membe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7"/>
              </w:rPr>
              <w:t>Intere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Amoun</w:t>
            </w:r>
          </w:p>
        </w:tc>
        <w:tc>
          <w:tcPr>
            <w:tcW w:w="2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96"/>
              </w:rPr>
              <w:t>Paid-in</w:t>
            </w:r>
          </w:p>
        </w:tc>
        <w:tc>
          <w:tcPr>
            <w:tcW w:w="2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ehensiv</w:t>
            </w: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ulated</w:t>
            </w:r>
          </w:p>
        </w:tc>
        <w:tc>
          <w:tcPr>
            <w:tcW w:w="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rs'</w:t>
            </w:r>
          </w:p>
        </w:tc>
        <w:tc>
          <w:tcPr>
            <w:tcW w:w="0" w:type="dxa"/>
            <w:vAlign w:val="bottom"/>
          </w:tcPr>
          <w:p>
            <w:pPr>
              <w:spacing w:after="0"/>
              <w:rPr>
                <w:sz w:val="1"/>
                <w:szCs w:val="1"/>
                <w:color w:val="auto"/>
              </w:rPr>
            </w:pPr>
          </w:p>
        </w:tc>
      </w:tr>
      <w:tr>
        <w:trPr>
          <w:trHeight w:val="241"/>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74"/>
              </w:rPr>
              <w:t>st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9"/>
              </w:rPr>
              <w:t>Shares</w:t>
            </w:r>
          </w:p>
        </w:tc>
        <w:tc>
          <w:tcPr>
            <w:tcW w:w="24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Shares</w:t>
            </w:r>
          </w:p>
        </w:tc>
        <w:tc>
          <w:tcPr>
            <w:tcW w:w="20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b w:val="1"/>
                <w:bCs w:val="1"/>
                <w:color w:val="auto"/>
              </w:rPr>
              <w:t>t</w:t>
            </w:r>
          </w:p>
        </w:tc>
        <w:tc>
          <w:tcPr>
            <w:tcW w:w="22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e Loss</w:t>
            </w: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Deficit</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5"/>
        </w:trPr>
        <w:tc>
          <w:tcPr>
            <w:tcW w:w="358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Balance as of January 1, 2023</w:t>
            </w:r>
          </w:p>
        </w:tc>
        <w:tc>
          <w:tcPr>
            <w:tcW w:w="1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1,601</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61,540,</w:t>
            </w:r>
          </w:p>
        </w:tc>
        <w:tc>
          <w:tcPr>
            <w:tcW w:w="2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171,57</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5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6</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8,320</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7,476</w:t>
            </w:r>
          </w:p>
        </w:tc>
        <w:tc>
          <w:tcPr>
            <w:tcW w:w="2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,116 )</w:t>
            </w:r>
          </w:p>
        </w:tc>
        <w:tc>
          <w:tcPr>
            <w:tcW w:w="7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616 )</w:t>
            </w:r>
          </w:p>
        </w:tc>
        <w:tc>
          <w:tcPr>
            <w:tcW w:w="0" w:type="dxa"/>
            <w:vAlign w:val="bottom"/>
          </w:tcPr>
          <w:p>
            <w:pPr>
              <w:spacing w:after="0"/>
              <w:rPr>
                <w:sz w:val="1"/>
                <w:szCs w:val="1"/>
                <w:color w:val="auto"/>
              </w:rPr>
            </w:pPr>
          </w:p>
        </w:tc>
      </w:tr>
      <w:tr>
        <w:trPr>
          <w:trHeight w:val="121"/>
        </w:trPr>
        <w:tc>
          <w:tcPr>
            <w:tcW w:w="3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gridSpan w:val="2"/>
            <w:vMerge w:val="continue"/>
            <w:shd w:val="clear" w:color="auto" w:fill="CFF0FC"/>
          </w:tcPr>
          <w:p>
            <w:pPr>
              <w:spacing w:after="0"/>
              <w:rPr>
                <w:sz w:val="10"/>
                <w:szCs w:val="10"/>
                <w:color w:val="auto"/>
              </w:rPr>
            </w:pPr>
          </w:p>
        </w:tc>
        <w:tc>
          <w:tcPr>
            <w:tcW w:w="820" w:type="dxa"/>
            <w:vAlign w:val="bottom"/>
            <w:gridSpan w:val="2"/>
            <w:vMerge w:val="continue"/>
            <w:shd w:val="clear" w:color="auto" w:fill="CFF0FC"/>
          </w:tcPr>
          <w:p>
            <w:pPr>
              <w:spacing w:after="0"/>
              <w:rPr>
                <w:sz w:val="10"/>
                <w:szCs w:val="10"/>
                <w:color w:val="auto"/>
              </w:rPr>
            </w:pPr>
          </w:p>
        </w:tc>
        <w:tc>
          <w:tcPr>
            <w:tcW w:w="7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3580" w:type="dxa"/>
            <w:vAlign w:val="bottom"/>
            <w:vMerge w:val="restart"/>
          </w:tcPr>
          <w:p>
            <w:pPr>
              <w:ind w:left="200"/>
              <w:spacing w:after="0"/>
              <w:rPr>
                <w:sz w:val="20"/>
                <w:szCs w:val="20"/>
                <w:color w:val="auto"/>
              </w:rPr>
            </w:pPr>
            <w:r>
              <w:rPr>
                <w:rFonts w:ascii="Arial" w:cs="Arial" w:eastAsia="Arial" w:hAnsi="Arial"/>
                <w:sz w:val="18"/>
                <w:szCs w:val="18"/>
                <w:color w:val="auto"/>
              </w:rPr>
              <w:t>Equity-based compensation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29,36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88"/>
              </w:rPr>
              <w:t>7,848</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29,368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Class A ordinary shares</w:t>
            </w:r>
          </w:p>
        </w:tc>
        <w:tc>
          <w:tcPr>
            <w:tcW w:w="120" w:type="dxa"/>
            <w:vAlign w:val="bottom"/>
            <w:shd w:val="clear" w:color="auto" w:fill="CFF0FC"/>
          </w:tcPr>
          <w:p>
            <w:pPr>
              <w:spacing w:after="0"/>
              <w:rPr>
                <w:sz w:val="21"/>
                <w:szCs w:val="21"/>
                <w:color w:val="auto"/>
              </w:rPr>
            </w:pPr>
          </w:p>
        </w:tc>
        <w:tc>
          <w:tcPr>
            <w:tcW w:w="6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vMerge w:val="restart"/>
          </w:tcPr>
          <w:p>
            <w:pPr>
              <w:ind w:left="200"/>
              <w:spacing w:after="0"/>
              <w:rPr>
                <w:sz w:val="20"/>
                <w:szCs w:val="20"/>
                <w:color w:val="auto"/>
              </w:rPr>
            </w:pPr>
            <w:r>
              <w:rPr>
                <w:rFonts w:ascii="Arial" w:cs="Arial" w:eastAsia="Arial" w:hAnsi="Arial"/>
                <w:sz w:val="18"/>
                <w:szCs w:val="18"/>
                <w:color w:val="auto"/>
              </w:rPr>
              <w:t>Vesting of Class B restricted stock rights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Exchange of Class B ordinary shares for</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A ordinary shares</w:t>
            </w:r>
          </w:p>
        </w:tc>
        <w:tc>
          <w:tcPr>
            <w:tcW w:w="120" w:type="dxa"/>
            <w:vAlign w:val="bottom"/>
            <w:shd w:val="clear" w:color="auto" w:fill="CFF0FC"/>
          </w:tcPr>
          <w:p>
            <w:pPr>
              <w:spacing w:after="0"/>
              <w:rPr>
                <w:sz w:val="21"/>
                <w:szCs w:val="21"/>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(5,069 )</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0"/>
              <w:spacing w:after="0"/>
              <w:rPr>
                <w:sz w:val="20"/>
                <w:szCs w:val="20"/>
                <w:color w:val="auto"/>
              </w:rPr>
            </w:pPr>
            <w:r>
              <w:rPr>
                <w:rFonts w:ascii="Arial" w:cs="Arial" w:eastAsia="Arial" w:hAnsi="Arial"/>
                <w:sz w:val="18"/>
                <w:szCs w:val="18"/>
                <w:color w:val="auto"/>
                <w:w w:val="94"/>
              </w:rPr>
              <w:t>Impact of equity transactions on redeemable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(4,45</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4,457</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marketable securities</w:t>
            </w:r>
          </w:p>
        </w:tc>
        <w:tc>
          <w:tcPr>
            <w:tcW w:w="120" w:type="dxa"/>
            <w:vAlign w:val="bottom"/>
            <w:shd w:val="clear" w:color="auto" w:fill="CFF0FC"/>
          </w:tcPr>
          <w:p>
            <w:pPr>
              <w:spacing w:after="0"/>
              <w:rPr>
                <w:sz w:val="21"/>
                <w:szCs w:val="21"/>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(64 )</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5"/>
        </w:trPr>
        <w:tc>
          <w:tcPr>
            <w:tcW w:w="3580" w:type="dxa"/>
            <w:vAlign w:val="bottom"/>
            <w:vMerge w:val="restart"/>
          </w:tcPr>
          <w:p>
            <w:pPr>
              <w:ind w:left="20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(83,9</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7 )</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redemption value of</w:t>
            </w:r>
          </w:p>
        </w:tc>
        <w:tc>
          <w:tcPr>
            <w:tcW w:w="120" w:type="dxa"/>
            <w:vAlign w:val="bottom"/>
            <w:shd w:val="clear" w:color="auto" w:fill="CFF0FC"/>
          </w:tcPr>
          <w:p>
            <w:pPr>
              <w:spacing w:after="0"/>
              <w:rPr>
                <w:sz w:val="19"/>
                <w:szCs w:val="19"/>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9"/>
                <w:szCs w:val="1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9"/>
                <w:szCs w:val="19"/>
                <w:color w:val="auto"/>
              </w:rPr>
            </w:pPr>
          </w:p>
        </w:tc>
        <w:tc>
          <w:tcPr>
            <w:tcW w:w="8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(79 )</w:t>
            </w:r>
          </w:p>
        </w:tc>
        <w:tc>
          <w:tcPr>
            <w:tcW w:w="7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FF0FC"/>
          </w:tcPr>
          <w:p>
            <w:pPr>
              <w:spacing w:after="0"/>
              <w:rPr>
                <w:sz w:val="20"/>
                <w:szCs w:val="20"/>
                <w:color w:val="auto"/>
              </w:rPr>
            </w:pPr>
          </w:p>
        </w:tc>
        <w:tc>
          <w:tcPr>
            <w:tcW w:w="440" w:type="dxa"/>
            <w:vAlign w:val="bottom"/>
            <w:vMerge w:val="continue"/>
            <w:shd w:val="clear" w:color="auto" w:fill="CFF0FC"/>
          </w:tcPr>
          <w:p>
            <w:pPr>
              <w:spacing w:after="0"/>
              <w:rPr>
                <w:sz w:val="20"/>
                <w:szCs w:val="20"/>
                <w:color w:val="auto"/>
              </w:rPr>
            </w:pPr>
          </w:p>
        </w:tc>
        <w:tc>
          <w:tcPr>
            <w:tcW w:w="240" w:type="dxa"/>
            <w:vAlign w:val="bottom"/>
            <w:tcBorders>
              <w:right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7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CFF0FC"/>
            </w:tcBorders>
            <w:vMerge w:val="restart"/>
          </w:tcPr>
          <w:p>
            <w:pPr>
              <w:ind w:left="20"/>
              <w:spacing w:after="0"/>
              <w:rPr>
                <w:sz w:val="20"/>
                <w:szCs w:val="20"/>
                <w:color w:val="auto"/>
              </w:rPr>
            </w:pPr>
            <w:r>
              <w:rPr>
                <w:rFonts w:ascii="Arial" w:cs="Arial" w:eastAsia="Arial" w:hAnsi="Arial"/>
                <w:sz w:val="18"/>
                <w:szCs w:val="18"/>
                <w:color w:val="auto"/>
              </w:rPr>
              <w:t>Balance as of September 30, 2023</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1,520</w:t>
            </w:r>
          </w:p>
        </w:tc>
        <w:tc>
          <w:tcPr>
            <w:tcW w:w="240" w:type="dxa"/>
            <w:vAlign w:val="bottom"/>
            <w:tcBorders>
              <w:top w:val="single" w:sz="8" w:color="CFF0FC"/>
              <w:right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61,595,</w:t>
            </w:r>
          </w:p>
        </w:tc>
        <w:tc>
          <w:tcPr>
            <w:tcW w:w="24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41,36</w:t>
            </w:r>
          </w:p>
        </w:tc>
        <w:tc>
          <w:tcPr>
            <w:tcW w:w="22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580" w:type="dxa"/>
            <w:vAlign w:val="bottom"/>
            <w:vMerge w:val="continue"/>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74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6</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9,330</w:t>
            </w:r>
          </w:p>
        </w:tc>
        <w:tc>
          <w:tcPr>
            <w:tcW w:w="2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   (64 )</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  ,962 )</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   637 )</w:t>
            </w:r>
          </w:p>
        </w:tc>
        <w:tc>
          <w:tcPr>
            <w:tcW w:w="0" w:type="dxa"/>
            <w:vAlign w:val="bottom"/>
          </w:tcPr>
          <w:p>
            <w:pPr>
              <w:spacing w:after="0"/>
              <w:rPr>
                <w:sz w:val="1"/>
                <w:szCs w:val="1"/>
                <w:color w:val="auto"/>
              </w:rPr>
            </w:pPr>
          </w:p>
        </w:tc>
      </w:tr>
      <w:tr>
        <w:trPr>
          <w:trHeight w:val="101"/>
        </w:trPr>
        <w:tc>
          <w:tcPr>
            <w:tcW w:w="35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-325120</wp:posOffset>
            </wp:positionV>
            <wp:extent cx="76835" cy="325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-325120</wp:posOffset>
            </wp:positionV>
            <wp:extent cx="77470"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-325120</wp:posOffset>
            </wp:positionV>
            <wp:extent cx="76835"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-325120</wp:posOffset>
            </wp:positionV>
            <wp:extent cx="68580"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-325120</wp:posOffset>
            </wp:positionV>
            <wp:extent cx="6858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-325120</wp:posOffset>
            </wp:positionV>
            <wp:extent cx="68580" cy="3257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-325120</wp:posOffset>
            </wp:positionV>
            <wp:extent cx="68580"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-325120</wp:posOffset>
            </wp:positionV>
            <wp:extent cx="68580" cy="3257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Redeemable Noncontrolling Interest and Shareholders’ Deficit / Members’ Equity -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14"/>
          </w:tcPr>
          <w:p>
            <w:pPr>
              <w:jc w:val="right"/>
              <w:ind w:right="50"/>
              <w:spacing w:after="0"/>
              <w:rPr>
                <w:sz w:val="20"/>
                <w:szCs w:val="20"/>
                <w:color w:val="auto"/>
              </w:rPr>
            </w:pPr>
            <w:r>
              <w:rPr>
                <w:rFonts w:ascii="Arial" w:cs="Arial" w:eastAsia="Arial" w:hAnsi="Arial"/>
                <w:sz w:val="18"/>
                <w:szCs w:val="18"/>
                <w:b w:val="1"/>
                <w:bCs w:val="1"/>
                <w:color w:val="auto"/>
                <w:w w:val="91"/>
              </w:rPr>
              <w:t>For the Nine Months Ended September 30, 2022</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Class</w:t>
            </w:r>
          </w:p>
        </w:tc>
        <w:tc>
          <w:tcPr>
            <w:tcW w:w="10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Class A</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7"/>
              </w:rPr>
              <w:t>Class B</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B</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Ordinary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8"/>
              </w:rPr>
              <w:t>Ordinary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9"/>
              </w:rPr>
              <w:t>Class A Units</w:t>
            </w:r>
          </w:p>
        </w:tc>
        <w:tc>
          <w:tcPr>
            <w:tcW w:w="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Units</w:t>
            </w:r>
          </w:p>
        </w:tc>
        <w:tc>
          <w:tcPr>
            <w:tcW w:w="10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5"/>
              </w:rPr>
              <w:t>Addit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Redeem</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b w:val="1"/>
                <w:bCs w:val="1"/>
                <w:color w:val="auto"/>
              </w:rPr>
              <w:t>ional</w:t>
            </w:r>
          </w:p>
        </w:tc>
        <w:tc>
          <w:tcPr>
            <w:tcW w:w="200" w:type="dxa"/>
            <w:vAlign w:val="bottom"/>
          </w:tcPr>
          <w:p>
            <w:pPr>
              <w:spacing w:after="0"/>
              <w:rPr>
                <w:sz w:val="18"/>
                <w:szCs w:val="18"/>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w:t>
            </w: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Sharehol</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able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Profi</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Paid-</w:t>
            </w:r>
          </w:p>
        </w:tc>
        <w:tc>
          <w:tcPr>
            <w:tcW w:w="200" w:type="dxa"/>
            <w:vAlign w:val="bottom"/>
          </w:tcPr>
          <w:p>
            <w:pPr>
              <w:spacing w:after="0"/>
              <w:rPr>
                <w:sz w:val="18"/>
                <w:szCs w:val="18"/>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mula</w:t>
            </w:r>
          </w:p>
        </w:tc>
        <w:tc>
          <w:tcPr>
            <w:tcW w:w="1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ders'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74"/>
              </w:rPr>
              <w:t>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in</w:t>
            </w:r>
          </w:p>
        </w:tc>
        <w:tc>
          <w:tcPr>
            <w:tcW w:w="200" w:type="dxa"/>
            <w:vAlign w:val="bottom"/>
          </w:tcPr>
          <w:p>
            <w:pPr>
              <w:spacing w:after="0"/>
              <w:rPr>
                <w:sz w:val="18"/>
                <w:szCs w:val="18"/>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ted</w:t>
            </w: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Deficit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trolling</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w:t>
            </w:r>
          </w:p>
        </w:tc>
        <w:tc>
          <w:tcPr>
            <w:tcW w:w="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rPr>
              <w:t>Inter</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Share</w:t>
            </w:r>
          </w:p>
        </w:tc>
        <w:tc>
          <w:tcPr>
            <w:tcW w:w="20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Share</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w:t>
            </w:r>
          </w:p>
        </w:tc>
        <w:tc>
          <w:tcPr>
            <w:tcW w:w="2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Capit</w:t>
            </w:r>
          </w:p>
        </w:tc>
        <w:tc>
          <w:tcPr>
            <w:tcW w:w="200" w:type="dxa"/>
            <w:vAlign w:val="bottom"/>
          </w:tcPr>
          <w:p>
            <w:pPr>
              <w:spacing w:after="0"/>
              <w:rPr>
                <w:sz w:val="18"/>
                <w:szCs w:val="18"/>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Defic</w:t>
            </w: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Member</w:t>
            </w: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Interest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Units</w:t>
            </w:r>
          </w:p>
        </w:tc>
        <w:tc>
          <w:tcPr>
            <w:tcW w:w="140" w:type="dxa"/>
            <w:vAlign w:val="bottom"/>
          </w:tcPr>
          <w:p>
            <w:pPr>
              <w:spacing w:after="0"/>
              <w:rPr>
                <w:sz w:val="20"/>
                <w:szCs w:val="20"/>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nt</w:t>
            </w:r>
          </w:p>
        </w:tc>
        <w:tc>
          <w:tcPr>
            <w:tcW w:w="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77"/>
              </w:rPr>
              <w:t>ests</w:t>
            </w:r>
          </w:p>
        </w:tc>
        <w:tc>
          <w:tcPr>
            <w:tcW w:w="540" w:type="dxa"/>
            <w:vAlign w:val="bottom"/>
          </w:tcPr>
          <w:p>
            <w:pPr>
              <w:jc w:val="right"/>
              <w:ind w:right="150"/>
              <w:spacing w:after="0"/>
              <w:rPr>
                <w:sz w:val="20"/>
                <w:szCs w:val="20"/>
                <w:color w:val="auto"/>
              </w:rPr>
            </w:pPr>
            <w:r>
              <w:rPr>
                <w:rFonts w:ascii="Arial" w:cs="Arial" w:eastAsia="Arial" w:hAnsi="Arial"/>
                <w:sz w:val="18"/>
                <w:szCs w:val="18"/>
                <w:b w:val="1"/>
                <w:bCs w:val="1"/>
                <w:color w:val="auto"/>
              </w:rPr>
              <w:t>s</w:t>
            </w:r>
          </w:p>
        </w:tc>
        <w:tc>
          <w:tcPr>
            <w:tcW w:w="200" w:type="dxa"/>
            <w:vAlign w:val="bottom"/>
          </w:tcPr>
          <w:p>
            <w:pPr>
              <w:spacing w:after="0"/>
              <w:rPr>
                <w:sz w:val="20"/>
                <w:szCs w:val="20"/>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unt</w:t>
            </w:r>
          </w:p>
        </w:tc>
        <w:tc>
          <w:tcPr>
            <w:tcW w:w="220" w:type="dxa"/>
            <w:vAlign w:val="bottom"/>
          </w:tcPr>
          <w:p>
            <w:pPr>
              <w:spacing w:after="0"/>
              <w:rPr>
                <w:sz w:val="20"/>
                <w:szCs w:val="20"/>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b w:val="1"/>
                <w:bCs w:val="1"/>
                <w:color w:val="auto"/>
              </w:rPr>
              <w:t>s</w:t>
            </w:r>
          </w:p>
        </w:tc>
        <w:tc>
          <w:tcPr>
            <w:tcW w:w="220" w:type="dxa"/>
            <w:vAlign w:val="bottom"/>
          </w:tcPr>
          <w:p>
            <w:pPr>
              <w:spacing w:after="0"/>
              <w:rPr>
                <w:sz w:val="20"/>
                <w:szCs w:val="20"/>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it</w:t>
            </w: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s' Equity</w:t>
            </w:r>
          </w:p>
        </w:tc>
        <w:tc>
          <w:tcPr>
            <w:tcW w:w="0" w:type="dxa"/>
            <w:vAlign w:val="bottom"/>
          </w:tcPr>
          <w:p>
            <w:pPr>
              <w:spacing w:after="0"/>
              <w:rPr>
                <w:sz w:val="1"/>
                <w:szCs w:val="1"/>
                <w:color w:val="auto"/>
              </w:rPr>
            </w:pPr>
          </w:p>
        </w:tc>
      </w:tr>
      <w:tr>
        <w:trPr>
          <w:trHeight w:val="215"/>
        </w:trPr>
        <w:tc>
          <w:tcPr>
            <w:tcW w:w="30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as of January 1, 2022</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186,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(161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60" w:type="dxa"/>
            <w:vAlign w:val="bottom"/>
            <w:gridSpan w:val="2"/>
            <w:shd w:val="clear" w:color="auto" w:fill="CFF0FC"/>
          </w:tcPr>
          <w:p>
            <w:pPr>
              <w:ind w:left="30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1"/>
              </w:rPr>
              <w:t>,510 )</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160" w:type="dxa"/>
            <w:vAlign w:val="bottom"/>
            <w:gridSpan w:val="2"/>
            <w:vMerge w:val="restart"/>
          </w:tcPr>
          <w:p>
            <w:pPr>
              <w:ind w:left="200"/>
              <w:spacing w:after="0"/>
              <w:rPr>
                <w:sz w:val="20"/>
                <w:szCs w:val="20"/>
                <w:color w:val="auto"/>
              </w:rPr>
            </w:pPr>
            <w:r>
              <w:rPr>
                <w:rFonts w:ascii="Arial" w:cs="Arial" w:eastAsia="Arial" w:hAnsi="Arial"/>
                <w:sz w:val="18"/>
                <w:szCs w:val="18"/>
                <w:color w:val="auto"/>
              </w:rPr>
              <w:t>Capital contribution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60" w:type="dxa"/>
            <w:vAlign w:val="bottom"/>
            <w:gridSpan w:val="2"/>
            <w:vMerge w:val="continue"/>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1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Equity-based compensation /</w:t>
            </w: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payments prior to Business</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Combination</w:t>
            </w: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667</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160" w:type="dxa"/>
            <w:vAlign w:val="bottom"/>
            <w:gridSpan w:val="2"/>
          </w:tcPr>
          <w:p>
            <w:pPr>
              <w:ind w:left="200"/>
              <w:spacing w:after="0"/>
              <w:rPr>
                <w:sz w:val="20"/>
                <w:szCs w:val="20"/>
                <w:color w:val="auto"/>
              </w:rPr>
            </w:pPr>
            <w:r>
              <w:rPr>
                <w:rFonts w:ascii="Arial" w:cs="Arial" w:eastAsia="Arial" w:hAnsi="Arial"/>
                <w:sz w:val="18"/>
                <w:szCs w:val="18"/>
                <w:color w:val="auto"/>
              </w:rPr>
              <w:t>Net loss prior to the Business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gridSpan w:val="2"/>
          </w:tcPr>
          <w:p>
            <w:pPr>
              <w:ind w:left="200"/>
              <w:spacing w:after="0"/>
              <w:rPr>
                <w:sz w:val="20"/>
                <w:szCs w:val="20"/>
                <w:color w:val="auto"/>
              </w:rPr>
            </w:pPr>
            <w:r>
              <w:rPr>
                <w:rFonts w:ascii="Arial" w:cs="Arial" w:eastAsia="Arial" w:hAnsi="Arial"/>
                <w:sz w:val="18"/>
                <w:szCs w:val="18"/>
                <w:color w:val="auto"/>
              </w:rPr>
              <w:t>Combination</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632 )</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(93,632 )</w:t>
            </w:r>
          </w:p>
        </w:tc>
        <w:tc>
          <w:tcPr>
            <w:tcW w:w="0" w:type="dxa"/>
            <w:vAlign w:val="bottom"/>
          </w:tcPr>
          <w:p>
            <w:pPr>
              <w:spacing w:after="0"/>
              <w:rPr>
                <w:sz w:val="1"/>
                <w:szCs w:val="1"/>
                <w:color w:val="auto"/>
              </w:rPr>
            </w:pPr>
          </w:p>
        </w:tc>
      </w:tr>
      <w:tr>
        <w:trPr>
          <w:trHeight w:val="222"/>
        </w:trPr>
        <w:tc>
          <w:tcPr>
            <w:tcW w:w="31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Effect of the Business Combination,</w:t>
            </w: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8"/>
              </w:rPr>
              <w:t>including net proceeds of shares sold</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1,635,</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(186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(71,</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6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through the PIPE transaction</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1"/>
              </w:rPr>
              <w:t>,500 )</w:t>
            </w:r>
          </w:p>
        </w:tc>
        <w:tc>
          <w:tcPr>
            <w:tcW w:w="1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2"/>
              </w:rPr>
              <w:t>644 )</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6</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1"/>
              </w:rPr>
              <w:t>,574 )</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694 )</w:t>
            </w:r>
          </w:p>
        </w:tc>
        <w:tc>
          <w:tcPr>
            <w:tcW w:w="0" w:type="dxa"/>
            <w:vAlign w:val="bottom"/>
          </w:tcPr>
          <w:p>
            <w:pPr>
              <w:spacing w:after="0"/>
              <w:rPr>
                <w:sz w:val="1"/>
                <w:szCs w:val="1"/>
                <w:color w:val="auto"/>
              </w:rPr>
            </w:pPr>
          </w:p>
        </w:tc>
      </w:tr>
      <w:tr>
        <w:trPr>
          <w:trHeight w:val="215"/>
        </w:trPr>
        <w:tc>
          <w:tcPr>
            <w:tcW w:w="316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after the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gridSpan w:val="2"/>
          </w:tcPr>
          <w:p>
            <w:pPr>
              <w:ind w:left="200"/>
              <w:spacing w:after="0"/>
              <w:rPr>
                <w:sz w:val="20"/>
                <w:szCs w:val="20"/>
                <w:color w:val="auto"/>
              </w:rPr>
            </w:pPr>
            <w:r>
              <w:rPr>
                <w:rFonts w:ascii="Arial" w:cs="Arial" w:eastAsia="Arial" w:hAnsi="Arial"/>
                <w:sz w:val="18"/>
                <w:szCs w:val="18"/>
                <w:color w:val="auto"/>
              </w:rPr>
              <w:t>Business Combination</w:t>
            </w:r>
          </w:p>
        </w:tc>
        <w:tc>
          <w:tcPr>
            <w:tcW w:w="540" w:type="dxa"/>
            <w:vAlign w:val="bottom"/>
          </w:tcPr>
          <w:p>
            <w:pPr>
              <w:jc w:val="right"/>
              <w:spacing w:after="0"/>
              <w:rPr>
                <w:sz w:val="20"/>
                <w:szCs w:val="20"/>
                <w:color w:val="auto"/>
              </w:rPr>
            </w:pPr>
            <w:r>
              <w:rPr>
                <w:rFonts w:ascii="Arial" w:cs="Arial" w:eastAsia="Arial" w:hAnsi="Arial"/>
                <w:sz w:val="18"/>
                <w:szCs w:val="18"/>
                <w:color w:val="auto"/>
              </w:rPr>
              <w:t>2,908</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1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Vesting of Class B restricted stock</w:t>
            </w: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1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rights</w:t>
            </w: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160" w:type="dxa"/>
            <w:vAlign w:val="bottom"/>
            <w:gridSpan w:val="2"/>
          </w:tcPr>
          <w:p>
            <w:pPr>
              <w:ind w:left="200"/>
              <w:spacing w:after="0"/>
              <w:rPr>
                <w:sz w:val="20"/>
                <w:szCs w:val="20"/>
                <w:color w:val="auto"/>
              </w:rPr>
            </w:pPr>
            <w:r>
              <w:rPr>
                <w:rFonts w:ascii="Arial" w:cs="Arial" w:eastAsia="Arial" w:hAnsi="Arial"/>
                <w:sz w:val="18"/>
                <w:szCs w:val="18"/>
                <w:color w:val="auto"/>
              </w:rPr>
              <w:t>Impact of equity transactions 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gridSpan w:val="2"/>
          </w:tcPr>
          <w:p>
            <w:pPr>
              <w:ind w:left="200"/>
              <w:spacing w:after="0"/>
              <w:rPr>
                <w:sz w:val="20"/>
                <w:szCs w:val="20"/>
                <w:color w:val="auto"/>
              </w:rPr>
            </w:pPr>
            <w:r>
              <w:rPr>
                <w:rFonts w:ascii="Arial" w:cs="Arial" w:eastAsia="Arial" w:hAnsi="Arial"/>
                <w:sz w:val="18"/>
                <w:szCs w:val="18"/>
                <w:color w:val="auto"/>
              </w:rPr>
              <w:t>redeemable noncontrolling interest</w:t>
            </w:r>
          </w:p>
        </w:tc>
        <w:tc>
          <w:tcPr>
            <w:tcW w:w="54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(176 )</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22"/>
        </w:trPr>
        <w:tc>
          <w:tcPr>
            <w:tcW w:w="31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loss after the Business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(22,01</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Combination</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7 )</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(7,913 )</w:t>
            </w:r>
          </w:p>
        </w:tc>
        <w:tc>
          <w:tcPr>
            <w:tcW w:w="0" w:type="dxa"/>
            <w:vAlign w:val="bottom"/>
          </w:tcPr>
          <w:p>
            <w:pPr>
              <w:spacing w:after="0"/>
              <w:rPr>
                <w:sz w:val="1"/>
                <w:szCs w:val="1"/>
                <w:color w:val="auto"/>
              </w:rPr>
            </w:pPr>
          </w:p>
        </w:tc>
      </w:tr>
      <w:tr>
        <w:trPr>
          <w:trHeight w:val="215"/>
        </w:trPr>
        <w:tc>
          <w:tcPr>
            <w:tcW w:w="30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Balance as of September 30, 2022</w:t>
            </w:r>
          </w:p>
        </w:tc>
        <w:tc>
          <w:tcPr>
            <w:tcW w:w="540" w:type="dxa"/>
            <w:vAlign w:val="bottom"/>
          </w:tcPr>
          <w:p>
            <w:pPr>
              <w:jc w:val="right"/>
              <w:spacing w:after="0"/>
              <w:rPr>
                <w:sz w:val="20"/>
                <w:szCs w:val="20"/>
                <w:color w:val="auto"/>
              </w:rPr>
            </w:pPr>
            <w:r>
              <w:rPr>
                <w:rFonts w:ascii="Arial" w:cs="Arial" w:eastAsia="Arial" w:hAnsi="Arial"/>
                <w:sz w:val="18"/>
                <w:szCs w:val="18"/>
                <w:color w:val="auto"/>
                <w:w w:val="99"/>
              </w:rPr>
              <w:t>1,616,</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gridSpan w:val="2"/>
          </w:tcPr>
          <w:p>
            <w:pPr>
              <w:ind w:left="30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896</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0,231</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05 )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-462280</wp:posOffset>
            </wp:positionV>
            <wp:extent cx="77470" cy="4629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4629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-462280</wp:posOffset>
            </wp:positionV>
            <wp:extent cx="76835" cy="4629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46291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-462280</wp:posOffset>
            </wp:positionV>
            <wp:extent cx="77470" cy="4629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4629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-462280</wp:posOffset>
            </wp:positionV>
            <wp:extent cx="77470" cy="4629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4629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-462280</wp:posOffset>
            </wp:positionV>
            <wp:extent cx="68580" cy="4629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-462280</wp:posOffset>
            </wp:positionV>
            <wp:extent cx="68580" cy="462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-462280</wp:posOffset>
            </wp:positionV>
            <wp:extent cx="68580" cy="4629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-462280</wp:posOffset>
            </wp:positionV>
            <wp:extent cx="68580" cy="4629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-462280</wp:posOffset>
            </wp:positionV>
            <wp:extent cx="68580" cy="4629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-462280</wp:posOffset>
            </wp:positionV>
            <wp:extent cx="68580" cy="4629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462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4629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gridSpan w:val="5"/>
          </w:tcPr>
          <w:p>
            <w:pPr>
              <w:jc w:val="right"/>
              <w:ind w:right="441"/>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1"/>
              <w:spacing w:after="0"/>
              <w:rPr>
                <w:sz w:val="20"/>
                <w:szCs w:val="20"/>
                <w:color w:val="auto"/>
              </w:rPr>
            </w:pPr>
            <w:r>
              <w:rPr>
                <w:rFonts w:ascii="Arial" w:cs="Arial" w:eastAsia="Arial" w:hAnsi="Arial"/>
                <w:sz w:val="18"/>
                <w:szCs w:val="18"/>
                <w:color w:val="auto"/>
              </w:rPr>
              <w:t>(113,723 )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(123,562 )</w:t>
            </w:r>
          </w:p>
        </w:tc>
        <w:tc>
          <w:tcPr>
            <w:tcW w:w="0" w:type="dxa"/>
            <w:vAlign w:val="bottom"/>
          </w:tcPr>
          <w:p>
            <w:pPr>
              <w:spacing w:after="0"/>
              <w:rPr>
                <w:sz w:val="1"/>
                <w:szCs w:val="1"/>
                <w:color w:val="auto"/>
              </w:rPr>
            </w:pPr>
          </w:p>
        </w:tc>
      </w:tr>
      <w:tr>
        <w:trPr>
          <w:trHeight w:val="22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before noncontrolling interest to net cash flows used</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 operating activities: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Equity-based compensation</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Gain on marketable securities, net</w:t>
            </w:r>
          </w:p>
        </w:tc>
        <w:tc>
          <w:tcPr>
            <w:tcW w:w="260" w:type="dxa"/>
            <w:vAlign w:val="bottom"/>
          </w:tcPr>
          <w:p>
            <w:pPr>
              <w:spacing w:after="0"/>
              <w:rPr>
                <w:sz w:val="20"/>
                <w:szCs w:val="20"/>
                <w:color w:val="auto"/>
              </w:rPr>
            </w:pPr>
          </w:p>
        </w:tc>
        <w:tc>
          <w:tcPr>
            <w:tcW w:w="1640" w:type="dxa"/>
            <w:vAlign w:val="bottom"/>
            <w:gridSpan w:val="2"/>
          </w:tcPr>
          <w:p>
            <w:pPr>
              <w:jc w:val="right"/>
              <w:ind w:right="141"/>
              <w:spacing w:after="0"/>
              <w:rPr>
                <w:sz w:val="20"/>
                <w:szCs w:val="20"/>
                <w:color w:val="auto"/>
              </w:rPr>
            </w:pPr>
            <w:r>
              <w:rPr>
                <w:rFonts w:ascii="Arial" w:cs="Arial" w:eastAsia="Arial" w:hAnsi="Arial"/>
                <w:sz w:val="18"/>
                <w:szCs w:val="18"/>
                <w:color w:val="auto"/>
              </w:rPr>
              <w:t>(3,675 )</w:t>
            </w:r>
          </w:p>
        </w:tc>
        <w:tc>
          <w:tcPr>
            <w:tcW w:w="360" w:type="dxa"/>
            <w:vAlign w:val="bottom"/>
          </w:tcPr>
          <w:p>
            <w:pPr>
              <w:spacing w:after="0"/>
              <w:rPr>
                <w:sz w:val="20"/>
                <w:szCs w:val="20"/>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on disposal of equipment</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Interest receivable</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(714 )</w:t>
            </w: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40" w:type="dxa"/>
            <w:vAlign w:val="bottom"/>
          </w:tcPr>
          <w:p>
            <w:pPr>
              <w:ind w:left="560"/>
              <w:spacing w:after="0"/>
              <w:rPr>
                <w:sz w:val="20"/>
                <w:szCs w:val="20"/>
                <w:color w:val="auto"/>
              </w:rPr>
            </w:pPr>
            <w:r>
              <w:rPr>
                <w:rFonts w:ascii="Arial" w:cs="Arial" w:eastAsia="Arial" w:hAnsi="Arial"/>
                <w:sz w:val="18"/>
                <w:szCs w:val="18"/>
                <w:color w:val="auto"/>
              </w:rPr>
              <w:t>Prepaid and other assets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5,094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(5,810 )</w:t>
            </w:r>
          </w:p>
        </w:tc>
        <w:tc>
          <w:tcPr>
            <w:tcW w:w="0" w:type="dxa"/>
            <w:vAlign w:val="bottom"/>
          </w:tcPr>
          <w:p>
            <w:pPr>
              <w:spacing w:after="0"/>
              <w:rPr>
                <w:sz w:val="1"/>
                <w:szCs w:val="1"/>
                <w:color w:val="auto"/>
              </w:rPr>
            </w:pPr>
          </w:p>
        </w:tc>
      </w:tr>
      <w:tr>
        <w:trPr>
          <w:trHeight w:val="249"/>
        </w:trPr>
        <w:tc>
          <w:tcPr>
            <w:tcW w:w="76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7"/>
        </w:trPr>
        <w:tc>
          <w:tcPr>
            <w:tcW w:w="7640" w:type="dxa"/>
            <w:vAlign w:val="bottom"/>
          </w:tcPr>
          <w:p>
            <w:pPr>
              <w:ind w:left="56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flows used in operating activities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(64,685</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(61,328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79"/>
        </w:trPr>
        <w:tc>
          <w:tcPr>
            <w:tcW w:w="764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cash from SCS</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20"/>
                <w:szCs w:val="20"/>
                <w:color w:val="auto"/>
              </w:rPr>
            </w:pPr>
          </w:p>
        </w:tc>
        <w:tc>
          <w:tcPr>
            <w:tcW w:w="1640" w:type="dxa"/>
            <w:vAlign w:val="bottom"/>
            <w:gridSpan w:val="2"/>
          </w:tcPr>
          <w:p>
            <w:pPr>
              <w:jc w:val="right"/>
              <w:ind w:right="141"/>
              <w:spacing w:after="0"/>
              <w:rPr>
                <w:sz w:val="20"/>
                <w:szCs w:val="20"/>
                <w:color w:val="auto"/>
              </w:rPr>
            </w:pPr>
            <w:r>
              <w:rPr>
                <w:rFonts w:ascii="Arial" w:cs="Arial" w:eastAsia="Arial" w:hAnsi="Arial"/>
                <w:sz w:val="18"/>
                <w:szCs w:val="18"/>
                <w:color w:val="auto"/>
              </w:rPr>
              <w:t>(301,701 )</w:t>
            </w:r>
          </w:p>
        </w:tc>
        <w:tc>
          <w:tcPr>
            <w:tcW w:w="360" w:type="dxa"/>
            <w:vAlign w:val="bottom"/>
          </w:tcPr>
          <w:p>
            <w:pPr>
              <w:spacing w:after="0"/>
              <w:rPr>
                <w:sz w:val="20"/>
                <w:szCs w:val="20"/>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of marketable securities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100,187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Purchase of equipment and facility expansion</w:t>
            </w:r>
          </w:p>
        </w:tc>
        <w:tc>
          <w:tcPr>
            <w:tcW w:w="260" w:type="dxa"/>
            <w:vAlign w:val="bottom"/>
          </w:tcPr>
          <w:p>
            <w:pPr>
              <w:spacing w:after="0"/>
              <w:rPr>
                <w:sz w:val="20"/>
                <w:szCs w:val="20"/>
                <w:color w:val="auto"/>
              </w:rPr>
            </w:pPr>
          </w:p>
        </w:tc>
        <w:tc>
          <w:tcPr>
            <w:tcW w:w="1640" w:type="dxa"/>
            <w:vAlign w:val="bottom"/>
            <w:gridSpan w:val="2"/>
          </w:tcPr>
          <w:p>
            <w:pPr>
              <w:jc w:val="right"/>
              <w:ind w:right="141"/>
              <w:spacing w:after="0"/>
              <w:rPr>
                <w:sz w:val="20"/>
                <w:szCs w:val="20"/>
                <w:color w:val="auto"/>
              </w:rPr>
            </w:pPr>
            <w:r>
              <w:rPr>
                <w:rFonts w:ascii="Arial" w:cs="Arial" w:eastAsia="Arial" w:hAnsi="Arial"/>
                <w:sz w:val="18"/>
                <w:szCs w:val="18"/>
                <w:color w:val="auto"/>
              </w:rPr>
              <w:t>(32,625 )</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(1,540 )</w:t>
            </w:r>
          </w:p>
        </w:tc>
        <w:tc>
          <w:tcPr>
            <w:tcW w:w="0" w:type="dxa"/>
            <w:vAlign w:val="bottom"/>
          </w:tcPr>
          <w:p>
            <w:pPr>
              <w:spacing w:after="0"/>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26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(234,139</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79"/>
        </w:trPr>
        <w:tc>
          <w:tcPr>
            <w:tcW w:w="76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finance leases</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(39 )</w:t>
            </w: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5"/>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Business Combination, including PIPE financing, net of associated costs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340"/>
              <w:spacing w:after="0"/>
              <w:rPr>
                <w:sz w:val="20"/>
                <w:szCs w:val="20"/>
                <w:color w:val="auto"/>
              </w:rPr>
            </w:pPr>
            <w:r>
              <w:rPr>
                <w:rFonts w:ascii="Arial" w:cs="Arial" w:eastAsia="Arial" w:hAnsi="Arial"/>
                <w:sz w:val="18"/>
                <w:szCs w:val="18"/>
                <w:color w:val="auto"/>
              </w:rPr>
              <w:t>of $37,856</w:t>
            </w:r>
          </w:p>
        </w:tc>
        <w:tc>
          <w:tcPr>
            <w:tcW w:w="260" w:type="dxa"/>
            <w:vAlign w:val="bottom"/>
          </w:tcPr>
          <w:p>
            <w:pPr>
              <w:spacing w:after="0"/>
              <w:rPr>
                <w:sz w:val="20"/>
                <w:szCs w:val="20"/>
                <w:color w:val="auto"/>
              </w:rPr>
            </w:pPr>
          </w:p>
        </w:tc>
        <w:tc>
          <w:tcPr>
            <w:tcW w:w="16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under related party notes payable</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Repayment of related party notes payable</w:t>
            </w:r>
          </w:p>
        </w:tc>
        <w:tc>
          <w:tcPr>
            <w:tcW w:w="260" w:type="dxa"/>
            <w:vAlign w:val="bottom"/>
          </w:tcPr>
          <w:p>
            <w:pPr>
              <w:spacing w:after="0"/>
              <w:rPr>
                <w:sz w:val="20"/>
                <w:szCs w:val="20"/>
                <w:color w:val="auto"/>
              </w:rPr>
            </w:pPr>
          </w:p>
        </w:tc>
        <w:tc>
          <w:tcPr>
            <w:tcW w:w="16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(35,000 )</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cash contribution</w:t>
            </w: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Net cash flows (used in) provided by financing activities</w:t>
            </w:r>
          </w:p>
        </w:tc>
        <w:tc>
          <w:tcPr>
            <w:tcW w:w="260" w:type="dxa"/>
            <w:vAlign w:val="bottom"/>
          </w:tcPr>
          <w:p>
            <w:pPr>
              <w:spacing w:after="0"/>
              <w:rPr>
                <w:sz w:val="20"/>
                <w:szCs w:val="20"/>
                <w:color w:val="auto"/>
              </w:rPr>
            </w:pPr>
          </w:p>
        </w:tc>
        <w:tc>
          <w:tcPr>
            <w:tcW w:w="1640" w:type="dxa"/>
            <w:vAlign w:val="bottom"/>
            <w:gridSpan w:val="2"/>
          </w:tcPr>
          <w:p>
            <w:pPr>
              <w:jc w:val="right"/>
              <w:ind w:right="141"/>
              <w:spacing w:after="0"/>
              <w:rPr>
                <w:sz w:val="20"/>
                <w:szCs w:val="20"/>
                <w:color w:val="auto"/>
              </w:rPr>
            </w:pPr>
            <w:r>
              <w:rPr>
                <w:rFonts w:ascii="Arial" w:cs="Arial" w:eastAsia="Arial" w:hAnsi="Arial"/>
                <w:sz w:val="18"/>
                <w:szCs w:val="18"/>
                <w:color w:val="auto"/>
              </w:rPr>
              <w:t>(39 )</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548,529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(298,863 )</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Cash, beginning of period</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490,252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191,389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506,327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64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Right of use assets obtained in exchange for lease obligations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8"/>
                <w:szCs w:val="18"/>
                <w:color w:val="auto"/>
              </w:rPr>
              <w:t>Exchange of Class B ordinary shares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Impact of equity transactions and compensation on redeemable noncontrolling interest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8"/>
                <w:szCs w:val="18"/>
                <w:color w:val="auto"/>
              </w:rPr>
              <w:t>Change in redemption value of noncontrolling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Equipment and facility expansion included in accounts payable and</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280" w:type="dxa"/>
            <w:vAlign w:val="bottom"/>
            <w:shd w:val="clear" w:color="auto" w:fill="CFF0FC"/>
          </w:tcPr>
          <w:p>
            <w:pPr>
              <w:spacing w:after="0"/>
              <w:rPr>
                <w:sz w:val="17"/>
                <w:szCs w:val="17"/>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FF0FC"/>
            </w:tcBorders>
            <w:shd w:val="clear" w:color="auto" w:fill="CFF0FC"/>
          </w:tcPr>
          <w:p>
            <w:pPr>
              <w:ind w:left="340"/>
              <w:spacing w:after="0" w:line="203" w:lineRule="exact"/>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136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-2133600</wp:posOffset>
            </wp:positionV>
            <wp:extent cx="68580" cy="317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-1345565</wp:posOffset>
            </wp:positionV>
            <wp:extent cx="1260475" cy="3346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60475" cy="3346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-856615</wp:posOffset>
            </wp:positionV>
            <wp:extent cx="126047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60475" cy="20574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-496570</wp:posOffset>
            </wp:positionV>
            <wp:extent cx="1260475"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60475" cy="20574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60" w:firstLine="524"/>
        <w:spacing w:after="0" w:line="311" w:lineRule="auto"/>
        <w:rPr>
          <w:sz w:val="20"/>
          <w:szCs w:val="20"/>
          <w:color w:val="auto"/>
        </w:rPr>
      </w:pPr>
      <w:r>
        <w:rPr>
          <w:rFonts w:ascii="Arial" w:cs="Arial" w:eastAsia="Arial" w:hAnsi="Arial"/>
          <w:sz w:val="16"/>
          <w:szCs w:val="16"/>
          <w:color w:val="auto"/>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p>
    <w:p>
      <w:pPr>
        <w:spacing w:after="0" w:line="41" w:lineRule="exact"/>
        <w:rPr>
          <w:sz w:val="20"/>
          <w:szCs w:val="20"/>
          <w:color w:val="auto"/>
        </w:rPr>
      </w:pPr>
    </w:p>
    <w:p>
      <w:pPr>
        <w:ind w:right="80" w:firstLine="524"/>
        <w:spacing w:after="0" w:line="275" w:lineRule="auto"/>
        <w:rPr>
          <w:sz w:val="20"/>
          <w:szCs w:val="20"/>
          <w:color w:val="auto"/>
        </w:rPr>
      </w:pPr>
      <w:r>
        <w:rPr>
          <w:rFonts w:ascii="Arial" w:cs="Arial" w:eastAsia="Arial" w:hAnsi="Arial"/>
          <w:sz w:val="17"/>
          <w:szCs w:val="17"/>
          <w:color w:val="auto"/>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transaction closed (the “Closing”) on July 11, 2022 (the “Closing Date”). Upon consummation of the transaction, SCS changed its name to ProKidney Corp.</w:t>
      </w:r>
    </w:p>
    <w:p>
      <w:pPr>
        <w:spacing w:after="0" w:line="68" w:lineRule="exact"/>
        <w:rPr>
          <w:sz w:val="20"/>
          <w:szCs w:val="20"/>
          <w:color w:val="auto"/>
        </w:rPr>
      </w:pPr>
    </w:p>
    <w:p>
      <w:pPr>
        <w:ind w:right="40" w:firstLine="524"/>
        <w:spacing w:after="0" w:line="293" w:lineRule="auto"/>
        <w:rPr>
          <w:sz w:val="20"/>
          <w:szCs w:val="20"/>
          <w:color w:val="auto"/>
        </w:rPr>
      </w:pPr>
      <w:r>
        <w:rPr>
          <w:rFonts w:ascii="Arial" w:cs="Arial" w:eastAsia="Arial" w:hAnsi="Arial"/>
          <w:sz w:val="16"/>
          <w:szCs w:val="16"/>
          <w:color w:val="auto"/>
        </w:rPr>
        <w:t>The business combination between SCS and PKLP (the “Business Combination”) resulted in gross proceeds of approximately $596,537,000. This amount reflected a contribution of $21,737,000 of cash held in SCS’ trust account, net of redemptions, and a $574,800,000 concurrent private placement of Class A ordinary shares of the combined company, priced at $10.00 per share (the “PIPE Placement”). Upon close, these proceeds were used to repay the outstanding balance of $35,000,000 under PKLP’s two promissory note agreements with certain holders of its Class A Units (the “Promissory Notes”) and related accrued interest. Additionally, the proceeds were used to pay those expenses previously incurred by SCS related to the Business Combination of approximately $21,029,000 as well as advisory and placement fees of approximately $29,389,000 incurred in connection with the PIPE Placement.</w:t>
      </w:r>
    </w:p>
    <w:p>
      <w:pPr>
        <w:spacing w:after="0" w:line="56" w:lineRule="exact"/>
        <w:rPr>
          <w:sz w:val="20"/>
          <w:szCs w:val="20"/>
          <w:color w:val="auto"/>
        </w:rPr>
      </w:pPr>
    </w:p>
    <w:p>
      <w:pPr>
        <w:ind w:right="20" w:firstLine="524"/>
        <w:spacing w:after="0" w:line="286" w:lineRule="auto"/>
        <w:rPr>
          <w:sz w:val="20"/>
          <w:szCs w:val="20"/>
          <w:color w:val="auto"/>
        </w:rPr>
      </w:pPr>
      <w:r>
        <w:rPr>
          <w:rFonts w:ascii="Arial" w:cs="Arial" w:eastAsia="Arial" w:hAnsi="Arial"/>
          <w:sz w:val="17"/>
          <w:szCs w:val="17"/>
          <w:color w:val="auto"/>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spacing w:after="0" w:line="57" w:lineRule="exact"/>
        <w:rPr>
          <w:sz w:val="20"/>
          <w:szCs w:val="20"/>
          <w:color w:val="auto"/>
        </w:rPr>
      </w:pPr>
    </w:p>
    <w:p>
      <w:pPr>
        <w:ind w:right="60" w:firstLine="524"/>
        <w:spacing w:after="0" w:line="259" w:lineRule="auto"/>
        <w:rPr>
          <w:sz w:val="20"/>
          <w:szCs w:val="20"/>
          <w:color w:val="auto"/>
        </w:rPr>
      </w:pPr>
      <w:r>
        <w:rPr>
          <w:rFonts w:ascii="Arial" w:cs="Arial" w:eastAsia="Arial" w:hAnsi="Arial"/>
          <w:sz w:val="18"/>
          <w:szCs w:val="18"/>
          <w:color w:val="auto"/>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its Renal Autologous Cell Therapy, which has the potential to preserve kidney function in patients with chronic kidney disease or delay or eliminate the need for dialysis and organ transplantation.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24"/>
        <w:spacing w:after="0" w:line="287" w:lineRule="auto"/>
        <w:rPr>
          <w:sz w:val="20"/>
          <w:szCs w:val="20"/>
          <w:color w:val="auto"/>
        </w:rPr>
      </w:pPr>
      <w:r>
        <w:rPr>
          <w:rFonts w:ascii="Arial" w:cs="Arial" w:eastAsia="Arial" w:hAnsi="Arial"/>
          <w:sz w:val="16"/>
          <w:szCs w:val="16"/>
          <w:color w:val="auto"/>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September 30, 2023, various holders own non-voting interests in PKLP, representing a 73.8% economic interest in PKLP, effectively restricting ProKidney’s interest to 26.2%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121" w:lineRule="exact"/>
        <w:rPr>
          <w:sz w:val="20"/>
          <w:szCs w:val="20"/>
          <w:color w:val="auto"/>
        </w:rPr>
      </w:pPr>
    </w:p>
    <w:p>
      <w:pPr>
        <w:ind w:firstLine="524"/>
        <w:spacing w:after="0" w:line="290"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September 30, 2023, Condensed Consolidated Statements of Operations for the three and nine months ended September 30, 2023 and 2022, Condensed Consolidated Statements of Comprehensive Loss for the three and nine months ended September 30, 2023 and 2022, Condensed Consolidated Statement of Changes in Redeemable Noncontrolling Interest and Shareholders’ Deficit / Members’ Equity for the three and nine months ended September 30, 2023 and 2022 and Condensed Consolidated Statements of Cash Flows for the nine months ended September 30, 2023 and 2022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w:t>
      </w:r>
    </w:p>
    <w:p>
      <w:pPr>
        <w:spacing w:after="0" w:line="57" w:lineRule="exact"/>
        <w:rPr>
          <w:sz w:val="20"/>
          <w:szCs w:val="20"/>
          <w:color w:val="auto"/>
        </w:rPr>
      </w:pPr>
    </w:p>
    <w:p>
      <w:pPr>
        <w:ind w:firstLine="524"/>
        <w:spacing w:after="0" w:line="254" w:lineRule="auto"/>
        <w:rPr>
          <w:sz w:val="20"/>
          <w:szCs w:val="20"/>
          <w:color w:val="auto"/>
        </w:rPr>
      </w:pPr>
      <w:r>
        <w:rPr>
          <w:rFonts w:ascii="Arial" w:cs="Arial" w:eastAsia="Arial" w:hAnsi="Arial"/>
          <w:sz w:val="18"/>
          <w:szCs w:val="18"/>
          <w:color w:val="auto"/>
        </w:rPr>
        <w:t>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2023, the results of operations for the three and nine months ended September 30, 2023 and 2022 and cash flows for the nine months ended September 30, 2023 and 2022. Certain prior year amounts have been reclassified to conform to the current year presentation. The December 31, 2022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2022, contained in the Company’s Annual Report on Form 10-K filed with the SEC on March 28, 2023, as amended on April 27, 2023.</w:t>
      </w:r>
    </w:p>
    <w:p>
      <w:pPr>
        <w:spacing w:after="0" w:line="84" w:lineRule="exact"/>
        <w:rPr>
          <w:sz w:val="20"/>
          <w:szCs w:val="20"/>
          <w:color w:val="auto"/>
        </w:rPr>
      </w:pPr>
    </w:p>
    <w:p>
      <w:pPr>
        <w:jc w:val="both"/>
        <w:ind w:right="360" w:firstLine="524"/>
        <w:spacing w:after="0" w:line="263" w:lineRule="auto"/>
        <w:rPr>
          <w:sz w:val="20"/>
          <w:szCs w:val="20"/>
          <w:color w:val="auto"/>
        </w:rPr>
      </w:pPr>
      <w:r>
        <w:rPr>
          <w:rFonts w:ascii="Arial" w:cs="Arial" w:eastAsia="Arial" w:hAnsi="Arial"/>
          <w:sz w:val="18"/>
          <w:szCs w:val="18"/>
          <w:color w:val="auto"/>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Interim results are not necessarily indicative of results for an entire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524"/>
        <w:spacing w:after="0" w:line="272" w:lineRule="auto"/>
        <w:rPr>
          <w:sz w:val="20"/>
          <w:szCs w:val="20"/>
          <w:color w:val="auto"/>
        </w:rPr>
      </w:pPr>
      <w:r>
        <w:rPr>
          <w:rFonts w:ascii="Arial" w:cs="Arial" w:eastAsia="Arial" w:hAnsi="Arial"/>
          <w:sz w:val="17"/>
          <w:szCs w:val="17"/>
          <w:color w:val="auto"/>
        </w:rPr>
        <w:t>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121" w:lineRule="exact"/>
        <w:rPr>
          <w:sz w:val="20"/>
          <w:szCs w:val="20"/>
          <w:color w:val="auto"/>
        </w:rPr>
      </w:pPr>
    </w:p>
    <w:p>
      <w:pPr>
        <w:ind w:firstLine="524"/>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spacing w:after="0" w:line="62" w:lineRule="exact"/>
        <w:rPr>
          <w:sz w:val="20"/>
          <w:szCs w:val="20"/>
          <w:color w:val="auto"/>
        </w:rPr>
      </w:pPr>
    </w:p>
    <w:p>
      <w:pPr>
        <w:jc w:val="both"/>
        <w:ind w:right="200" w:firstLine="524"/>
        <w:spacing w:after="0" w:line="263" w:lineRule="auto"/>
        <w:rPr>
          <w:sz w:val="20"/>
          <w:szCs w:val="20"/>
          <w:color w:val="auto"/>
        </w:rPr>
      </w:pPr>
      <w:r>
        <w:rPr>
          <w:rFonts w:ascii="Arial" w:cs="Arial" w:eastAsia="Arial" w:hAnsi="Arial"/>
          <w:sz w:val="18"/>
          <w:szCs w:val="18"/>
          <w:color w:val="auto"/>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considers all available evidence to evaluate if a credit loss exists, and if so, recognizes an allowance for credit loss.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right="320" w:firstLine="524"/>
        <w:spacing w:after="0" w:line="291" w:lineRule="auto"/>
        <w:rPr>
          <w:sz w:val="20"/>
          <w:szCs w:val="20"/>
          <w:color w:val="auto"/>
        </w:rPr>
      </w:pPr>
      <w:r>
        <w:rPr>
          <w:rFonts w:ascii="Arial" w:cs="Arial" w:eastAsia="Arial" w:hAnsi="Arial"/>
          <w:sz w:val="16"/>
          <w:szCs w:val="16"/>
          <w:color w:val="auto"/>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ind w:right="220" w:firstLine="524"/>
        <w:spacing w:after="0" w:line="277" w:lineRule="auto"/>
        <w:rPr>
          <w:sz w:val="20"/>
          <w:szCs w:val="20"/>
          <w:color w:val="auto"/>
        </w:rPr>
      </w:pPr>
      <w:r>
        <w:rPr>
          <w:rFonts w:ascii="Arial" w:cs="Arial" w:eastAsia="Arial" w:hAnsi="Arial"/>
          <w:sz w:val="18"/>
          <w:szCs w:val="18"/>
          <w:color w:val="auto"/>
        </w:rPr>
        <w:t>Accrued expenses as presented in the Condensed Consolidated Balance Sheets as of September 30, 2023 and December 31, 2022 consisted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2023</w:t>
            </w:r>
          </w:p>
        </w:tc>
        <w:tc>
          <w:tcPr>
            <w:tcW w:w="30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2022</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Clinical study related costs</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2,353</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Facility expansion costs</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Accrued legal costs</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1,089</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 improvement costs</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Accrued consulting and professional fees</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1,006</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expenses</w:t>
            </w: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3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680" w:type="dxa"/>
            <w:vAlign w:val="bottom"/>
          </w:tcPr>
          <w:p>
            <w:pPr>
              <w:ind w:left="120"/>
              <w:spacing w:after="0"/>
              <w:rPr>
                <w:sz w:val="20"/>
                <w:szCs w:val="20"/>
                <w:color w:val="auto"/>
              </w:rPr>
            </w:pPr>
            <w:r>
              <w:rPr>
                <w:rFonts w:ascii="Arial" w:cs="Arial" w:eastAsia="Arial" w:hAnsi="Arial"/>
                <w:sz w:val="18"/>
                <w:szCs w:val="18"/>
                <w:color w:val="auto"/>
              </w:rPr>
              <w:t>Total accrued expenses and other</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15,464</w:t>
            </w: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7683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480" w:firstLine="524"/>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76" w:lineRule="exact"/>
        <w:rPr>
          <w:sz w:val="20"/>
          <w:szCs w:val="20"/>
          <w:color w:val="auto"/>
        </w:rPr>
      </w:pPr>
    </w:p>
    <w:p>
      <w:pPr>
        <w:ind w:right="20" w:firstLine="524"/>
        <w:spacing w:after="0" w:line="272" w:lineRule="auto"/>
        <w:rPr>
          <w:sz w:val="20"/>
          <w:szCs w:val="20"/>
          <w:color w:val="auto"/>
        </w:rPr>
      </w:pPr>
      <w:r>
        <w:rPr>
          <w:rFonts w:ascii="Arial" w:cs="Arial" w:eastAsia="Arial" w:hAnsi="Arial"/>
          <w:sz w:val="17"/>
          <w:szCs w:val="17"/>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ind w:right="80" w:firstLine="524"/>
        <w:spacing w:after="0" w:line="263" w:lineRule="auto"/>
        <w:rPr>
          <w:sz w:val="20"/>
          <w:szCs w:val="20"/>
          <w:color w:val="auto"/>
        </w:rPr>
      </w:pPr>
      <w:r>
        <w:rPr>
          <w:rFonts w:ascii="Arial" w:cs="Arial" w:eastAsia="Arial" w:hAnsi="Arial"/>
          <w:sz w:val="18"/>
          <w:szCs w:val="18"/>
          <w:color w:val="auto"/>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spacing w:after="0" w:line="76" w:lineRule="exact"/>
        <w:rPr>
          <w:sz w:val="20"/>
          <w:szCs w:val="20"/>
          <w:color w:val="auto"/>
        </w:rPr>
      </w:pPr>
    </w:p>
    <w:p>
      <w:pPr>
        <w:ind w:firstLine="524"/>
        <w:spacing w:after="0" w:line="277" w:lineRule="auto"/>
        <w:rPr>
          <w:sz w:val="20"/>
          <w:szCs w:val="20"/>
          <w:color w:val="auto"/>
        </w:rPr>
      </w:pPr>
      <w:r>
        <w:rPr>
          <w:rFonts w:ascii="Arial" w:cs="Arial" w:eastAsia="Arial" w:hAnsi="Arial"/>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w:t>
      </w:r>
    </w:p>
    <w:p>
      <w:pPr>
        <w:spacing w:after="0" w:line="121" w:lineRule="exact"/>
        <w:rPr>
          <w:sz w:val="20"/>
          <w:szCs w:val="20"/>
          <w:color w:val="auto"/>
        </w:rPr>
      </w:pPr>
    </w:p>
    <w:p>
      <w:pPr>
        <w:ind w:firstLine="524"/>
        <w:spacing w:after="0" w:line="259" w:lineRule="auto"/>
        <w:rPr>
          <w:sz w:val="20"/>
          <w:szCs w:val="20"/>
          <w:color w:val="auto"/>
        </w:rPr>
      </w:pPr>
      <w:r>
        <w:rPr>
          <w:rFonts w:ascii="Arial" w:cs="Arial" w:eastAsia="Arial" w:hAnsi="Arial"/>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00" w:type="dxa"/>
            <w:vAlign w:val="bottom"/>
          </w:tcPr>
          <w:p>
            <w:pPr>
              <w:spacing w:after="0"/>
              <w:rPr>
                <w:sz w:val="21"/>
                <w:szCs w:val="21"/>
                <w:color w:val="auto"/>
              </w:rPr>
            </w:pPr>
          </w:p>
        </w:tc>
        <w:tc>
          <w:tcPr>
            <w:tcW w:w="3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Buildings</w:t>
            </w:r>
          </w:p>
        </w:tc>
        <w:tc>
          <w:tcPr>
            <w:tcW w:w="3460" w:type="dxa"/>
            <w:vAlign w:val="bottom"/>
            <w:gridSpan w:val="2"/>
            <w:shd w:val="clear" w:color="auto" w:fill="CFF0FC"/>
          </w:tcPr>
          <w:p>
            <w:pPr>
              <w:ind w:left="1440"/>
              <w:spacing w:after="0"/>
              <w:rPr>
                <w:sz w:val="20"/>
                <w:szCs w:val="20"/>
                <w:color w:val="auto"/>
              </w:rPr>
            </w:pPr>
            <w:r>
              <w:rPr>
                <w:rFonts w:ascii="Arial" w:cs="Arial" w:eastAsia="Arial" w:hAnsi="Arial"/>
                <w:sz w:val="18"/>
                <w:szCs w:val="18"/>
                <w:color w:val="auto"/>
              </w:rPr>
              <w:t>25-30 years</w:t>
            </w: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Computer equipment and software</w:t>
            </w:r>
          </w:p>
        </w:tc>
        <w:tc>
          <w:tcPr>
            <w:tcW w:w="3460" w:type="dxa"/>
            <w:vAlign w:val="bottom"/>
            <w:gridSpan w:val="2"/>
          </w:tcPr>
          <w:p>
            <w:pPr>
              <w:ind w:left="1440"/>
              <w:spacing w:after="0"/>
              <w:rPr>
                <w:sz w:val="20"/>
                <w:szCs w:val="20"/>
                <w:color w:val="auto"/>
              </w:rPr>
            </w:pPr>
            <w:r>
              <w:rPr>
                <w:rFonts w:ascii="Arial" w:cs="Arial" w:eastAsia="Arial" w:hAnsi="Arial"/>
                <w:sz w:val="18"/>
                <w:szCs w:val="18"/>
                <w:color w:val="auto"/>
              </w:rPr>
              <w:t>3-5 years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Furniture and equipment</w:t>
            </w:r>
          </w:p>
        </w:tc>
        <w:tc>
          <w:tcPr>
            <w:tcW w:w="3460" w:type="dxa"/>
            <w:vAlign w:val="bottom"/>
            <w:gridSpan w:val="2"/>
            <w:shd w:val="clear" w:color="auto" w:fill="CFF0FC"/>
          </w:tcPr>
          <w:p>
            <w:pPr>
              <w:ind w:left="1440"/>
              <w:spacing w:after="0"/>
              <w:rPr>
                <w:sz w:val="20"/>
                <w:szCs w:val="20"/>
                <w:color w:val="auto"/>
              </w:rPr>
            </w:pPr>
            <w:r>
              <w:rPr>
                <w:rFonts w:ascii="Arial" w:cs="Arial" w:eastAsia="Arial" w:hAnsi="Arial"/>
                <w:sz w:val="18"/>
                <w:szCs w:val="18"/>
                <w:color w:val="auto"/>
              </w:rPr>
              <w:t>5-7 years</w:t>
            </w: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3460" w:type="dxa"/>
            <w:vAlign w:val="bottom"/>
            <w:gridSpan w:val="2"/>
          </w:tcPr>
          <w:p>
            <w:pPr>
              <w:ind w:left="1440"/>
              <w:spacing w:after="0"/>
              <w:rPr>
                <w:sz w:val="20"/>
                <w:szCs w:val="20"/>
                <w:color w:val="auto"/>
              </w:rPr>
            </w:pPr>
            <w:r>
              <w:rPr>
                <w:rFonts w:ascii="Arial" w:cs="Arial" w:eastAsia="Arial" w:hAnsi="Arial"/>
                <w:sz w:val="18"/>
                <w:szCs w:val="18"/>
                <w:color w:val="auto"/>
              </w:rPr>
              <w:t>remainder of lease term</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80" w:type="dxa"/>
            <w:vAlign w:val="bottom"/>
            <w:gridSpan w:val="2"/>
          </w:tcPr>
          <w:p>
            <w:pPr>
              <w:ind w:left="540"/>
              <w:spacing w:after="0"/>
              <w:rPr>
                <w:sz w:val="20"/>
                <w:szCs w:val="20"/>
                <w:color w:val="auto"/>
              </w:rPr>
            </w:pPr>
            <w:r>
              <w:rPr>
                <w:rFonts w:ascii="Arial" w:cs="Arial" w:eastAsia="Arial" w:hAnsi="Arial"/>
                <w:sz w:val="18"/>
                <w:szCs w:val="18"/>
                <w:color w:val="auto"/>
              </w:rPr>
              <w:t>Fixed assets consisted of the following (in thousands):</w:t>
            </w:r>
          </w:p>
        </w:tc>
        <w:tc>
          <w:tcPr>
            <w:tcW w:w="2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0"/>
              </w:rPr>
              <w:t>September 30, 2023</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43"/>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2700" w:type="dxa"/>
            <w:vAlign w:val="bottom"/>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300" w:type="dxa"/>
            <w:vAlign w:val="bottom"/>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Buildings</w:t>
            </w: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22,490</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7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10,867</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Furniture and equipment</w:t>
            </w: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3,624</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27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8,487</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7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(6,769 )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(4,708 )</w:t>
            </w:r>
          </w:p>
        </w:tc>
        <w:tc>
          <w:tcPr>
            <w:tcW w:w="0" w:type="dxa"/>
            <w:vAlign w:val="bottom"/>
          </w:tcPr>
          <w:p>
            <w:pPr>
              <w:spacing w:after="0"/>
              <w:rPr>
                <w:sz w:val="1"/>
                <w:szCs w:val="1"/>
                <w:color w:val="auto"/>
              </w:rPr>
            </w:pPr>
          </w:p>
        </w:tc>
      </w:tr>
      <w:tr>
        <w:trPr>
          <w:trHeight w:val="243"/>
        </w:trPr>
        <w:tc>
          <w:tcPr>
            <w:tcW w:w="4980" w:type="dxa"/>
            <w:vAlign w:val="bottom"/>
            <w:tcBorders>
              <w:top w:val="single" w:sz="8" w:color="CFF0FC"/>
            </w:tcBorders>
            <w:gridSpan w:val="2"/>
          </w:tcPr>
          <w:p>
            <w:pPr>
              <w:ind w:left="200"/>
              <w:spacing w:after="0"/>
              <w:rPr>
                <w:sz w:val="20"/>
                <w:szCs w:val="20"/>
                <w:color w:val="auto"/>
              </w:rPr>
            </w:pPr>
            <w:r>
              <w:rPr>
                <w:rFonts w:ascii="Arial" w:cs="Arial" w:eastAsia="Arial" w:hAnsi="Arial"/>
                <w:sz w:val="18"/>
                <w:szCs w:val="18"/>
                <w:color w:val="auto"/>
              </w:rPr>
              <w:t>Total fixed assets, net</w:t>
            </w:r>
          </w:p>
        </w:tc>
        <w:tc>
          <w:tcPr>
            <w:tcW w:w="2700" w:type="dxa"/>
            <w:vAlign w:val="bottom"/>
            <w:tcBorders>
              <w:top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42,614</w:t>
            </w:r>
          </w:p>
        </w:tc>
        <w:tc>
          <w:tcPr>
            <w:tcW w:w="300" w:type="dxa"/>
            <w:vAlign w:val="bottom"/>
            <w:tcBorders>
              <w:top w:val="single" w:sz="8" w:color="CFF0FC"/>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10,708</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00" w:type="dxa"/>
            <w:vAlign w:val="bottom"/>
            <w:vMerge w:val="restart"/>
          </w:tcPr>
          <w:p>
            <w:pPr>
              <w:ind w:left="560"/>
              <w:spacing w:after="0"/>
              <w:rPr>
                <w:sz w:val="20"/>
                <w:szCs w:val="20"/>
                <w:color w:val="auto"/>
              </w:rPr>
            </w:pPr>
            <w:r>
              <w:rPr>
                <w:rFonts w:ascii="Arial" w:cs="Arial" w:eastAsia="Arial" w:hAnsi="Arial"/>
                <w:sz w:val="18"/>
                <w:szCs w:val="18"/>
                <w:color w:val="auto"/>
              </w:rPr>
              <w:t>12</w:t>
            </w: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-539115</wp:posOffset>
            </wp:positionV>
            <wp:extent cx="76835"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right="200" w:firstLine="524"/>
        <w:spacing w:after="0" w:line="277" w:lineRule="auto"/>
        <w:rPr>
          <w:sz w:val="20"/>
          <w:szCs w:val="20"/>
          <w:color w:val="auto"/>
        </w:rPr>
      </w:pPr>
      <w:r>
        <w:rPr>
          <w:rFonts w:ascii="Arial" w:cs="Arial" w:eastAsia="Arial" w:hAnsi="Arial"/>
          <w:sz w:val="18"/>
          <w:szCs w:val="18"/>
          <w:color w:val="auto"/>
        </w:rPr>
        <w:t>Depreciation expense for the three and nine months ended September 30, 2023 was $807,000 and $2,084,000, respectively. Depreciation expense for the three and nine months ended September 30, 2022 was $627,000 and $1,825,000,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300" w:firstLine="524"/>
        <w:spacing w:after="0" w:line="263" w:lineRule="auto"/>
        <w:rPr>
          <w:sz w:val="20"/>
          <w:szCs w:val="20"/>
          <w:color w:val="auto"/>
        </w:rPr>
      </w:pPr>
      <w:r>
        <w:rPr>
          <w:rFonts w:ascii="Arial" w:cs="Arial" w:eastAsia="Arial" w:hAnsi="Arial"/>
          <w:sz w:val="18"/>
          <w:szCs w:val="18"/>
          <w:color w:val="auto"/>
        </w:rPr>
        <w:t>Intangible assets are comprised of acquired assembled workforce, which are accounted for in accordance with ASC 350 - Intangibles - Goodwill and Other. The acquired assembled workforce is amortized on a straight-line basis over the useful life of five years. The following table summarizes information related to the Company’s assembled workforce intangible asset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40" w:type="dxa"/>
            <w:vAlign w:val="bottom"/>
          </w:tcPr>
          <w:p>
            <w:pPr>
              <w:spacing w:after="0"/>
              <w:rPr>
                <w:sz w:val="20"/>
                <w:szCs w:val="20"/>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September 30, 2023</w:t>
            </w:r>
          </w:p>
        </w:tc>
        <w:tc>
          <w:tcPr>
            <w:tcW w:w="30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carrying amount</w:t>
            </w:r>
          </w:p>
        </w:tc>
        <w:tc>
          <w:tcPr>
            <w:tcW w:w="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carrying amount</w:t>
            </w:r>
          </w:p>
        </w:tc>
        <w:tc>
          <w:tcPr>
            <w:tcW w:w="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80" w:firstLine="524"/>
        <w:spacing w:after="0" w:line="263" w:lineRule="auto"/>
        <w:rPr>
          <w:sz w:val="20"/>
          <w:szCs w:val="20"/>
          <w:color w:val="auto"/>
        </w:rPr>
      </w:pPr>
      <w:r>
        <w:rPr>
          <w:rFonts w:ascii="Arial" w:cs="Arial" w:eastAsia="Arial" w:hAnsi="Arial"/>
          <w:sz w:val="18"/>
          <w:szCs w:val="18"/>
          <w:color w:val="auto"/>
        </w:rPr>
        <w:t>Estimated amortization expense as of September 30, 2023 for the remaining three months of 2023 was $47,000 and $5,000 for the year ended December 31, 2024. Amortization expense relating to the assembled workforce intangible asset was $54,000 and $161,000 for each of the three and nine months ended September 30, 2023 and 2022,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80" w:firstLine="524"/>
        <w:spacing w:after="0" w:line="296" w:lineRule="auto"/>
        <w:rPr>
          <w:sz w:val="20"/>
          <w:szCs w:val="20"/>
          <w:color w:val="auto"/>
        </w:rPr>
      </w:pPr>
      <w:r>
        <w:rPr>
          <w:rFonts w:ascii="Arial" w:cs="Arial" w:eastAsia="Arial" w:hAnsi="Arial"/>
          <w:sz w:val="16"/>
          <w:szCs w:val="16"/>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three and nine months ended September 30, 2023 and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24"/>
        <w:spacing w:after="0" w:line="269" w:lineRule="auto"/>
        <w:rPr>
          <w:sz w:val="20"/>
          <w:szCs w:val="20"/>
          <w:color w:val="auto"/>
        </w:rPr>
      </w:pPr>
      <w:r>
        <w:rPr>
          <w:rFonts w:ascii="Arial" w:cs="Arial" w:eastAsia="Arial" w:hAnsi="Arial"/>
          <w:sz w:val="17"/>
          <w:szCs w:val="17"/>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September 30, 2023 and December 31, 2022.</w:t>
      </w:r>
    </w:p>
    <w:p>
      <w:pPr>
        <w:spacing w:after="0" w:line="77"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Interest and penalties related to income taxes are included in the benefit (expense) for income taxes in the Company’s Condensed Consolidated Statements of Operations and Comprehensive Loss. The Company has not incurred any significant interest or penalties related to income taxes in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524"/>
        <w:spacing w:after="0" w:line="220" w:lineRule="exact"/>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w:t>
      </w:r>
      <w:r>
        <w:rPr>
          <w:rFonts w:ascii="MS PGothic" w:cs="MS PGothic" w:eastAsia="MS PGothic" w:hAnsi="MS PGothic"/>
          <w:sz w:val="18"/>
          <w:szCs w:val="18"/>
          <w:color w:val="auto"/>
        </w:rPr>
        <w:t>‑</w:t>
      </w:r>
      <w:r>
        <w:rPr>
          <w:rFonts w:ascii="Arial" w:cs="Arial" w:eastAsia="Arial" w:hAnsi="Arial"/>
          <w:sz w:val="18"/>
          <w:szCs w:val="18"/>
          <w:color w:val="auto"/>
        </w:rPr>
        <w:t>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04"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either directly or indirectly observable through correlation with market data</w:t>
      </w:r>
    </w:p>
    <w:p>
      <w:pPr>
        <w:spacing w:after="0" w:line="32"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data, which require the reporting entity to develop its own assumptions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firstLine="524"/>
        <w:spacing w:after="0" w:line="223" w:lineRule="exact"/>
        <w:rPr>
          <w:sz w:val="20"/>
          <w:szCs w:val="20"/>
          <w:color w:val="auto"/>
        </w:rPr>
      </w:pPr>
      <w:r>
        <w:rPr>
          <w:rFonts w:ascii="Arial" w:cs="Arial" w:eastAsia="Arial" w:hAnsi="Arial"/>
          <w:sz w:val="18"/>
          <w:szCs w:val="18"/>
          <w:color w:val="auto"/>
        </w:rPr>
        <w:t>The carrying values of cash equivalents, accounts payable, and accrued liabilities approximate fair value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these instruments.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60" w:firstLine="567"/>
        <w:spacing w:after="0" w:line="290" w:lineRule="auto"/>
        <w:rPr>
          <w:sz w:val="20"/>
          <w:szCs w:val="20"/>
          <w:color w:val="auto"/>
        </w:rPr>
      </w:pPr>
      <w:r>
        <w:rPr>
          <w:rFonts w:ascii="Arial" w:cs="Arial" w:eastAsia="Arial" w:hAnsi="Arial"/>
          <w:sz w:val="16"/>
          <w:szCs w:val="16"/>
          <w:color w:val="auto"/>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spacing w:after="0" w:line="57"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Compensation expense for share-based compensation awards issued is based on the fair value of the award at the date of grant, and compensation expense is recognized for those awards earned over the service period on a straight-line basis. The Company records forfeitures of share-based compensation awards as they occur.</w:t>
      </w:r>
    </w:p>
    <w:p>
      <w:pPr>
        <w:spacing w:after="0" w:line="76"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8"/>
          <w:szCs w:val="18"/>
          <w:color w:val="auto"/>
        </w:rPr>
        <w:t>The grant date fair value of stock option awards is estimated using the Black-Scholes option pricing formula. Due to the lack of sufficient historical trading information with respect to its own shares, the Company estimates expected volatility based on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operates in only one segment.</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ind w:right="160" w:firstLine="509"/>
        <w:spacing w:after="0" w:line="308" w:lineRule="auto"/>
        <w:rPr>
          <w:sz w:val="20"/>
          <w:szCs w:val="20"/>
          <w:color w:val="auto"/>
        </w:rPr>
      </w:pPr>
      <w:r>
        <w:rPr>
          <w:rFonts w:ascii="Arial" w:cs="Arial" w:eastAsia="Arial" w:hAnsi="Arial"/>
          <w:sz w:val="17"/>
          <w:szCs w:val="17"/>
          <w:color w:val="auto"/>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p>
    <w:p>
      <w:pPr>
        <w:spacing w:after="0" w:line="3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following tables summarize our cash equivalents and marketable securities measured at fair value on a recurring basis as of September 30,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Cash</w:t>
            </w:r>
          </w:p>
        </w:tc>
        <w:tc>
          <w:tcPr>
            <w:tcW w:w="20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Marketabl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ind w:left="2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Amortized</w:t>
            </w:r>
          </w:p>
        </w:tc>
        <w:tc>
          <w:tcPr>
            <w:tcW w:w="2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Unrealized</w:t>
            </w:r>
          </w:p>
        </w:tc>
        <w:tc>
          <w:tcPr>
            <w:tcW w:w="22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Equivalent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41"/>
        </w:trPr>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60" w:type="dxa"/>
            <w:vAlign w:val="bottom"/>
          </w:tcPr>
          <w:p>
            <w:pPr>
              <w:ind w:left="300"/>
              <w:spacing w:after="0"/>
              <w:rPr>
                <w:sz w:val="20"/>
                <w:szCs w:val="20"/>
                <w:color w:val="auto"/>
              </w:rPr>
            </w:pPr>
            <w:r>
              <w:rPr>
                <w:rFonts w:ascii="Arial" w:cs="Arial" w:eastAsia="Arial" w:hAnsi="Arial"/>
                <w:sz w:val="18"/>
                <w:szCs w:val="18"/>
                <w:b w:val="1"/>
                <w:bCs w:val="1"/>
                <w:color w:val="auto"/>
              </w:rPr>
              <w:t>Hierarchy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700" w:type="dxa"/>
            <w:vAlign w:val="bottom"/>
          </w:tcPr>
          <w:p>
            <w:pPr>
              <w:ind w:left="24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Losses</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rPr>
              <w:t>s</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Securities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20" w:type="dxa"/>
            <w:vAlign w:val="bottom"/>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1360" w:type="dxa"/>
            <w:vAlign w:val="bottom"/>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30,506</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30,498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9"/>
        </w:trPr>
        <w:tc>
          <w:tcPr>
            <w:tcW w:w="340" w:type="dxa"/>
            <w:vAlign w:val="bottom"/>
          </w:tcPr>
          <w:p>
            <w:pPr>
              <w:spacing w:after="0"/>
              <w:rPr>
                <w:sz w:val="21"/>
                <w:szCs w:val="21"/>
                <w:color w:val="auto"/>
              </w:rPr>
            </w:pPr>
          </w:p>
        </w:tc>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132,166</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(224 )</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131,977</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131,977</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360" w:type="dxa"/>
            <w:vAlign w:val="bottom"/>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(24 )</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12,476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30,017</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(27 )</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29,994</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3"/>
        </w:trPr>
        <w:tc>
          <w:tcPr>
            <w:tcW w:w="340" w:type="dxa"/>
            <w:vAlign w:val="bottom"/>
          </w:tcPr>
          <w:p>
            <w:pPr>
              <w:spacing w:after="0"/>
              <w:rPr>
                <w:sz w:val="21"/>
                <w:szCs w:val="21"/>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206,226</w:t>
            </w:r>
          </w:p>
        </w:tc>
        <w:tc>
          <w:tcPr>
            <w:tcW w:w="22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(292 )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205,982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gridSpan w:val="2"/>
          </w:tcPr>
          <w:p>
            <w:pPr>
              <w:jc w:val="right"/>
              <w:ind w:right="35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-539115</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-539115</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-539115</wp:posOffset>
            </wp:positionV>
            <wp:extent cx="5969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-539115</wp:posOffset>
            </wp:positionV>
            <wp:extent cx="603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-539115</wp:posOffset>
            </wp:positionV>
            <wp:extent cx="603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-539115</wp:posOffset>
            </wp:positionV>
            <wp:extent cx="5969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120" w:firstLine="509"/>
        <w:spacing w:after="0" w:line="277" w:lineRule="auto"/>
        <w:rPr>
          <w:sz w:val="20"/>
          <w:szCs w:val="20"/>
          <w:color w:val="auto"/>
        </w:rPr>
      </w:pPr>
      <w:r>
        <w:rPr>
          <w:rFonts w:ascii="Arial" w:cs="Arial" w:eastAsia="Arial" w:hAnsi="Arial"/>
          <w:sz w:val="18"/>
          <w:szCs w:val="18"/>
          <w:color w:val="auto"/>
        </w:rPr>
        <w:t>The following table shows the fair value of the Company’s cash equivalents and marketable securities, by contractual maturity, as of September 30, 2023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67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Pr>
          <w:p>
            <w:pPr>
              <w:spacing w:after="0"/>
              <w:rPr>
                <w:sz w:val="20"/>
                <w:szCs w:val="20"/>
                <w:color w:val="auto"/>
              </w:rPr>
            </w:pPr>
          </w:p>
        </w:tc>
      </w:tr>
      <w:tr>
        <w:trPr>
          <w:trHeight w:val="243"/>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in 1 year or less</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3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205,982</w:t>
            </w:r>
          </w:p>
        </w:tc>
        <w:tc>
          <w:tcPr>
            <w:tcW w:w="100" w:type="dxa"/>
            <w:vAlign w:val="bottom"/>
            <w:shd w:val="clear" w:color="auto" w:fill="CFF0FC"/>
          </w:tcPr>
          <w:p>
            <w:pPr>
              <w:spacing w:after="0"/>
              <w:rPr>
                <w:sz w:val="21"/>
                <w:szCs w:val="2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Due in 1 year through 5 years</w:t>
            </w:r>
          </w:p>
        </w:tc>
        <w:tc>
          <w:tcPr>
            <w:tcW w:w="6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83"/>
        </w:trPr>
        <w:tc>
          <w:tcPr>
            <w:tcW w:w="6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3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shows fair values and gross unrealized losses recorded to accumulated other comprehensive income, aggregated by category and the length of time that individual securities have been in a continuous loss position as of September 30, 2023 (in thousands):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Less than 12 months</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12 Months or Greater</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8"/>
                <w:szCs w:val="18"/>
                <w:color w:val="auto"/>
              </w:rPr>
            </w:pPr>
          </w:p>
        </w:tc>
      </w:tr>
      <w:tr>
        <w:trPr>
          <w:trHeight w:val="241"/>
        </w:trPr>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Loss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Loss</w:t>
            </w:r>
          </w:p>
        </w:tc>
      </w:tr>
      <w:tr>
        <w:trPr>
          <w:trHeight w:val="243"/>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 deposits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12,990</w:t>
            </w:r>
          </w:p>
        </w:tc>
        <w:tc>
          <w:tcPr>
            <w:tcW w:w="220" w:type="dxa"/>
            <w:vAlign w:val="bottom"/>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12,990</w:t>
            </w: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91,160</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w w:val="84"/>
              </w:rPr>
              <w:t>(224 )</w:t>
            </w:r>
          </w:p>
        </w:tc>
        <w:tc>
          <w:tcPr>
            <w:tcW w:w="120" w:type="dxa"/>
            <w:vAlign w:val="bottom"/>
          </w:tcPr>
          <w:p>
            <w:pPr>
              <w:spacing w:after="0"/>
              <w:rPr>
                <w:sz w:val="20"/>
                <w:szCs w:val="20"/>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91,160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(224 )</w:t>
            </w:r>
          </w:p>
        </w:tc>
      </w:tr>
      <w:tr>
        <w:trPr>
          <w:trHeight w:val="249"/>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Government bonds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(24 )</w:t>
            </w: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14,989</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0"/>
                <w:szCs w:val="20"/>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14,989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83"/>
        </w:trPr>
        <w:tc>
          <w:tcPr>
            <w:tcW w:w="28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131,615</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(292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131,615</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Company holds debt securities of companies with high credit quality and has determined that there was no material change in the credit risk of its debt securities during the nine months ended September 30, 2023. As such, the Company has not recognized an allowance for credit losses related to our marketable debt securities during the nine months ended September 30, 2023 and 2022.</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Income Taxes</w:t>
      </w:r>
    </w:p>
    <w:p>
      <w:pPr>
        <w:spacing w:after="0" w:line="121"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ProKidney is considered to be an exempted Cayman Islands company and is presently not subject to income taxes or income tax filing requirements in the Cayman Islands or the United States.</w:t>
      </w:r>
    </w:p>
    <w:p>
      <w:pPr>
        <w:spacing w:after="0" w:line="62"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p>
    <w:p>
      <w:pPr>
        <w:spacing w:after="0" w:line="76"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The Company’s subsidiary, ProKidney-US, is treated as a C corporation, and therefore a provision for federal and state taxes has been recorded. The difference between the Company’s effective tax rates and the U.S. statutory rate of 21% is primarily attributable to PKLP and ProKidney-KY being treated as partnerships for income tax purposes.</w:t>
      </w:r>
    </w:p>
    <w:p>
      <w:pPr>
        <w:spacing w:after="0" w:line="76"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spacing w:after="0" w:line="79"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8"/>
          <w:szCs w:val="18"/>
          <w:color w:val="auto"/>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2023.</w:t>
      </w:r>
    </w:p>
    <w:p>
      <w:pPr>
        <w:spacing w:after="0" w:line="80"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p>
    <w:p>
      <w:pPr>
        <w:spacing w:after="0" w:line="79"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There were no net unrecognized tax benefits as of September 30, 2023 which, if recognized, would affect our effective tax rate. We expect none of the gross unrecognized tax benefits will decrease within the next year.</w:t>
      </w:r>
    </w:p>
    <w:p>
      <w:pPr>
        <w:spacing w:after="0" w:line="62" w:lineRule="exact"/>
        <w:rPr>
          <w:sz w:val="20"/>
          <w:szCs w:val="20"/>
          <w:color w:val="auto"/>
        </w:rPr>
      </w:pPr>
    </w:p>
    <w:p>
      <w:pPr>
        <w:ind w:left="5540" w:right="1540" w:hanging="5001"/>
        <w:spacing w:after="0" w:line="277" w:lineRule="auto"/>
        <w:rPr>
          <w:sz w:val="20"/>
          <w:szCs w:val="20"/>
          <w:color w:val="auto"/>
        </w:rPr>
      </w:pPr>
      <w:r>
        <w:rPr>
          <w:rFonts w:ascii="Arial" w:cs="Arial" w:eastAsia="Arial" w:hAnsi="Arial"/>
          <w:sz w:val="18"/>
          <w:szCs w:val="18"/>
          <w:color w:val="auto"/>
        </w:rPr>
        <w:t>There were no significant changes in the Company’s uncertain tax positions during the nine months ended September 30, 2023.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ind w:right="40" w:firstLine="524"/>
        <w:spacing w:after="0" w:line="279" w:lineRule="auto"/>
        <w:rPr>
          <w:sz w:val="20"/>
          <w:szCs w:val="20"/>
          <w:color w:val="auto"/>
        </w:rPr>
      </w:pPr>
      <w:r>
        <w:rPr>
          <w:rFonts w:ascii="Arial" w:cs="Arial" w:eastAsia="Arial" w:hAnsi="Arial"/>
          <w:sz w:val="17"/>
          <w:szCs w:val="17"/>
          <w:color w:val="auto"/>
        </w:rPr>
        <w:t>The Company has operating leases for real estate (primarily its operating facilities) and certain equipment with various expiration dates. The Company also has one finance lease for certain equipment. Rent expense was $276,000 and $150,000, for the three months ended September 30, 2023 and 2022, respectively. For the nine months ended September 30, 2023 and 2022, the Company’s rent expense was $736,000 and $379,000, respectively. Cash paid for operating leases during the nine months ended September 30, 2023, was $578,000.</w:t>
      </w:r>
    </w:p>
    <w:p>
      <w:pPr>
        <w:spacing w:after="0" w:line="63" w:lineRule="exact"/>
        <w:rPr>
          <w:sz w:val="20"/>
          <w:szCs w:val="20"/>
          <w:color w:val="auto"/>
        </w:rPr>
      </w:pPr>
    </w:p>
    <w:p>
      <w:pPr>
        <w:ind w:right="180" w:firstLine="524"/>
        <w:spacing w:after="0" w:line="277" w:lineRule="auto"/>
        <w:rPr>
          <w:sz w:val="20"/>
          <w:szCs w:val="20"/>
          <w:color w:val="auto"/>
        </w:rPr>
      </w:pPr>
      <w:r>
        <w:rPr>
          <w:rFonts w:ascii="Arial" w:cs="Arial" w:eastAsia="Arial" w:hAnsi="Arial"/>
          <w:sz w:val="18"/>
          <w:szCs w:val="18"/>
          <w:color w:val="auto"/>
        </w:rPr>
        <w:t>The following table summarizes the classification of operating and finance lease assets and obligations in the Company's Condensed Consolidated Balance Sheets as of September 30, 2023 and December 31, 2022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r>
      <w:tr>
        <w:trPr>
          <w:trHeight w:val="241"/>
        </w:trPr>
        <w:tc>
          <w:tcPr>
            <w:tcW w:w="6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Right of use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0"/>
                <w:szCs w:val="20"/>
                <w:color w:val="auto"/>
              </w:rPr>
            </w:pPr>
          </w:p>
        </w:tc>
      </w:tr>
      <w:tr>
        <w:trPr>
          <w:trHeight w:val="256"/>
        </w:trPr>
        <w:tc>
          <w:tcPr>
            <w:tcW w:w="6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FF0FC"/>
          </w:tcPr>
          <w:p>
            <w:pPr>
              <w:spacing w:after="0"/>
              <w:rPr>
                <w:sz w:val="21"/>
                <w:szCs w:val="21"/>
                <w:color w:val="auto"/>
              </w:rPr>
            </w:pPr>
          </w:p>
        </w:tc>
      </w:tr>
      <w:tr>
        <w:trPr>
          <w:trHeight w:val="479"/>
        </w:trPr>
        <w:tc>
          <w:tcPr>
            <w:tcW w:w="694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21"/>
                <w:szCs w:val="21"/>
                <w:color w:val="auto"/>
              </w:rPr>
            </w:pPr>
          </w:p>
        </w:tc>
      </w:tr>
      <w:tr>
        <w:trPr>
          <w:trHeight w:val="479"/>
        </w:trPr>
        <w:tc>
          <w:tcPr>
            <w:tcW w:w="6940" w:type="dxa"/>
            <w:vAlign w:val="bottom"/>
          </w:tcPr>
          <w:p>
            <w:pPr>
              <w:spacing w:after="0"/>
              <w:rPr>
                <w:sz w:val="20"/>
                <w:szCs w:val="20"/>
                <w:color w:val="auto"/>
              </w:rPr>
            </w:pPr>
            <w:r>
              <w:rPr>
                <w:rFonts w:ascii="Arial" w:cs="Arial" w:eastAsia="Arial" w:hAnsi="Arial"/>
                <w:sz w:val="18"/>
                <w:szCs w:val="18"/>
                <w:color w:val="auto"/>
              </w:rPr>
              <w:t>Finance lease liabilities, 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Total finance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Maturities of lease liabilities for the Company’s operating and finance leases are as follows as of September 30, 2023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Operating</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Finance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Leases</w:t>
            </w:r>
          </w:p>
        </w:tc>
        <w:tc>
          <w:tcPr>
            <w:tcW w:w="18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Leases</w:t>
            </w:r>
          </w:p>
        </w:tc>
        <w:tc>
          <w:tcPr>
            <w:tcW w:w="26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43"/>
        </w:trPr>
        <w:tc>
          <w:tcPr>
            <w:tcW w:w="5960" w:type="dxa"/>
            <w:vAlign w:val="bottom"/>
            <w:shd w:val="clear" w:color="auto" w:fill="CFF0FC"/>
          </w:tcPr>
          <w:p>
            <w:pPr>
              <w:jc w:val="right"/>
              <w:ind w:right="5450"/>
              <w:spacing w:after="0"/>
              <w:rPr>
                <w:sz w:val="20"/>
                <w:szCs w:val="20"/>
                <w:color w:val="auto"/>
              </w:rPr>
            </w:pPr>
            <w:r>
              <w:rPr>
                <w:rFonts w:ascii="Arial" w:cs="Arial" w:eastAsia="Arial" w:hAnsi="Arial"/>
                <w:sz w:val="18"/>
                <w:szCs w:val="18"/>
                <w:color w:val="auto"/>
                <w:w w:val="99"/>
              </w:rPr>
              <w:t>2023</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21"/>
                <w:szCs w:val="21"/>
                <w:color w:val="auto"/>
              </w:rPr>
            </w:pPr>
          </w:p>
        </w:tc>
      </w:tr>
      <w:tr>
        <w:trPr>
          <w:trHeight w:val="237"/>
        </w:trPr>
        <w:tc>
          <w:tcPr>
            <w:tcW w:w="5960" w:type="dxa"/>
            <w:vAlign w:val="bottom"/>
          </w:tcPr>
          <w:p>
            <w:pPr>
              <w:jc w:val="right"/>
              <w:ind w:right="5450"/>
              <w:spacing w:after="0"/>
              <w:rPr>
                <w:sz w:val="20"/>
                <w:szCs w:val="20"/>
                <w:color w:val="auto"/>
              </w:rPr>
            </w:pPr>
            <w:r>
              <w:rPr>
                <w:rFonts w:ascii="Arial" w:cs="Arial" w:eastAsia="Arial" w:hAnsi="Arial"/>
                <w:sz w:val="18"/>
                <w:szCs w:val="18"/>
                <w:color w:val="auto"/>
                <w:w w:val="99"/>
              </w:rPr>
              <w:t>2024</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r>
      <w:tr>
        <w:trPr>
          <w:trHeight w:val="249"/>
        </w:trPr>
        <w:tc>
          <w:tcPr>
            <w:tcW w:w="5960" w:type="dxa"/>
            <w:vAlign w:val="bottom"/>
            <w:shd w:val="clear" w:color="auto" w:fill="CFF0FC"/>
          </w:tcPr>
          <w:p>
            <w:pPr>
              <w:jc w:val="right"/>
              <w:ind w:right="5450"/>
              <w:spacing w:after="0"/>
              <w:rPr>
                <w:sz w:val="20"/>
                <w:szCs w:val="20"/>
                <w:color w:val="auto"/>
              </w:rPr>
            </w:pPr>
            <w:r>
              <w:rPr>
                <w:rFonts w:ascii="Arial" w:cs="Arial" w:eastAsia="Arial" w:hAnsi="Arial"/>
                <w:sz w:val="18"/>
                <w:szCs w:val="18"/>
                <w:color w:val="auto"/>
                <w:w w:val="99"/>
              </w:rPr>
              <w:t>2025</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FF0FC"/>
          </w:tcPr>
          <w:p>
            <w:pPr>
              <w:spacing w:after="0"/>
              <w:rPr>
                <w:sz w:val="21"/>
                <w:szCs w:val="21"/>
                <w:color w:val="auto"/>
              </w:rPr>
            </w:pPr>
          </w:p>
        </w:tc>
      </w:tr>
      <w:tr>
        <w:trPr>
          <w:trHeight w:val="237"/>
        </w:trPr>
        <w:tc>
          <w:tcPr>
            <w:tcW w:w="5960" w:type="dxa"/>
            <w:vAlign w:val="bottom"/>
          </w:tcPr>
          <w:p>
            <w:pPr>
              <w:jc w:val="right"/>
              <w:ind w:right="5450"/>
              <w:spacing w:after="0"/>
              <w:rPr>
                <w:sz w:val="20"/>
                <w:szCs w:val="20"/>
                <w:color w:val="auto"/>
              </w:rPr>
            </w:pPr>
            <w:r>
              <w:rPr>
                <w:rFonts w:ascii="Arial" w:cs="Arial" w:eastAsia="Arial" w:hAnsi="Arial"/>
                <w:sz w:val="18"/>
                <w:szCs w:val="18"/>
                <w:color w:val="auto"/>
                <w:w w:val="99"/>
              </w:rPr>
              <w:t>2026</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0"/>
                <w:szCs w:val="20"/>
                <w:color w:val="auto"/>
              </w:rPr>
            </w:pPr>
          </w:p>
        </w:tc>
      </w:tr>
      <w:tr>
        <w:trPr>
          <w:trHeight w:val="249"/>
        </w:trPr>
        <w:tc>
          <w:tcPr>
            <w:tcW w:w="5960" w:type="dxa"/>
            <w:vAlign w:val="bottom"/>
            <w:shd w:val="clear" w:color="auto" w:fill="CFF0FC"/>
          </w:tcPr>
          <w:p>
            <w:pPr>
              <w:jc w:val="right"/>
              <w:ind w:right="5450"/>
              <w:spacing w:after="0"/>
              <w:rPr>
                <w:sz w:val="20"/>
                <w:szCs w:val="20"/>
                <w:color w:val="auto"/>
              </w:rPr>
            </w:pPr>
            <w:r>
              <w:rPr>
                <w:rFonts w:ascii="Arial" w:cs="Arial" w:eastAsia="Arial" w:hAnsi="Arial"/>
                <w:sz w:val="18"/>
                <w:szCs w:val="18"/>
                <w:color w:val="auto"/>
                <w:w w:val="99"/>
              </w:rPr>
              <w:t>2027</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21"/>
                <w:szCs w:val="2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r>
      <w:tr>
        <w:trPr>
          <w:trHeight w:val="24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FF0FC"/>
          </w:tcPr>
          <w:p>
            <w:pPr>
              <w:spacing w:after="0"/>
              <w:rPr>
                <w:sz w:val="21"/>
                <w:szCs w:val="2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(518 )</w:t>
            </w:r>
          </w:p>
        </w:tc>
        <w:tc>
          <w:tcPr>
            <w:tcW w:w="1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(25 )</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(543 )</w:t>
            </w:r>
          </w:p>
        </w:tc>
      </w:tr>
      <w:tr>
        <w:trPr>
          <w:trHeight w:val="276"/>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firstLine="524"/>
        <w:spacing w:after="0" w:line="277" w:lineRule="auto"/>
        <w:rPr>
          <w:sz w:val="20"/>
          <w:szCs w:val="20"/>
          <w:color w:val="auto"/>
        </w:rPr>
      </w:pPr>
      <w:r>
        <w:rPr>
          <w:rFonts w:ascii="Arial" w:cs="Arial" w:eastAsia="Arial" w:hAnsi="Arial"/>
          <w:sz w:val="18"/>
          <w:szCs w:val="18"/>
          <w:color w:val="auto"/>
        </w:rPr>
        <w:t>The weighted average remaining lease term for operating leases is 3.7 years, and 4.7 years for finance leases. The weighted average discount rate for operating leases is 9.5% and 6.6% for finance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40" w:firstLine="524"/>
        <w:spacing w:after="0" w:line="266" w:lineRule="auto"/>
        <w:rPr>
          <w:sz w:val="20"/>
          <w:szCs w:val="20"/>
          <w:color w:val="auto"/>
        </w:rPr>
      </w:pPr>
      <w:r>
        <w:rPr>
          <w:rFonts w:ascii="Arial" w:cs="Arial" w:eastAsia="Arial" w:hAnsi="Arial"/>
          <w:sz w:val="17"/>
          <w:szCs w:val="17"/>
          <w:color w:val="auto"/>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will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right="380"/>
        <w:spacing w:after="0" w:line="277" w:lineRule="auto"/>
        <w:rPr>
          <w:sz w:val="20"/>
          <w:szCs w:val="20"/>
          <w:color w:val="auto"/>
        </w:rPr>
      </w:pPr>
      <w:r>
        <w:rPr>
          <w:rFonts w:ascii="Arial" w:cs="Arial" w:eastAsia="Arial" w:hAnsi="Arial"/>
          <w:sz w:val="18"/>
          <w:szCs w:val="18"/>
          <w:color w:val="auto"/>
        </w:rPr>
        <w:t>Company and its subsidiaries to which the holder of Post-Combination ProKidney Common Units may be subject, including the Second Amended and Restated ProKidney Limited Partnership Agreement and the Exchange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Lock-Up Agreement</w:t>
      </w:r>
    </w:p>
    <w:p>
      <w:pPr>
        <w:spacing w:after="0" w:line="117" w:lineRule="exact"/>
        <w:rPr>
          <w:sz w:val="20"/>
          <w:szCs w:val="20"/>
          <w:color w:val="auto"/>
        </w:rPr>
      </w:pPr>
    </w:p>
    <w:p>
      <w:pPr>
        <w:ind w:firstLine="524"/>
        <w:spacing w:after="0" w:line="285" w:lineRule="auto"/>
        <w:rPr>
          <w:sz w:val="20"/>
          <w:szCs w:val="20"/>
          <w:color w:val="auto"/>
        </w:rPr>
      </w:pPr>
      <w:r>
        <w:rPr>
          <w:rFonts w:ascii="Arial" w:cs="Arial" w:eastAsia="Arial" w:hAnsi="Arial"/>
          <w:sz w:val="16"/>
          <w:szCs w:val="16"/>
          <w:color w:val="auto"/>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begin at the Closing and end on the earlier of (i)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w:t>
      </w:r>
    </w:p>
    <w:p>
      <w:pPr>
        <w:spacing w:after="0" w:line="2" w:lineRule="exact"/>
        <w:rPr>
          <w:sz w:val="20"/>
          <w:szCs w:val="20"/>
          <w:color w:val="auto"/>
        </w:rPr>
      </w:pPr>
    </w:p>
    <w:p>
      <w:pPr>
        <w:ind w:firstLine="8"/>
        <w:spacing w:after="0" w:line="25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8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During January 2023, the lock-up period for 50% of the shares held by the Closing ProKidney Unitholders (other than the Earnout Shares) expired.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firstLine="524"/>
        <w:spacing w:after="0" w:line="296" w:lineRule="auto"/>
        <w:rPr>
          <w:sz w:val="20"/>
          <w:szCs w:val="20"/>
          <w:color w:val="auto"/>
        </w:rPr>
      </w:pPr>
      <w:r>
        <w:rPr>
          <w:rFonts w:ascii="Arial" w:cs="Arial" w:eastAsia="Arial" w:hAnsi="Arial"/>
          <w:sz w:val="16"/>
          <w:szCs w:val="16"/>
          <w:color w:val="auto"/>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Rights</w:t>
      </w:r>
    </w:p>
    <w:p>
      <w:pPr>
        <w:spacing w:after="0" w:line="117" w:lineRule="exact"/>
        <w:rPr>
          <w:sz w:val="20"/>
          <w:szCs w:val="20"/>
          <w:color w:val="auto"/>
        </w:rPr>
      </w:pPr>
    </w:p>
    <w:p>
      <w:pPr>
        <w:ind w:right="140" w:firstLine="524"/>
        <w:spacing w:after="0" w:line="296" w:lineRule="auto"/>
        <w:rPr>
          <w:sz w:val="20"/>
          <w:szCs w:val="20"/>
          <w:color w:val="auto"/>
        </w:rPr>
      </w:pPr>
      <w:r>
        <w:rPr>
          <w:rFonts w:ascii="Arial" w:cs="Arial" w:eastAsia="Arial" w:hAnsi="Arial"/>
          <w:sz w:val="16"/>
          <w:szCs w:val="16"/>
          <w:color w:val="auto"/>
        </w:rPr>
        <w:t>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ordinary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Debt</w:t>
      </w:r>
    </w:p>
    <w:p>
      <w:pPr>
        <w:spacing w:after="0" w:line="117" w:lineRule="exact"/>
        <w:rPr>
          <w:sz w:val="20"/>
          <w:szCs w:val="20"/>
          <w:color w:val="auto"/>
        </w:rPr>
      </w:pPr>
    </w:p>
    <w:p>
      <w:pPr>
        <w:ind w:right="100" w:firstLine="524"/>
        <w:spacing w:after="0" w:line="259" w:lineRule="auto"/>
        <w:rPr>
          <w:sz w:val="20"/>
          <w:szCs w:val="20"/>
          <w:color w:val="auto"/>
        </w:rPr>
      </w:pPr>
      <w:r>
        <w:rPr>
          <w:rFonts w:ascii="Arial" w:cs="Arial" w:eastAsia="Arial" w:hAnsi="Arial"/>
          <w:sz w:val="18"/>
          <w:szCs w:val="18"/>
          <w:color w:val="auto"/>
        </w:rPr>
        <w:t>On January 18, 2022, in connection with the execution of the Business Combination Agreement, the Company entered into the Promissory Notes. Through the Promissory Notes, the holders could fund up to $100,000,000 to support the operational financing needs of the Company prior to the Closing. These notes bore interest at a rate of 3% per annum and were due upon the earliest of either (i) the date on which the Business Combination closed or (ii) January 17, 2023.</w:t>
      </w:r>
    </w:p>
    <w:p>
      <w:pPr>
        <w:spacing w:after="0" w:line="79" w:lineRule="exact"/>
        <w:rPr>
          <w:sz w:val="20"/>
          <w:szCs w:val="20"/>
          <w:color w:val="auto"/>
        </w:rPr>
      </w:pPr>
    </w:p>
    <w:p>
      <w:pPr>
        <w:ind w:right="160" w:firstLine="524"/>
        <w:spacing w:after="0" w:line="311" w:lineRule="auto"/>
        <w:rPr>
          <w:sz w:val="20"/>
          <w:szCs w:val="20"/>
          <w:color w:val="auto"/>
        </w:rPr>
      </w:pPr>
      <w:r>
        <w:rPr>
          <w:rFonts w:ascii="Arial" w:cs="Arial" w:eastAsia="Arial" w:hAnsi="Arial"/>
          <w:sz w:val="16"/>
          <w:szCs w:val="16"/>
          <w:color w:val="auto"/>
        </w:rPr>
        <w:t>During the nine months ended September 30, 2022, the Company borrowed $35,000,000 under the Promissory Notes. During the three and nine months ended September 30, 2022, the Company recognized interest expense of $27,000 and $207,000, respectively related to the Promissory Notes. The amounts due under the Promissory Notes were paid, and the Promissory Notes were effectively terminated, upon Closing as described in Note 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Agreement between ProKidney-KY and Nefro Health</w:t>
      </w:r>
    </w:p>
    <w:p>
      <w:pPr>
        <w:spacing w:after="0" w:line="333" w:lineRule="exact"/>
        <w:rPr>
          <w:sz w:val="20"/>
          <w:szCs w:val="20"/>
          <w:color w:val="auto"/>
        </w:rPr>
      </w:pPr>
    </w:p>
    <w:p>
      <w:pPr>
        <w:jc w:val="both"/>
        <w:ind w:right="340" w:firstLine="524"/>
        <w:spacing w:after="0" w:line="255" w:lineRule="auto"/>
        <w:rPr>
          <w:sz w:val="20"/>
          <w:szCs w:val="20"/>
          <w:color w:val="auto"/>
        </w:rPr>
      </w:pPr>
      <w:r>
        <w:rPr>
          <w:rFonts w:ascii="Arial" w:cs="Arial" w:eastAsia="Arial" w:hAnsi="Arial"/>
          <w:sz w:val="18"/>
          <w:szCs w:val="18"/>
          <w:color w:val="auto"/>
        </w:rPr>
        <w:t>On January 1, 2020, ProKidney-KY (formerly known as inRegen) entered into a consulting services agreement with Nefro Health (“Nefro”), an Irish partnership controlled and majority-owned by Mr. Pablo Legorreta, a director of the Company, ProKidney GP Limited, a private limited company incorporated under the laws of Ireland (“Legacy GP”) and a holder of over 5% of Class 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20"/>
        <w:spacing w:after="0" w:line="269" w:lineRule="auto"/>
        <w:rPr>
          <w:sz w:val="20"/>
          <w:szCs w:val="20"/>
          <w:color w:val="auto"/>
        </w:rPr>
      </w:pPr>
      <w:r>
        <w:rPr>
          <w:rFonts w:ascii="Arial" w:cs="Arial" w:eastAsia="Arial" w:hAnsi="Arial"/>
          <w:sz w:val="17"/>
          <w:szCs w:val="17"/>
          <w:color w:val="auto"/>
        </w:rPr>
        <w:t>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$25,000 and $75,000 for the each of the three and nine month periods ended September 30, 2023 and 2022,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Agreement between ProKidney-US and Nefro Health</w:t>
      </w:r>
    </w:p>
    <w:p>
      <w:pPr>
        <w:spacing w:after="0" w:line="117" w:lineRule="exact"/>
        <w:rPr>
          <w:sz w:val="20"/>
          <w:szCs w:val="20"/>
          <w:color w:val="auto"/>
        </w:rPr>
      </w:pPr>
    </w:p>
    <w:p>
      <w:pPr>
        <w:ind w:right="20" w:firstLine="524"/>
        <w:spacing w:after="0" w:line="268" w:lineRule="auto"/>
        <w:rPr>
          <w:sz w:val="20"/>
          <w:szCs w:val="20"/>
          <w:color w:val="auto"/>
        </w:rPr>
      </w:pPr>
      <w:r>
        <w:rPr>
          <w:rFonts w:ascii="Arial" w:cs="Arial" w:eastAsia="Arial" w:hAnsi="Arial"/>
          <w:sz w:val="17"/>
          <w:szCs w:val="17"/>
          <w:color w:val="auto"/>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$25,000 and $75,000 for each of the three and nine month periods ended September 30, 2023 and 2022,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2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Redeemable Noncontrolling Interest</w:t>
      </w:r>
    </w:p>
    <w:p>
      <w:pPr>
        <w:spacing w:after="0" w:line="121" w:lineRule="exact"/>
        <w:rPr>
          <w:sz w:val="20"/>
          <w:szCs w:val="20"/>
          <w:color w:val="auto"/>
        </w:rPr>
      </w:pPr>
    </w:p>
    <w:p>
      <w:pPr>
        <w:ind w:firstLine="524"/>
        <w:spacing w:after="0" w:line="254" w:lineRule="auto"/>
        <w:rPr>
          <w:sz w:val="20"/>
          <w:szCs w:val="20"/>
          <w:color w:val="auto"/>
        </w:rPr>
      </w:pPr>
      <w:r>
        <w:rPr>
          <w:rFonts w:ascii="Arial" w:cs="Arial" w:eastAsia="Arial" w:hAnsi="Arial"/>
          <w:sz w:val="18"/>
          <w:szCs w:val="18"/>
          <w:color w:val="auto"/>
        </w:rPr>
        <w:t>The Company is subject to the Exchange Agreement with respect to the Post-Combination ProKidney Common Units representing the outstanding 73.8%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spacing w:after="0" w:line="87" w:lineRule="exact"/>
        <w:rPr>
          <w:sz w:val="20"/>
          <w:szCs w:val="20"/>
          <w:color w:val="auto"/>
        </w:rPr>
      </w:pPr>
    </w:p>
    <w:p>
      <w:pPr>
        <w:ind w:firstLine="524"/>
        <w:spacing w:after="0" w:line="254" w:lineRule="auto"/>
        <w:rPr>
          <w:sz w:val="20"/>
          <w:szCs w:val="20"/>
          <w:color w:val="auto"/>
        </w:rPr>
      </w:pPr>
      <w:r>
        <w:rPr>
          <w:rFonts w:ascii="Arial" w:cs="Arial" w:eastAsia="Arial" w:hAnsi="Arial"/>
          <w:sz w:val="18"/>
          <w:szCs w:val="18"/>
          <w:color w:val="auto"/>
        </w:rPr>
        <w:t>The redeemable noncontrolling interest is recognized at the higher of (1) its initial fair value plus accumulated earnings/losses associated with the noncontrolling interest or (2) the redemption value as of the balance sheet date. At September 30, 2023, the redeemable noncontrolling interest was recorded based on its initial fair value plus accumulated losses associated with the noncontrolling interest which was higher than the redemption value as of the balance sheet date.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480" w:firstLine="524"/>
        <w:spacing w:after="0" w:line="263" w:lineRule="auto"/>
        <w:rPr>
          <w:sz w:val="20"/>
          <w:szCs w:val="20"/>
          <w:color w:val="auto"/>
        </w:rPr>
      </w:pPr>
      <w:r>
        <w:rPr>
          <w:rFonts w:ascii="Arial" w:cs="Arial" w:eastAsia="Arial" w:hAnsi="Arial"/>
          <w:sz w:val="18"/>
          <w:szCs w:val="18"/>
          <w:color w:val="auto"/>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 (in thousands):</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loss available to Class A ordinary shareholders</w:t>
      </w:r>
    </w:p>
    <w:p>
      <w:pPr>
        <w:spacing w:after="0" w:line="36" w:lineRule="exact"/>
        <w:rPr>
          <w:sz w:val="20"/>
          <w:szCs w:val="20"/>
          <w:color w:val="auto"/>
        </w:rPr>
      </w:pPr>
    </w:p>
    <w:p>
      <w:pPr>
        <w:ind w:left="360" w:right="380"/>
        <w:spacing w:after="0" w:line="258" w:lineRule="auto"/>
        <w:rPr>
          <w:sz w:val="20"/>
          <w:szCs w:val="20"/>
          <w:color w:val="auto"/>
        </w:rPr>
      </w:pPr>
      <w:r>
        <w:rPr>
          <w:rFonts w:ascii="Arial" w:cs="Arial" w:eastAsia="Arial" w:hAnsi="Arial"/>
          <w:sz w:val="18"/>
          <w:szCs w:val="18"/>
          <w:color w:val="auto"/>
        </w:rPr>
        <w:t>(Increase)/Decrease in ProKidney Corp. accumulated deficit for impact of</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subsidiary equity-based compensation</w:t>
      </w:r>
    </w:p>
    <w:p>
      <w:pPr>
        <w:spacing w:after="0" w:line="22" w:lineRule="exact"/>
        <w:rPr>
          <w:sz w:val="20"/>
          <w:szCs w:val="20"/>
          <w:color w:val="auto"/>
        </w:rPr>
      </w:pPr>
    </w:p>
    <w:p>
      <w:pPr>
        <w:ind w:left="360"/>
        <w:spacing w:after="0" w:line="258" w:lineRule="auto"/>
        <w:rPr>
          <w:sz w:val="20"/>
          <w:szCs w:val="20"/>
          <w:color w:val="auto"/>
        </w:rPr>
      </w:pPr>
      <w:r>
        <w:rPr>
          <w:rFonts w:ascii="Arial" w:cs="Arial" w:eastAsia="Arial" w:hAnsi="Arial"/>
          <w:sz w:val="18"/>
          <w:szCs w:val="18"/>
          <w:color w:val="auto"/>
        </w:rPr>
        <w:t>(Increase)/Decrease in ProKidney Corp. additional paid-in capital for exchange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of Common Units in ProKidney LP for Class A ordinary shares</w:t>
      </w:r>
    </w:p>
    <w:p>
      <w:pPr>
        <w:spacing w:after="0" w:line="33" w:lineRule="exact"/>
        <w:rPr>
          <w:sz w:val="20"/>
          <w:szCs w:val="20"/>
          <w:color w:val="auto"/>
        </w:rPr>
      </w:pPr>
    </w:p>
    <w:p>
      <w:pPr>
        <w:ind w:left="360"/>
        <w:spacing w:after="0" w:line="258" w:lineRule="auto"/>
        <w:rPr>
          <w:sz w:val="20"/>
          <w:szCs w:val="20"/>
          <w:color w:val="auto"/>
        </w:rPr>
      </w:pPr>
      <w:r>
        <w:rPr>
          <w:rFonts w:ascii="Arial" w:cs="Arial" w:eastAsia="Arial" w:hAnsi="Arial"/>
          <w:sz w:val="18"/>
          <w:szCs w:val="18"/>
          <w:color w:val="auto"/>
        </w:rPr>
        <w:t>(Increase)/Decrease in ProKidney Corp. additional paid-in capital for vesting of</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Common Units in ProKidney LP</w:t>
      </w:r>
    </w:p>
    <w:p>
      <w:pPr>
        <w:spacing w:after="0" w:line="22" w:lineRule="exact"/>
        <w:rPr>
          <w:sz w:val="20"/>
          <w:szCs w:val="20"/>
          <w:color w:val="auto"/>
        </w:rPr>
      </w:pPr>
    </w:p>
    <w:p>
      <w:pPr>
        <w:ind w:left="360" w:right="40"/>
        <w:spacing w:after="0" w:line="258" w:lineRule="auto"/>
        <w:rPr>
          <w:sz w:val="20"/>
          <w:szCs w:val="20"/>
          <w:color w:val="auto"/>
        </w:rPr>
      </w:pPr>
      <w:r>
        <w:rPr>
          <w:rFonts w:ascii="Arial" w:cs="Arial" w:eastAsia="Arial" w:hAnsi="Arial"/>
          <w:sz w:val="18"/>
          <w:szCs w:val="18"/>
          <w:color w:val="auto"/>
        </w:rPr>
        <w:t>Change from net loss available to Class A ordinary shareholders and change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ownership interest in ProKidney LP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For the Period from</w:t>
            </w:r>
          </w:p>
        </w:tc>
      </w:tr>
      <w:tr>
        <w:trPr>
          <w:trHeight w:val="216"/>
        </w:trPr>
        <w:tc>
          <w:tcPr>
            <w:tcW w:w="180" w:type="dxa"/>
            <w:vAlign w:val="bottom"/>
          </w:tcPr>
          <w:p>
            <w:pPr>
              <w:spacing w:after="0"/>
              <w:rPr>
                <w:sz w:val="18"/>
                <w:szCs w:val="18"/>
                <w:color w:val="auto"/>
              </w:rPr>
            </w:pPr>
          </w:p>
        </w:tc>
        <w:tc>
          <w:tcPr>
            <w:tcW w:w="172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3"/>
              </w:rPr>
              <w:t>For the Three</w:t>
            </w:r>
          </w:p>
        </w:tc>
        <w:tc>
          <w:tcPr>
            <w:tcW w:w="186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Nine Months</w:t>
            </w:r>
          </w:p>
        </w:tc>
        <w:tc>
          <w:tcPr>
            <w:tcW w:w="200" w:type="dxa"/>
            <w:vAlign w:val="bottom"/>
          </w:tcPr>
          <w:p>
            <w:pPr>
              <w:spacing w:after="0"/>
              <w:rPr>
                <w:sz w:val="18"/>
                <w:szCs w:val="18"/>
                <w:color w:val="auto"/>
              </w:rPr>
            </w:pPr>
          </w:p>
        </w:tc>
        <w:tc>
          <w:tcPr>
            <w:tcW w:w="14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5"/>
              </w:rPr>
              <w:t>July 11, 2022</w:t>
            </w:r>
          </w:p>
        </w:tc>
      </w:tr>
      <w:tr>
        <w:trPr>
          <w:trHeight w:val="216"/>
        </w:trPr>
        <w:tc>
          <w:tcPr>
            <w:tcW w:w="180" w:type="dxa"/>
            <w:vAlign w:val="bottom"/>
          </w:tcPr>
          <w:p>
            <w:pPr>
              <w:spacing w:after="0"/>
              <w:rPr>
                <w:sz w:val="18"/>
                <w:szCs w:val="18"/>
                <w:color w:val="auto"/>
              </w:rPr>
            </w:pPr>
          </w:p>
        </w:tc>
        <w:tc>
          <w:tcPr>
            <w:tcW w:w="172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1"/>
              </w:rPr>
              <w:t>Months Ended</w:t>
            </w:r>
          </w:p>
        </w:tc>
        <w:tc>
          <w:tcPr>
            <w:tcW w:w="100" w:type="dxa"/>
            <w:vAlign w:val="bottom"/>
          </w:tcPr>
          <w:p>
            <w:pPr>
              <w:spacing w:after="0"/>
              <w:rPr>
                <w:sz w:val="18"/>
                <w:szCs w:val="18"/>
                <w:color w:val="auto"/>
              </w:rPr>
            </w:pPr>
          </w:p>
        </w:tc>
        <w:tc>
          <w:tcPr>
            <w:tcW w:w="176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w w:val="88"/>
              </w:rPr>
              <w:t>Ended September</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through September</w:t>
            </w:r>
          </w:p>
        </w:tc>
      </w:tr>
      <w:tr>
        <w:trPr>
          <w:trHeight w:val="241"/>
        </w:trPr>
        <w:tc>
          <w:tcPr>
            <w:tcW w:w="19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9"/>
              </w:rPr>
              <w:t>September 30, 2023</w:t>
            </w:r>
          </w:p>
        </w:tc>
        <w:tc>
          <w:tcPr>
            <w:tcW w:w="100" w:type="dxa"/>
            <w:vAlign w:val="bottom"/>
          </w:tcPr>
          <w:p>
            <w:pPr>
              <w:spacing w:after="0"/>
              <w:rPr>
                <w:sz w:val="20"/>
                <w:szCs w:val="20"/>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30, 2023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30, 2022</w:t>
            </w:r>
          </w:p>
        </w:tc>
        <w:tc>
          <w:tcPr>
            <w:tcW w:w="80" w:type="dxa"/>
            <w:vAlign w:val="bottom"/>
          </w:tcPr>
          <w:p>
            <w:pPr>
              <w:spacing w:after="0"/>
              <w:rPr>
                <w:sz w:val="20"/>
                <w:szCs w:val="20"/>
                <w:color w:val="auto"/>
              </w:rPr>
            </w:pPr>
          </w:p>
        </w:tc>
      </w:tr>
      <w:tr>
        <w:trPr>
          <w:trHeight w:val="230"/>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(10,984</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(7,913</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674"/>
        </w:trPr>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7,848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2,908</w:t>
            </w:r>
          </w:p>
        </w:tc>
        <w:tc>
          <w:tcPr>
            <w:tcW w:w="80" w:type="dxa"/>
            <w:vAlign w:val="bottom"/>
          </w:tcPr>
          <w:p>
            <w:pPr>
              <w:spacing w:after="0"/>
              <w:rPr>
                <w:sz w:val="24"/>
                <w:szCs w:val="24"/>
                <w:color w:val="auto"/>
              </w:rPr>
            </w:pPr>
          </w:p>
        </w:tc>
      </w:tr>
      <w:tr>
        <w:trPr>
          <w:trHeight w:val="675"/>
        </w:trPr>
        <w:tc>
          <w:tcPr>
            <w:tcW w:w="180" w:type="dxa"/>
            <w:vAlign w:val="bottom"/>
          </w:tcPr>
          <w:p>
            <w:pPr>
              <w:spacing w:after="0"/>
              <w:rPr>
                <w:sz w:val="24"/>
                <w:szCs w:val="24"/>
                <w:color w:val="auto"/>
              </w:rPr>
            </w:pP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24"/>
                <w:szCs w:val="24"/>
                <w:color w:val="auto"/>
              </w:rPr>
            </w:pPr>
          </w:p>
        </w:tc>
        <w:tc>
          <w:tcPr>
            <w:tcW w:w="1760" w:type="dxa"/>
            <w:vAlign w:val="bottom"/>
            <w:gridSpan w:val="2"/>
          </w:tcPr>
          <w:p>
            <w:pPr>
              <w:jc w:val="right"/>
              <w:ind w:right="81"/>
              <w:spacing w:after="0"/>
              <w:rPr>
                <w:sz w:val="20"/>
                <w:szCs w:val="20"/>
                <w:color w:val="auto"/>
              </w:rPr>
            </w:pPr>
            <w:r>
              <w:rPr>
                <w:rFonts w:ascii="Arial" w:cs="Arial" w:eastAsia="Arial" w:hAnsi="Arial"/>
                <w:sz w:val="18"/>
                <w:szCs w:val="18"/>
                <w:color w:val="auto"/>
              </w:rPr>
              <w:t>(64 )</w:t>
            </w:r>
          </w:p>
        </w:tc>
        <w:tc>
          <w:tcPr>
            <w:tcW w:w="20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68"/>
        </w:trPr>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81"/>
              <w:spacing w:after="0"/>
              <w:rPr>
                <w:sz w:val="20"/>
                <w:szCs w:val="20"/>
                <w:color w:val="auto"/>
              </w:rPr>
            </w:pPr>
            <w:r>
              <w:rPr>
                <w:rFonts w:ascii="Arial" w:cs="Arial" w:eastAsia="Arial" w:hAnsi="Arial"/>
                <w:sz w:val="18"/>
                <w:szCs w:val="18"/>
                <w:color w:val="auto"/>
              </w:rPr>
              <w:t>(4,457 )</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(8,398 )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81"/>
              <w:spacing w:after="0"/>
              <w:rPr>
                <w:sz w:val="20"/>
                <w:szCs w:val="20"/>
                <w:color w:val="auto"/>
              </w:rPr>
            </w:pPr>
            <w:r>
              <w:rPr>
                <w:rFonts w:ascii="Arial" w:cs="Arial" w:eastAsia="Arial" w:hAnsi="Arial"/>
                <w:sz w:val="18"/>
                <w:szCs w:val="18"/>
                <w:color w:val="auto"/>
              </w:rPr>
              <w:t>(26,440 )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(4,829 )</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-1868170</wp:posOffset>
            </wp:positionV>
            <wp:extent cx="670369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03695" cy="15430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-1285240</wp:posOffset>
            </wp:positionV>
            <wp:extent cx="6703695" cy="4286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03695" cy="42862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-427990</wp:posOffset>
            </wp:positionV>
            <wp:extent cx="6703695" cy="428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03695"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100"/>
            <w:col w:w="5800"/>
          </w:cols>
          <w:pgMar w:left="320" w:top="449" w:right="339" w:bottom="1440" w:gutter="0" w:footer="0" w:header="0"/>
          <w:type w:val="continuous"/>
        </w:sectPr>
      </w:pPr>
    </w:p>
    <w:p>
      <w:pPr>
        <w:spacing w:after="0" w:line="32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Net Loss per Share</w:t>
      </w:r>
    </w:p>
    <w:p>
      <w:pPr>
        <w:spacing w:after="0" w:line="121" w:lineRule="exact"/>
        <w:rPr>
          <w:sz w:val="20"/>
          <w:szCs w:val="20"/>
          <w:color w:val="auto"/>
        </w:rPr>
      </w:pPr>
    </w:p>
    <w:p>
      <w:pPr>
        <w:ind w:right="80" w:firstLine="524"/>
        <w:spacing w:after="0" w:line="259" w:lineRule="auto"/>
        <w:rPr>
          <w:sz w:val="20"/>
          <w:szCs w:val="20"/>
          <w:color w:val="auto"/>
        </w:rPr>
      </w:pPr>
      <w:r>
        <w:rPr>
          <w:rFonts w:ascii="Arial" w:cs="Arial" w:eastAsia="Arial" w:hAnsi="Arial"/>
          <w:sz w:val="18"/>
          <w:szCs w:val="18"/>
          <w:color w:val="auto"/>
        </w:rPr>
        <w:t>Basic net loss per share is calculated by dividing net loss attributable to Class A ordinary shareholders by the weighted-average shares of Class A ordinary shares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spacing w:after="0" w:line="79" w:lineRule="exact"/>
        <w:rPr>
          <w:sz w:val="20"/>
          <w:szCs w:val="20"/>
          <w:color w:val="auto"/>
        </w:rPr>
      </w:pPr>
    </w:p>
    <w:p>
      <w:pPr>
        <w:ind w:firstLine="524"/>
        <w:spacing w:after="0" w:line="285" w:lineRule="auto"/>
        <w:rPr>
          <w:sz w:val="20"/>
          <w:szCs w:val="20"/>
          <w:color w:val="auto"/>
        </w:rPr>
      </w:pPr>
      <w:r>
        <w:rPr>
          <w:rFonts w:ascii="Arial" w:cs="Arial" w:eastAsia="Arial" w:hAnsi="Arial"/>
          <w:sz w:val="16"/>
          <w:szCs w:val="16"/>
          <w:color w:val="auto"/>
        </w:rPr>
        <w:t>The Company analyzed the calculation of net loss per share for periods prior to the Business Combination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The basic and diluted net loss per share attributable to Class A ordinary shareholders for the three and nine months ended September 30, 2022, as presented on the unaudited consolidated statements of operations, represents only the period after the Business Combination to September 30, 2022.</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1" w:name="page22"/>
    <w:bookmarkEnd w:id="21"/>
    <w:p>
      <w:pPr>
        <w:ind w:right="180" w:firstLine="5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for the three and nine months ended September 30, 2023 and the period from July 11, 2022 through September 30, 2022 (in thousands, except share and per share amounts):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Three Months</w:t>
            </w:r>
          </w:p>
        </w:tc>
        <w:tc>
          <w:tcPr>
            <w:tcW w:w="120" w:type="dxa"/>
            <w:vAlign w:val="bottom"/>
          </w:tcPr>
          <w:p>
            <w:pPr>
              <w:spacing w:after="0"/>
              <w:rPr>
                <w:sz w:val="18"/>
                <w:szCs w:val="18"/>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8"/>
              </w:rPr>
              <w:t>Period from July</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Ended September</w:t>
            </w:r>
          </w:p>
        </w:tc>
        <w:tc>
          <w:tcPr>
            <w:tcW w:w="120" w:type="dxa"/>
            <w:vAlign w:val="bottom"/>
          </w:tcPr>
          <w:p>
            <w:pPr>
              <w:spacing w:after="0"/>
              <w:rPr>
                <w:sz w:val="18"/>
                <w:szCs w:val="18"/>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7"/>
              </w:rPr>
              <w:t>11, 2022 through</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30,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(41,991 )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(113,723 )</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(29,930 )</w:t>
            </w: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(31,007 )</w:t>
            </w:r>
          </w:p>
        </w:tc>
        <w:tc>
          <w:tcPr>
            <w:tcW w:w="12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(83,956 )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(22,017 )</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8"/>
                <w:szCs w:val="18"/>
                <w:color w:val="auto"/>
              </w:rPr>
              <w:t>Net loss available to Class A ordinary shareholders of ProKidney Corp.,</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(10,984 )</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(29,767 )</w:t>
            </w: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(7,913 )</w:t>
            </w:r>
          </w:p>
        </w:tc>
        <w:tc>
          <w:tcPr>
            <w:tcW w:w="0" w:type="dxa"/>
            <w:vAlign w:val="bottom"/>
          </w:tcPr>
          <w:p>
            <w:pPr>
              <w:spacing w:after="0"/>
              <w:rPr>
                <w:sz w:val="1"/>
                <w:szCs w:val="1"/>
                <w:color w:val="auto"/>
              </w:rPr>
            </w:pPr>
          </w:p>
        </w:tc>
      </w:tr>
      <w:tr>
        <w:trPr>
          <w:trHeight w:val="230"/>
        </w:trPr>
        <w:tc>
          <w:tcPr>
            <w:tcW w:w="59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80" w:type="dxa"/>
            <w:vAlign w:val="bottom"/>
            <w:vMerge w:val="continue"/>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380" w:type="dxa"/>
            <w:vAlign w:val="bottom"/>
            <w:gridSpan w:val="4"/>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8"/>
                <w:szCs w:val="18"/>
                <w:color w:val="auto"/>
                <w:w w:val="97"/>
              </w:rPr>
              <w:t>Weighted average Class A ordinary shares or ProKidney Corp. outstanding,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61,592,876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61,565,298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61,540,231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 per Class A Unit</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00" w:type="dxa"/>
            <w:vAlign w:val="bottom"/>
          </w:tcPr>
          <w:p>
            <w:pPr>
              <w:ind w:left="200"/>
              <w:spacing w:after="0"/>
              <w:rPr>
                <w:sz w:val="20"/>
                <w:szCs w:val="20"/>
                <w:color w:val="auto"/>
              </w:rPr>
            </w:pPr>
            <w:r>
              <w:rPr>
                <w:rFonts w:ascii="Arial" w:cs="Arial" w:eastAsia="Arial" w:hAnsi="Arial"/>
                <w:sz w:val="18"/>
                <w:szCs w:val="18"/>
                <w:color w:val="auto"/>
                <w:w w:val="97"/>
              </w:rPr>
              <w:t>Net loss per Class A ordinary share of ProKidney Corp., 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(0.18 )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(0.48 )</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(0.13 )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20" w:type="dxa"/>
            <w:vAlign w:val="bottom"/>
            <w:gridSpan w:val="10"/>
          </w:tcPr>
          <w:p>
            <w:pPr>
              <w:ind w:left="200"/>
              <w:spacing w:after="0"/>
              <w:rPr>
                <w:sz w:val="20"/>
                <w:szCs w:val="20"/>
                <w:color w:val="auto"/>
              </w:rPr>
            </w:pPr>
            <w:r>
              <w:rPr>
                <w:rFonts w:ascii="Arial" w:cs="Arial" w:eastAsia="Arial" w:hAnsi="Arial"/>
                <w:sz w:val="18"/>
                <w:szCs w:val="18"/>
                <w:color w:val="auto"/>
                <w:w w:val="98"/>
              </w:rPr>
              <w:t>Outstanding anti-dilutive securities not included in the diluted net loss per share calculation include the following: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Period from July 11,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2022 through</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2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w w:val="92"/>
              </w:rPr>
              <w:t>As of September 30,</w:t>
            </w:r>
          </w:p>
        </w:tc>
        <w:tc>
          <w:tcPr>
            <w:tcW w:w="15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Antidilutive securities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0"/>
              <w:spacing w:after="0"/>
              <w:rPr>
                <w:sz w:val="20"/>
                <w:szCs w:val="20"/>
                <w:color w:val="auto"/>
              </w:rPr>
            </w:pPr>
            <w:r>
              <w:rPr>
                <w:rFonts w:ascii="Arial" w:cs="Arial" w:eastAsia="Arial" w:hAnsi="Arial"/>
                <w:sz w:val="18"/>
                <w:szCs w:val="18"/>
                <w:color w:val="auto"/>
              </w:rPr>
              <w:t>ProKidney Corp. Class B ordinary shares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173,839,330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171,210,060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Unvested Restricted Stock Rights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5,644,596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8,766,071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0"/>
              <w:spacing w:after="0"/>
              <w:rPr>
                <w:sz w:val="20"/>
                <w:szCs w:val="20"/>
                <w:color w:val="auto"/>
              </w:rPr>
            </w:pPr>
            <w:r>
              <w:rPr>
                <w:rFonts w:ascii="Arial" w:cs="Arial" w:eastAsia="Arial" w:hAnsi="Arial"/>
                <w:sz w:val="18"/>
                <w:szCs w:val="18"/>
                <w:color w:val="auto"/>
              </w:rPr>
              <w:t>Earnout Rights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17,500,000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Legacy SCS Restricted Share Units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0"/>
              <w:spacing w:after="0"/>
              <w:rPr>
                <w:sz w:val="20"/>
                <w:szCs w:val="20"/>
                <w:color w:val="auto"/>
              </w:rPr>
            </w:pPr>
            <w:r>
              <w:rPr>
                <w:rFonts w:ascii="Arial" w:cs="Arial" w:eastAsia="Arial" w:hAnsi="Arial"/>
                <w:sz w:val="18"/>
                <w:szCs w:val="18"/>
                <w:color w:val="auto"/>
              </w:rPr>
              <w:t>Stock options granted under the 2022 Equity Incentive Plan</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17,356,148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-3317240</wp:posOffset>
            </wp:positionV>
            <wp:extent cx="68580" cy="4546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-3317240</wp:posOffset>
            </wp:positionV>
            <wp:extent cx="68580" cy="4546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-3317240</wp:posOffset>
            </wp:positionV>
            <wp:extent cx="59690" cy="4546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45466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-2108835</wp:posOffset>
            </wp:positionV>
            <wp:extent cx="6858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-2108835</wp:posOffset>
            </wp:positionV>
            <wp:extent cx="6858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-2108835</wp:posOffset>
            </wp:positionV>
            <wp:extent cx="5969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Equity Based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Incentive Equity Plan</w:t>
      </w:r>
    </w:p>
    <w:p>
      <w:pPr>
        <w:spacing w:after="0" w:line="117" w:lineRule="exact"/>
        <w:rPr>
          <w:sz w:val="20"/>
          <w:szCs w:val="20"/>
          <w:color w:val="auto"/>
        </w:rPr>
      </w:pPr>
    </w:p>
    <w:p>
      <w:pPr>
        <w:ind w:firstLine="524"/>
        <w:spacing w:after="0" w:line="254" w:lineRule="auto"/>
        <w:rPr>
          <w:sz w:val="20"/>
          <w:szCs w:val="20"/>
          <w:color w:val="auto"/>
        </w:rPr>
      </w:pPr>
      <w:r>
        <w:rPr>
          <w:rFonts w:ascii="Arial" w:cs="Arial" w:eastAsia="Arial" w:hAnsi="Arial"/>
          <w:sz w:val="18"/>
          <w:szCs w:val="18"/>
          <w:color w:val="auto"/>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As of September 30, 2023, there were 35,809,951 Class A ordinary shares reserved for issuance.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spacing w:after="0" w:line="87" w:lineRule="exact"/>
        <w:rPr>
          <w:sz w:val="20"/>
          <w:szCs w:val="20"/>
          <w:color w:val="auto"/>
        </w:rPr>
      </w:pPr>
    </w:p>
    <w:p>
      <w:pPr>
        <w:ind w:right="100" w:firstLine="524"/>
        <w:spacing w:after="0" w:line="255" w:lineRule="auto"/>
        <w:rPr>
          <w:sz w:val="20"/>
          <w:szCs w:val="20"/>
          <w:color w:val="auto"/>
        </w:rPr>
      </w:pPr>
      <w:r>
        <w:rPr>
          <w:rFonts w:ascii="Arial" w:cs="Arial" w:eastAsia="Arial" w:hAnsi="Arial"/>
          <w:sz w:val="18"/>
          <w:szCs w:val="18"/>
          <w:color w:val="auto"/>
        </w:rPr>
        <w:t>The Company has issued incentive and non-qualified stock option awards under the 2022 Plan to certain employees and non-employee directors of the Company. Given that the Company has established a full valuation allowance against its deferred tax assets, the Company has recognized no tax benefit related to these awards.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Time-Vested Awards</w:t>
      </w:r>
    </w:p>
    <w:p>
      <w:pPr>
        <w:spacing w:after="0" w:line="117" w:lineRule="exact"/>
        <w:rPr>
          <w:sz w:val="20"/>
          <w:szCs w:val="20"/>
          <w:color w:val="auto"/>
        </w:rPr>
      </w:pPr>
    </w:p>
    <w:p>
      <w:pPr>
        <w:ind w:right="60" w:firstLine="524"/>
        <w:spacing w:after="0" w:line="263" w:lineRule="auto"/>
        <w:rPr>
          <w:sz w:val="20"/>
          <w:szCs w:val="20"/>
          <w:color w:val="auto"/>
        </w:rPr>
      </w:pPr>
      <w:r>
        <w:rPr>
          <w:rFonts w:ascii="Arial" w:cs="Arial" w:eastAsia="Arial" w:hAnsi="Arial"/>
          <w:sz w:val="18"/>
          <w:szCs w:val="18"/>
          <w:color w:val="auto"/>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nine months ended September 30, 2023:</w:t>
      </w:r>
    </w:p>
    <w:p>
      <w:pPr>
        <w:spacing w:after="0" w:line="193"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For the Nine Months Ended September 30, 2023</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5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- 84.0%</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Expected life of options, in years</w:t>
            </w:r>
          </w:p>
        </w:tc>
        <w:tc>
          <w:tcPr>
            <w:tcW w:w="1940" w:type="dxa"/>
            <w:vAlign w:val="bottom"/>
          </w:tcPr>
          <w:p>
            <w:pPr>
              <w:jc w:val="right"/>
              <w:spacing w:after="0"/>
              <w:rPr>
                <w:sz w:val="20"/>
                <w:szCs w:val="20"/>
                <w:color w:val="auto"/>
              </w:rPr>
            </w:pPr>
            <w:r>
              <w:rPr>
                <w:rFonts w:ascii="Arial" w:cs="Arial" w:eastAsia="Arial" w:hAnsi="Arial"/>
                <w:sz w:val="18"/>
                <w:szCs w:val="18"/>
                <w:color w:val="auto"/>
              </w:rPr>
              <w:t>5.2</w:t>
            </w:r>
          </w:p>
        </w:tc>
        <w:tc>
          <w:tcPr>
            <w:tcW w:w="2020" w:type="dxa"/>
            <w:vAlign w:val="bottom"/>
          </w:tcPr>
          <w:p>
            <w:pPr>
              <w:ind w:left="20"/>
              <w:spacing w:after="0"/>
              <w:rPr>
                <w:sz w:val="20"/>
                <w:szCs w:val="20"/>
                <w:color w:val="auto"/>
              </w:rPr>
            </w:pPr>
            <w:r>
              <w:rPr>
                <w:rFonts w:ascii="Arial" w:cs="Arial" w:eastAsia="Arial" w:hAnsi="Arial"/>
                <w:sz w:val="18"/>
                <w:szCs w:val="18"/>
                <w:color w:val="auto"/>
              </w:rPr>
              <w:t>- 6.1</w:t>
            </w: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- 4.3%</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960" w:type="dxa"/>
            <w:vAlign w:val="bottom"/>
            <w:gridSpan w:val="2"/>
          </w:tcPr>
          <w:p>
            <w:pPr>
              <w:jc w:val="right"/>
              <w:ind w:right="1690"/>
              <w:spacing w:after="0"/>
              <w:rPr>
                <w:sz w:val="20"/>
                <w:szCs w:val="20"/>
                <w:color w:val="auto"/>
              </w:rPr>
            </w:pPr>
            <w:r>
              <w:rPr>
                <w:rFonts w:ascii="Arial" w:cs="Arial" w:eastAsia="Arial" w:hAnsi="Arial"/>
                <w:sz w:val="18"/>
                <w:szCs w:val="18"/>
                <w:color w:val="auto"/>
              </w:rPr>
              <w:t>0.0%</w:t>
            </w:r>
          </w:p>
        </w:tc>
      </w:tr>
    </w:tbl>
    <w:p>
      <w:pPr>
        <w:spacing w:after="0" w:line="106" w:lineRule="exact"/>
        <w:rPr>
          <w:sz w:val="20"/>
          <w:szCs w:val="20"/>
          <w:color w:val="auto"/>
        </w:rPr>
      </w:pPr>
    </w:p>
    <w:p>
      <w:pPr>
        <w:ind w:firstLine="524"/>
        <w:spacing w:after="0" w:line="277" w:lineRule="auto"/>
        <w:rPr>
          <w:sz w:val="20"/>
          <w:szCs w:val="20"/>
          <w:color w:val="auto"/>
        </w:rPr>
      </w:pPr>
      <w:r>
        <w:rPr>
          <w:rFonts w:ascii="Arial" w:cs="Arial" w:eastAsia="Arial" w:hAnsi="Arial"/>
          <w:sz w:val="18"/>
          <w:szCs w:val="18"/>
          <w:color w:val="auto"/>
        </w:rPr>
        <w:t>The following table summarizes the activity related to the Company’s time-vested stock option awards granted under the 2022 Plan for the nine months ended September 30, 2023:</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r>
      <w:tr>
        <w:trPr>
          <w:trHeight w:val="241"/>
        </w:trPr>
        <w:tc>
          <w:tcPr>
            <w:tcW w:w="7220" w:type="dxa"/>
            <w:vAlign w:val="bottom"/>
          </w:tcPr>
          <w:p>
            <w:pPr>
              <w:spacing w:after="0"/>
              <w:rPr>
                <w:sz w:val="20"/>
                <w:szCs w:val="20"/>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Number of Shares</w:t>
            </w:r>
          </w:p>
        </w:tc>
        <w:tc>
          <w:tcPr>
            <w:tcW w:w="1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Exercise Price</w:t>
            </w: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Time-vested options outstanding at January 1, 2023</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5,865,108</w:t>
            </w: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FF0FC"/>
          </w:tcPr>
          <w:p>
            <w:pPr>
              <w:spacing w:after="0"/>
              <w:rPr>
                <w:sz w:val="21"/>
                <w:szCs w:val="21"/>
                <w:color w:val="auto"/>
              </w:rPr>
            </w:pPr>
          </w:p>
        </w:tc>
      </w:tr>
      <w:tr>
        <w:trPr>
          <w:trHeight w:val="237"/>
        </w:trPr>
        <w:tc>
          <w:tcPr>
            <w:tcW w:w="7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8,234,543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(383,110 )</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FF0FC"/>
          </w:tcPr>
          <w:p>
            <w:pPr>
              <w:spacing w:after="0"/>
              <w:rPr>
                <w:sz w:val="21"/>
                <w:szCs w:val="21"/>
                <w:color w:val="auto"/>
              </w:rPr>
            </w:pPr>
          </w:p>
        </w:tc>
      </w:tr>
      <w:tr>
        <w:trPr>
          <w:trHeight w:val="236"/>
        </w:trPr>
        <w:tc>
          <w:tcPr>
            <w:tcW w:w="7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Time-vested options outstanding at September 30, 2023</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13,716,541</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top w:val="single" w:sz="8" w:color="CFF0FC"/>
            </w:tcBorders>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Time-vested options exercisable at September 30, 2023</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1,919,253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FF0FC"/>
          </w:tcPr>
          <w:p>
            <w:pPr>
              <w:spacing w:after="0"/>
              <w:rPr>
                <w:sz w:val="19"/>
                <w:szCs w:val="19"/>
                <w:color w:val="auto"/>
              </w:rPr>
            </w:pPr>
          </w:p>
        </w:tc>
      </w:tr>
      <w:tr>
        <w:trPr>
          <w:trHeight w:val="237"/>
        </w:trPr>
        <w:tc>
          <w:tcPr>
            <w:tcW w:w="7220" w:type="dxa"/>
            <w:vAlign w:val="bottom"/>
          </w:tcPr>
          <w:p>
            <w:pPr>
              <w:ind w:left="100"/>
              <w:spacing w:after="0"/>
              <w:rPr>
                <w:sz w:val="20"/>
                <w:szCs w:val="20"/>
                <w:color w:val="auto"/>
              </w:rPr>
            </w:pPr>
            <w:r>
              <w:rPr>
                <w:rFonts w:ascii="Arial" w:cs="Arial" w:eastAsia="Arial" w:hAnsi="Arial"/>
                <w:sz w:val="18"/>
                <w:szCs w:val="18"/>
                <w:color w:val="auto"/>
              </w:rPr>
              <w:t>Weighted average remaining contractual life</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8.9 years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Time-vested options vested and expected to vest at September 30, 2023</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13,716,541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FF0FC"/>
          </w:tcPr>
          <w:p>
            <w:pPr>
              <w:spacing w:after="0"/>
              <w:rPr>
                <w:sz w:val="21"/>
                <w:szCs w:val="21"/>
                <w:color w:val="auto"/>
              </w:rPr>
            </w:pPr>
          </w:p>
        </w:tc>
      </w:tr>
      <w:tr>
        <w:trPr>
          <w:trHeight w:val="230"/>
        </w:trPr>
        <w:tc>
          <w:tcPr>
            <w:tcW w:w="7220" w:type="dxa"/>
            <w:vAlign w:val="bottom"/>
          </w:tcPr>
          <w:p>
            <w:pPr>
              <w:ind w:left="100"/>
              <w:spacing w:after="0"/>
              <w:rPr>
                <w:sz w:val="20"/>
                <w:szCs w:val="20"/>
                <w:color w:val="auto"/>
              </w:rPr>
            </w:pPr>
            <w:r>
              <w:rPr>
                <w:rFonts w:ascii="Arial" w:cs="Arial" w:eastAsia="Arial" w:hAnsi="Arial"/>
                <w:sz w:val="18"/>
                <w:szCs w:val="18"/>
                <w:color w:val="auto"/>
              </w:rPr>
              <w:t>Weighted average remaining contractual life</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8.9 years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-796925</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-796925</wp:posOffset>
            </wp:positionV>
            <wp:extent cx="5969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86"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For the three and nine months ended September 30, 2023, the Company recognized $6,608,000 and $15,276,000 of compensation expense related to time-vested awards under the 2022 Plan, respectively. These amounts are exclusive of the expense related to the modification of awards as discussed below. As of September 30, 2023, the Company had total unrecognized stock-based compensation expense of approximately $77,305,000 related to the time-vested grants under the 2022 Plan, which is expected to be recognized on a straight-line basis over a weighted average period of 3.2 years. The weighted average grant date fair value for the option grants during the three and nine months ended September 30, 2023 was $8.61 and $7.11, respectively.</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intrinsic value of the in-the-money time-vested awards outstanding as well as those exercisable as of September 30, 2023 was $0.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Market-Vested Awards</w:t>
      </w:r>
    </w:p>
    <w:p>
      <w:pPr>
        <w:spacing w:after="0" w:line="117" w:lineRule="exact"/>
        <w:rPr>
          <w:sz w:val="20"/>
          <w:szCs w:val="20"/>
          <w:color w:val="auto"/>
        </w:rPr>
      </w:pPr>
    </w:p>
    <w:p>
      <w:pPr>
        <w:ind w:right="260" w:firstLine="509"/>
        <w:spacing w:after="0" w:line="254" w:lineRule="auto"/>
        <w:rPr>
          <w:sz w:val="20"/>
          <w:szCs w:val="20"/>
          <w:color w:val="auto"/>
        </w:rPr>
      </w:pPr>
      <w:r>
        <w:rPr>
          <w:rFonts w:ascii="Arial" w:cs="Arial" w:eastAsia="Arial" w:hAnsi="Arial"/>
          <w:sz w:val="18"/>
          <w:szCs w:val="18"/>
          <w:color w:val="auto"/>
        </w:rPr>
        <w:t>The Company also has outstanding 3,639,607 market-vested options with an exercise price of $10.33 as of September 30, 2023. These awards contain both time and market based vesting conditions. The market conditions become satisfied in equal one-third tranches upon the Company's Class A ordinary shares exceeding a volume weighted average price hurdle of $15.00, $20.00 and $25.00, respectively, for 20 trading days within any 30 consecutive trading day period occurring prior to July 11, 2027. Once the market condition for a tranche is satisfied, such tranche will continue to be subject to time-vesting conditions and will vest ratably on each of the first, second and third anniversaries of the date that such tranche satisfied the performance vesting condition described above. Due to the market condition included in this grant, the Company used the Geometric Brownian Motion/Monte Carlo model to value these awards.</w:t>
      </w:r>
    </w:p>
    <w:p>
      <w:pPr>
        <w:spacing w:after="0" w:line="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For the three and nine months ended September 30, 2023, the Company recognized $2,825,000 and $8,383,000 of compensation expense related to market-vested awards under the 2022 Plan, respectively. As of September 30, 2023, the Company had total unrecognized stock-based compensation expense of approximately $17,604,000 related to the market-vested awards outstanding under the 2022 Plan. There were no market-vested awards granted during the three and nine months ended September 30, 2023 and 2022.</w:t>
      </w:r>
    </w:p>
    <w:p>
      <w:pPr>
        <w:spacing w:after="0" w:line="79"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aggregate intrinsic value of the in-the-money market based awards outstanding as of September 30, 2023 was $0. There were no market based awards vested at September 30,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Profits Interests</w:t>
      </w:r>
    </w:p>
    <w:p>
      <w:pPr>
        <w:spacing w:after="0" w:line="117" w:lineRule="exact"/>
        <w:rPr>
          <w:sz w:val="20"/>
          <w:szCs w:val="20"/>
          <w:color w:val="auto"/>
        </w:rPr>
      </w:pPr>
    </w:p>
    <w:p>
      <w:pPr>
        <w:ind w:right="580" w:firstLine="524"/>
        <w:spacing w:after="0" w:line="258" w:lineRule="auto"/>
        <w:rPr>
          <w:sz w:val="20"/>
          <w:szCs w:val="20"/>
          <w:color w:val="auto"/>
        </w:rPr>
      </w:pPr>
      <w:r>
        <w:rPr>
          <w:rFonts w:ascii="Arial" w:cs="Arial" w:eastAsia="Arial" w:hAnsi="Arial"/>
          <w:sz w:val="18"/>
          <w:szCs w:val="18"/>
          <w:color w:val="auto"/>
        </w:rPr>
        <w:t>The Deed for the Establishment of a Limited Partnership of PKLP, dated as of August 5, 2021 (the “Limited Partnership Agreement”) which replaced the Amended and Restated Limited Liability Company Agreement of ProKidney LLC as the governing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line="263" w:lineRule="auto"/>
        <w:rPr>
          <w:sz w:val="20"/>
          <w:szCs w:val="20"/>
          <w:color w:val="auto"/>
        </w:rPr>
      </w:pPr>
      <w:r>
        <w:rPr>
          <w:rFonts w:ascii="Arial" w:cs="Arial" w:eastAsia="Arial" w:hAnsi="Arial"/>
          <w:sz w:val="18"/>
          <w:szCs w:val="18"/>
          <w:color w:val="auto"/>
        </w:rPr>
        <w:t>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spacing w:after="0" w:line="76" w:lineRule="exact"/>
        <w:rPr>
          <w:sz w:val="20"/>
          <w:szCs w:val="20"/>
          <w:color w:val="auto"/>
        </w:rPr>
      </w:pPr>
    </w:p>
    <w:p>
      <w:pPr>
        <w:ind w:right="140" w:firstLine="524"/>
        <w:spacing w:after="0" w:line="255" w:lineRule="auto"/>
        <w:rPr>
          <w:sz w:val="20"/>
          <w:szCs w:val="20"/>
          <w:color w:val="auto"/>
        </w:rPr>
      </w:pPr>
      <w:r>
        <w:rPr>
          <w:rFonts w:ascii="Arial" w:cs="Arial" w:eastAsia="Arial" w:hAnsi="Arial"/>
          <w:sz w:val="18"/>
          <w:szCs w:val="18"/>
          <w:color w:val="auto"/>
        </w:rPr>
        <w:t>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spacing w:after="0" w:line="84" w:lineRule="exact"/>
        <w:rPr>
          <w:sz w:val="20"/>
          <w:szCs w:val="20"/>
          <w:color w:val="auto"/>
        </w:rPr>
      </w:pPr>
    </w:p>
    <w:p>
      <w:pPr>
        <w:ind w:right="200" w:firstLine="524"/>
        <w:spacing w:after="0" w:line="296" w:lineRule="auto"/>
        <w:rPr>
          <w:sz w:val="20"/>
          <w:szCs w:val="20"/>
          <w:color w:val="auto"/>
        </w:rPr>
      </w:pPr>
      <w:r>
        <w:rPr>
          <w:rFonts w:ascii="Arial" w:cs="Arial" w:eastAsia="Arial" w:hAnsi="Arial"/>
          <w:sz w:val="16"/>
          <w:szCs w:val="16"/>
          <w:color w:val="auto"/>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w:t>
      </w:r>
    </w:p>
    <w:p>
      <w:pPr>
        <w:spacing w:after="0" w:line="26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the Profits Interest awards for the nine months ended September 30, 2023:</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r>
      <w:tr>
        <w:trPr>
          <w:trHeight w:val="216"/>
        </w:trPr>
        <w:tc>
          <w:tcPr>
            <w:tcW w:w="7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Grant Date Fair</w:t>
            </w:r>
          </w:p>
        </w:tc>
        <w:tc>
          <w:tcPr>
            <w:tcW w:w="100" w:type="dxa"/>
            <w:vAlign w:val="bottom"/>
          </w:tcPr>
          <w:p>
            <w:pPr>
              <w:spacing w:after="0"/>
              <w:rPr>
                <w:sz w:val="18"/>
                <w:szCs w:val="18"/>
                <w:color w:val="auto"/>
              </w:rPr>
            </w:pPr>
          </w:p>
        </w:tc>
      </w:tr>
      <w:tr>
        <w:trPr>
          <w:trHeight w:val="241"/>
        </w:trPr>
        <w:tc>
          <w:tcPr>
            <w:tcW w:w="7220" w:type="dxa"/>
            <w:vAlign w:val="bottom"/>
          </w:tcPr>
          <w:p>
            <w:pPr>
              <w:spacing w:after="0"/>
              <w:rPr>
                <w:sz w:val="20"/>
                <w:szCs w:val="20"/>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Number of Shares</w:t>
            </w:r>
          </w:p>
        </w:tc>
        <w:tc>
          <w:tcPr>
            <w:tcW w:w="3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awards outstanding at January 1, 2023</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8,369,795</w:t>
            </w:r>
          </w:p>
        </w:tc>
        <w:tc>
          <w:tcPr>
            <w:tcW w:w="26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FF0FC"/>
          </w:tcPr>
          <w:p>
            <w:pPr>
              <w:spacing w:after="0"/>
              <w:rPr>
                <w:sz w:val="21"/>
                <w:szCs w:val="21"/>
                <w:color w:val="auto"/>
              </w:rPr>
            </w:pPr>
          </w:p>
        </w:tc>
      </w:tr>
      <w:tr>
        <w:trPr>
          <w:trHeight w:val="237"/>
        </w:trPr>
        <w:tc>
          <w:tcPr>
            <w:tcW w:w="7220" w:type="dxa"/>
            <w:vAlign w:val="bottom"/>
          </w:tcPr>
          <w:p>
            <w:pPr>
              <w:ind w:left="200"/>
              <w:spacing w:after="0"/>
              <w:rPr>
                <w:sz w:val="20"/>
                <w:szCs w:val="20"/>
                <w:color w:val="auto"/>
              </w:rPr>
            </w:pPr>
            <w:r>
              <w:rPr>
                <w:rFonts w:ascii="Arial" w:cs="Arial" w:eastAsia="Arial" w:hAnsi="Arial"/>
                <w:sz w:val="18"/>
                <w:szCs w:val="18"/>
                <w:color w:val="auto"/>
              </w:rPr>
              <w:t>Vested</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(2,266,101 )</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(459,098 )</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FF0FC"/>
          </w:tcPr>
          <w:p>
            <w:pPr>
              <w:spacing w:after="0"/>
              <w:rPr>
                <w:sz w:val="21"/>
                <w:szCs w:val="21"/>
                <w:color w:val="auto"/>
              </w:rPr>
            </w:pPr>
          </w:p>
        </w:tc>
      </w:tr>
      <w:tr>
        <w:trPr>
          <w:trHeight w:val="237"/>
        </w:trPr>
        <w:tc>
          <w:tcPr>
            <w:tcW w:w="7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Awards outstanding at September 30, 2023</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5,644,596</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FF0FC"/>
            </w:tcBorders>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6858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ind w:right="60" w:firstLine="524"/>
        <w:spacing w:after="0" w:line="257" w:lineRule="auto"/>
        <w:rPr>
          <w:sz w:val="20"/>
          <w:szCs w:val="20"/>
          <w:color w:val="auto"/>
        </w:rPr>
      </w:pPr>
      <w:r>
        <w:rPr>
          <w:rFonts w:ascii="Arial" w:cs="Arial" w:eastAsia="Arial" w:hAnsi="Arial"/>
          <w:sz w:val="18"/>
          <w:szCs w:val="18"/>
          <w:color w:val="auto"/>
        </w:rPr>
        <w:t>As of September 30, 2023, the unrecognized compensation expense related to these awards was $31,603,000. The current weighted average remaining period over which the unrecognized compensation expense is expected to be recognized is 2.2 years. The weighted average grant date fair value of the Profits Interests awarded during the nine months ended September 30, 2022, was $7.43 per Class B-1 unit of PKLP (as defined in the Limited Partnership Agreement), as adjusted for the effects of the recapitalization. There were no Profits Interests awarded during the three and nine months ended September 30, 2023 or the three months ended September 30, 2022.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to Equity Based Compensation Awards</w:t>
      </w:r>
    </w:p>
    <w:p>
      <w:pPr>
        <w:spacing w:after="0" w:line="117" w:lineRule="exact"/>
        <w:rPr>
          <w:sz w:val="20"/>
          <w:szCs w:val="20"/>
          <w:color w:val="auto"/>
        </w:rPr>
      </w:pPr>
    </w:p>
    <w:p>
      <w:pPr>
        <w:ind w:right="20" w:firstLine="524"/>
        <w:spacing w:after="0" w:line="301" w:lineRule="auto"/>
        <w:rPr>
          <w:sz w:val="20"/>
          <w:szCs w:val="20"/>
          <w:color w:val="auto"/>
        </w:rPr>
      </w:pPr>
      <w:r>
        <w:rPr>
          <w:rFonts w:ascii="Arial" w:cs="Arial" w:eastAsia="Arial" w:hAnsi="Arial"/>
          <w:sz w:val="16"/>
          <w:szCs w:val="16"/>
          <w:color w:val="auto"/>
        </w:rPr>
        <w:t>On January 17, 2022, the Limited Partnership Agreement was amended and restated to provide that certain qualified distribution events would result in the holders of Profits Interests receiving disproportionate distributions from PKLP until each such holder’s threshold value was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p>
    <w:p>
      <w:pPr>
        <w:spacing w:after="0" w:line="49" w:lineRule="exact"/>
        <w:rPr>
          <w:sz w:val="20"/>
          <w:szCs w:val="20"/>
          <w:color w:val="auto"/>
        </w:rPr>
      </w:pPr>
    </w:p>
    <w:p>
      <w:pPr>
        <w:ind w:right="60" w:firstLine="524"/>
        <w:spacing w:after="0" w:line="279" w:lineRule="auto"/>
        <w:rPr>
          <w:sz w:val="20"/>
          <w:szCs w:val="20"/>
          <w:color w:val="auto"/>
        </w:rPr>
      </w:pPr>
      <w:r>
        <w:rPr>
          <w:rFonts w:ascii="Arial" w:cs="Arial" w:eastAsia="Arial" w:hAnsi="Arial"/>
          <w:sz w:val="17"/>
          <w:szCs w:val="17"/>
          <w:color w:val="auto"/>
        </w:rPr>
        <w:t>This amendment constituted a modification to the Class B-1 Units in PKLP outstanding as of the date of the modification under the provisions of ASC Topic 718. In connection with the modification of its outstanding share-based compensation awards, the Company will recognize total additional compensation expense of $5,437,000 related to awards granted to its employees. The portion of this additional compensation expense attributable to vested awards of $3,715,000 was recognized immediately upon modification during the six months ended June 30, 2022.</w:t>
      </w:r>
    </w:p>
    <w:p>
      <w:pPr>
        <w:spacing w:after="0" w:line="63" w:lineRule="exact"/>
        <w:rPr>
          <w:sz w:val="20"/>
          <w:szCs w:val="20"/>
          <w:color w:val="auto"/>
        </w:rPr>
      </w:pPr>
    </w:p>
    <w:p>
      <w:pPr>
        <w:ind w:right="80" w:firstLine="524"/>
        <w:spacing w:after="0" w:line="271" w:lineRule="auto"/>
        <w:rPr>
          <w:sz w:val="20"/>
          <w:szCs w:val="20"/>
          <w:color w:val="auto"/>
        </w:rPr>
      </w:pPr>
      <w:r>
        <w:rPr>
          <w:rFonts w:ascii="Arial" w:cs="Arial" w:eastAsia="Arial" w:hAnsi="Arial"/>
          <w:sz w:val="17"/>
          <w:szCs w:val="17"/>
          <w:color w:val="auto"/>
        </w:rPr>
        <w:t>During the nine months ended September 30, 2023, the Company also modified the vesting terms of outstanding time-based stock options issued to certain personnel upon their separation. This amendment constituted a modification of the awards under the provisions of ASC Topic 718 and resulted in the recognition of an additional $3,011,000 of compensation expense during the nine months ended September 30, 2023.</w:t>
      </w: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Issuance of Profits Interests to Service Provider</w:t>
      </w:r>
    </w:p>
    <w:p>
      <w:pPr>
        <w:spacing w:after="0" w:line="117" w:lineRule="exact"/>
        <w:rPr>
          <w:sz w:val="20"/>
          <w:szCs w:val="20"/>
          <w:color w:val="auto"/>
        </w:rPr>
      </w:pPr>
    </w:p>
    <w:p>
      <w:pPr>
        <w:ind w:right="100" w:firstLine="524"/>
        <w:spacing w:after="0" w:line="257" w:lineRule="auto"/>
        <w:rPr>
          <w:sz w:val="20"/>
          <w:szCs w:val="20"/>
          <w:color w:val="auto"/>
        </w:rPr>
      </w:pPr>
      <w:r>
        <w:rPr>
          <w:rFonts w:ascii="Arial" w:cs="Arial" w:eastAsia="Arial" w:hAnsi="Arial"/>
          <w:sz w:val="18"/>
          <w:szCs w:val="18"/>
          <w:color w:val="auto"/>
        </w:rPr>
        <w:t>During the nine months ended September 30, 2022, the Company issued 2,253,033 fully vested Class B-1 Units in PKLP to a third-party service provider as payment for research and development services provided in prior periods. The Company had previously recognized expense of $2,502,000 for these services based on the liability related to the services incurred. As the fair value of shares issued to satisfy that obligation was higher than the amount previously expensed, the Company recognized additional research and development expense of $14,080,000 during the nine months ended September 30, 2022</w:t>
      </w:r>
      <w:r>
        <w:rPr>
          <w:rFonts w:ascii="Arial" w:cs="Arial" w:eastAsia="Arial" w:hAnsi="Arial"/>
          <w:sz w:val="21"/>
          <w:szCs w:val="21"/>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Class B-1 Units in PKLP</w:t>
      </w:r>
    </w:p>
    <w:p>
      <w:pPr>
        <w:spacing w:after="0" w:line="117" w:lineRule="exact"/>
        <w:rPr>
          <w:sz w:val="20"/>
          <w:szCs w:val="20"/>
          <w:color w:val="auto"/>
        </w:rPr>
      </w:pPr>
    </w:p>
    <w:p>
      <w:pPr>
        <w:ind w:right="140" w:firstLine="524"/>
        <w:spacing w:after="0" w:line="255" w:lineRule="auto"/>
        <w:rPr>
          <w:sz w:val="20"/>
          <w:szCs w:val="20"/>
          <w:color w:val="auto"/>
        </w:rPr>
      </w:pPr>
      <w:r>
        <w:rPr>
          <w:rFonts w:ascii="Arial" w:cs="Arial" w:eastAsia="Arial" w:hAnsi="Arial"/>
          <w:sz w:val="18"/>
          <w:szCs w:val="18"/>
          <w:color w:val="auto"/>
        </w:rPr>
        <w:t>Certain of the Company’s employees, board members and service providers purchased 6,648,353 of Class B-1 Units in PKLP, as adjusted for the recapitalization, for total cash proceeds of $6,050,000 during the nine months ended September 30, 2022, respectively. Since these Class B-1 Units in PKLP were fully vested upon purchase and contained no service requirements, the Company immediately recognized the difference between the purchase price and the estimated fair value for these Class B-1 Units in PKLP of $34,254,000 as equity-based compensation expense during the nine months ended September 30, 2022, respectively. No such sales occurred during the three and nine months ended September 30, 2023 or the three months ended September 30, 2022.</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Estimate for Profits Interest</w:t>
      </w:r>
    </w:p>
    <w:p>
      <w:pPr>
        <w:spacing w:after="0" w:line="117" w:lineRule="exact"/>
        <w:rPr>
          <w:sz w:val="20"/>
          <w:szCs w:val="20"/>
          <w:color w:val="auto"/>
        </w:rPr>
      </w:pPr>
    </w:p>
    <w:p>
      <w:pPr>
        <w:ind w:right="40" w:firstLine="524"/>
        <w:spacing w:after="0" w:line="279" w:lineRule="auto"/>
        <w:rPr>
          <w:sz w:val="20"/>
          <w:szCs w:val="20"/>
          <w:color w:val="auto"/>
        </w:rPr>
      </w:pPr>
      <w:r>
        <w:rPr>
          <w:rFonts w:ascii="Arial" w:cs="Arial" w:eastAsia="Arial" w:hAnsi="Arial"/>
          <w:sz w:val="17"/>
          <w:szCs w:val="17"/>
          <w:color w:val="auto"/>
        </w:rPr>
        <w:t xml:space="preserve">Prior to the Business Combination, PKLP was privately held with no active public market for its equity instruments. Therefore, for financial reporting purposes, management determined the estimated per share fair value of PKLP’s equity shares (including Profits Interests) using contemporaneous valuations. These contemporaneous valuations were done using methodologies consistent with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also known as the Practice Aid.</w:t>
      </w:r>
    </w:p>
    <w:p>
      <w:pPr>
        <w:spacing w:after="0" w:line="63" w:lineRule="exact"/>
        <w:rPr>
          <w:sz w:val="20"/>
          <w:szCs w:val="20"/>
          <w:color w:val="auto"/>
        </w:rPr>
      </w:pPr>
    </w:p>
    <w:p>
      <w:pPr>
        <w:ind w:right="80" w:firstLine="524"/>
        <w:spacing w:after="0" w:line="259" w:lineRule="auto"/>
        <w:rPr>
          <w:sz w:val="20"/>
          <w:szCs w:val="20"/>
          <w:color w:val="auto"/>
        </w:rPr>
      </w:pPr>
      <w:r>
        <w:rPr>
          <w:rFonts w:ascii="Arial" w:cs="Arial" w:eastAsia="Arial" w:hAnsi="Arial"/>
          <w:sz w:val="18"/>
          <w:szCs w:val="18"/>
          <w:color w:val="auto"/>
        </w:rPr>
        <w:t>For the Profits Interest Awards awarded during the six months ended June 30, 2022, the valuation approach utilized a hybrid method which consists of a combination of an Option Pricing Method (“OPM”) and a Probability Weighted Expected Return Method (”PWERM”) approach. Weighting allocations were assigned to the OPM and PWERM methods based upon the expected likelihood of possible future liquidity events, including the Business Combination.</w:t>
      </w:r>
    </w:p>
    <w:p>
      <w:pPr>
        <w:spacing w:after="0" w:line="79" w:lineRule="exact"/>
        <w:rPr>
          <w:sz w:val="20"/>
          <w:szCs w:val="20"/>
          <w:color w:val="auto"/>
        </w:rPr>
      </w:pPr>
    </w:p>
    <w:p>
      <w:pPr>
        <w:ind w:right="40" w:firstLine="524"/>
        <w:spacing w:after="0" w:line="291" w:lineRule="auto"/>
        <w:rPr>
          <w:sz w:val="20"/>
          <w:szCs w:val="20"/>
          <w:color w:val="auto"/>
        </w:rPr>
      </w:pPr>
      <w:r>
        <w:rPr>
          <w:rFonts w:ascii="Arial" w:cs="Arial" w:eastAsia="Arial" w:hAnsi="Arial"/>
          <w:sz w:val="16"/>
          <w:szCs w:val="16"/>
          <w:color w:val="auto"/>
        </w:rPr>
        <w:t>Under the OPM approach, the fair value of the total equity of PKLP within each scenario was first estimated using a back-solve method wherein the equity value is derived from a recent transaction in PKLP’s own securities, and then the total equity value is allocated to the various components of the capital structure, including the Profits Interests, using an OPM or a waterfall approach based on the specific rights of each of the equity classes. The OPM used the fair value of the total equity of PKLP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 This process creates a range of equity values both between and within scenarios. The fair value measurement is sensitive to changes in the unobservable inputs. Changes in those inputs might result in a higher or lower fair value measurement.</w:t>
      </w:r>
    </w:p>
    <w:p>
      <w:pPr>
        <w:spacing w:after="0" w:line="58" w:lineRule="exact"/>
        <w:rPr>
          <w:sz w:val="20"/>
          <w:szCs w:val="20"/>
          <w:color w:val="auto"/>
        </w:rPr>
      </w:pPr>
    </w:p>
    <w:p>
      <w:pPr>
        <w:ind w:right="160" w:firstLine="524"/>
        <w:spacing w:after="0" w:line="311" w:lineRule="auto"/>
        <w:rPr>
          <w:sz w:val="20"/>
          <w:szCs w:val="20"/>
          <w:color w:val="auto"/>
        </w:rPr>
      </w:pPr>
      <w:r>
        <w:rPr>
          <w:rFonts w:ascii="Arial" w:cs="Arial" w:eastAsia="Arial" w:hAnsi="Arial"/>
          <w:sz w:val="16"/>
          <w:szCs w:val="16"/>
          <w:color w:val="auto"/>
        </w:rPr>
        <w:t>The PWERM approach is a scenario-based analysis that estimates the value per share of ordinary shares based on the probability-weighted present value of expected future equity values for the ordinary shares, under various possible future liquidity event scenarios, including the proposed Business Combination, in light of the rights and preferences of each class and series of stock, including the Profits Interests, discounted for a lack of marketability.</w:t>
      </w:r>
    </w:p>
    <w:p>
      <w:pPr>
        <w:spacing w:after="0" w:line="41" w:lineRule="exact"/>
        <w:rPr>
          <w:sz w:val="20"/>
          <w:szCs w:val="20"/>
          <w:color w:val="auto"/>
        </w:rPr>
      </w:pPr>
    </w:p>
    <w:p>
      <w:pPr>
        <w:ind w:right="40" w:firstLine="524"/>
        <w:spacing w:after="0" w:line="273" w:lineRule="auto"/>
        <w:rPr>
          <w:sz w:val="20"/>
          <w:szCs w:val="20"/>
          <w:color w:val="auto"/>
        </w:rPr>
      </w:pPr>
      <w:r>
        <w:rPr>
          <w:rFonts w:ascii="Arial" w:cs="Arial" w:eastAsia="Arial" w:hAnsi="Arial"/>
          <w:sz w:val="17"/>
          <w:szCs w:val="17"/>
          <w:color w:val="auto"/>
        </w:rPr>
        <w:t>In performing these valuations, management considered all objective and subjective factors that they believed to be relevant, including management’s best estimate of PKLP’s business condition, prospects, and operating performance at each valuation date. Within the valuations performed, a range of factors, assumptions, and methodologies were used. The significant factors included trends within the industry, the prices at which PKLP sold its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spacing w:after="0" w:line="70" w:lineRule="exact"/>
        <w:rPr>
          <w:sz w:val="20"/>
          <w:szCs w:val="20"/>
          <w:color w:val="auto"/>
        </w:rPr>
      </w:pPr>
    </w:p>
    <w:p>
      <w:pPr>
        <w:ind w:right="120" w:firstLine="524"/>
        <w:spacing w:after="0" w:line="277" w:lineRule="auto"/>
        <w:rPr>
          <w:sz w:val="20"/>
          <w:szCs w:val="20"/>
          <w:color w:val="auto"/>
        </w:rPr>
      </w:pPr>
      <w:r>
        <w:rPr>
          <w:rFonts w:ascii="Arial" w:cs="Arial" w:eastAsia="Arial" w:hAnsi="Arial"/>
          <w:sz w:val="18"/>
          <w:szCs w:val="18"/>
          <w:color w:val="auto"/>
        </w:rPr>
        <w:t>The following reflects the key assumptions used in each of the valuation scenarios for the awards granted during the nine months ended September 30,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9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OPM</w:t>
            </w:r>
          </w:p>
        </w:tc>
        <w:tc>
          <w:tcPr>
            <w:tcW w:w="260" w:type="dxa"/>
            <w:vAlign w:val="bottom"/>
          </w:tcPr>
          <w:p>
            <w:pPr>
              <w:spacing w:after="0"/>
              <w:rPr>
                <w:sz w:val="20"/>
                <w:szCs w:val="20"/>
                <w:color w:val="auto"/>
              </w:rPr>
            </w:pPr>
          </w:p>
        </w:tc>
        <w:tc>
          <w:tcPr>
            <w:tcW w:w="12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PWERM</w:t>
            </w:r>
          </w:p>
        </w:tc>
        <w:tc>
          <w:tcPr>
            <w:tcW w:w="100" w:type="dxa"/>
            <w:vAlign w:val="bottom"/>
          </w:tcPr>
          <w:p>
            <w:pPr>
              <w:spacing w:after="0"/>
              <w:rPr>
                <w:sz w:val="20"/>
                <w:szCs w:val="20"/>
                <w:color w:val="auto"/>
              </w:rPr>
            </w:pPr>
          </w:p>
        </w:tc>
      </w:tr>
      <w:tr>
        <w:trPr>
          <w:trHeight w:val="24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equity value (in thousands)</w:t>
            </w:r>
          </w:p>
        </w:tc>
        <w:tc>
          <w:tcPr>
            <w:tcW w:w="3680" w:type="dxa"/>
            <w:vAlign w:val="bottom"/>
            <w:shd w:val="clear" w:color="auto" w:fill="CFF0FC"/>
          </w:tcPr>
          <w:p>
            <w:pPr>
              <w:spacing w:after="0"/>
              <w:rPr>
                <w:sz w:val="21"/>
                <w:szCs w:val="21"/>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$234,551 - $280,400</w:t>
            </w:r>
          </w:p>
        </w:tc>
        <w:tc>
          <w:tcPr>
            <w:tcW w:w="3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1,750,000</w:t>
            </w:r>
          </w:p>
        </w:tc>
        <w:tc>
          <w:tcPr>
            <w:tcW w:w="100" w:type="dxa"/>
            <w:vAlign w:val="bottom"/>
            <w:shd w:val="clear" w:color="auto" w:fill="CFF0FC"/>
          </w:tcPr>
          <w:p>
            <w:pPr>
              <w:spacing w:after="0"/>
              <w:rPr>
                <w:sz w:val="21"/>
                <w:szCs w:val="21"/>
                <w:color w:val="auto"/>
              </w:rPr>
            </w:pP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color w:val="auto"/>
              </w:rPr>
              <w:t>Expected volatility of total equity</w:t>
            </w:r>
          </w:p>
        </w:tc>
        <w:tc>
          <w:tcPr>
            <w:tcW w:w="5620" w:type="dxa"/>
            <w:vAlign w:val="bottom"/>
            <w:gridSpan w:val="3"/>
          </w:tcPr>
          <w:p>
            <w:pPr>
              <w:jc w:val="right"/>
              <w:ind w:right="120"/>
              <w:spacing w:after="0"/>
              <w:rPr>
                <w:sz w:val="20"/>
                <w:szCs w:val="20"/>
                <w:color w:val="auto"/>
              </w:rPr>
            </w:pPr>
            <w:r>
              <w:rPr>
                <w:rFonts w:ascii="Arial" w:cs="Arial" w:eastAsia="Arial" w:hAnsi="Arial"/>
                <w:sz w:val="18"/>
                <w:szCs w:val="18"/>
                <w:color w:val="auto"/>
              </w:rPr>
              <w:t>95 %</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- 90%</w:t>
            </w:r>
          </w:p>
        </w:tc>
        <w:tc>
          <w:tcPr>
            <w:tcW w:w="100" w:type="dxa"/>
            <w:vAlign w:val="bottom"/>
          </w:tcPr>
          <w:p>
            <w:pPr>
              <w:spacing w:after="0"/>
              <w:rPr>
                <w:sz w:val="20"/>
                <w:szCs w:val="20"/>
                <w:color w:val="auto"/>
              </w:rPr>
            </w:pPr>
          </w:p>
        </w:tc>
      </w:tr>
      <w:tr>
        <w:trPr>
          <w:trHeight w:val="249"/>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for lack of market</w:t>
            </w:r>
          </w:p>
        </w:tc>
        <w:tc>
          <w:tcPr>
            <w:tcW w:w="5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30 %</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- 15%</w:t>
            </w:r>
          </w:p>
        </w:tc>
        <w:tc>
          <w:tcPr>
            <w:tcW w:w="100" w:type="dxa"/>
            <w:vAlign w:val="bottom"/>
            <w:shd w:val="clear" w:color="auto" w:fill="CFF0FC"/>
          </w:tcPr>
          <w:p>
            <w:pPr>
              <w:spacing w:after="0"/>
              <w:rPr>
                <w:sz w:val="21"/>
                <w:szCs w:val="2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Expected time to exit event</w:t>
            </w:r>
          </w:p>
        </w:tc>
        <w:tc>
          <w:tcPr>
            <w:tcW w:w="3680" w:type="dxa"/>
            <w:vAlign w:val="bottom"/>
          </w:tcPr>
          <w:p>
            <w:pPr>
              <w:spacing w:after="0"/>
              <w:rPr>
                <w:sz w:val="20"/>
                <w:szCs w:val="20"/>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3.4 years - 3.7 years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w w:val="91"/>
              </w:rPr>
              <w:t>0.1 years - 0.5 years</w:t>
            </w:r>
          </w:p>
        </w:tc>
        <w:tc>
          <w:tcPr>
            <w:tcW w:w="100" w:type="dxa"/>
            <w:vAlign w:val="bottom"/>
          </w:tcPr>
          <w:p>
            <w:pPr>
              <w:spacing w:after="0"/>
              <w:rPr>
                <w:sz w:val="20"/>
                <w:szCs w:val="20"/>
                <w:color w:val="auto"/>
              </w:rPr>
            </w:pPr>
          </w:p>
        </w:tc>
      </w:tr>
      <w:tr>
        <w:trPr>
          <w:trHeight w:val="445"/>
        </w:trPr>
        <w:tc>
          <w:tcPr>
            <w:tcW w:w="3980" w:type="dxa"/>
            <w:vAlign w:val="bottom"/>
          </w:tcPr>
          <w:p>
            <w:pPr>
              <w:spacing w:after="0"/>
              <w:rPr>
                <w:sz w:val="24"/>
                <w:szCs w:val="24"/>
                <w:color w:val="auto"/>
              </w:rPr>
            </w:pPr>
          </w:p>
        </w:tc>
        <w:tc>
          <w:tcPr>
            <w:tcW w:w="3680" w:type="dxa"/>
            <w:vAlign w:val="bottom"/>
          </w:tcPr>
          <w:p>
            <w:pPr>
              <w:jc w:val="right"/>
              <w:ind w:right="1850"/>
              <w:spacing w:after="0"/>
              <w:rPr>
                <w:sz w:val="20"/>
                <w:szCs w:val="20"/>
                <w:color w:val="auto"/>
              </w:rPr>
            </w:pPr>
            <w:r>
              <w:rPr>
                <w:rFonts w:ascii="Arial" w:cs="Arial" w:eastAsia="Arial" w:hAnsi="Arial"/>
                <w:sz w:val="18"/>
                <w:szCs w:val="18"/>
                <w:color w:val="auto"/>
              </w:rPr>
              <w:t>23</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8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40" w:firstLine="524"/>
        <w:spacing w:after="0" w:line="277" w:lineRule="auto"/>
        <w:rPr>
          <w:sz w:val="20"/>
          <w:szCs w:val="20"/>
          <w:color w:val="auto"/>
        </w:rPr>
      </w:pPr>
      <w:r>
        <w:rPr>
          <w:rFonts w:ascii="Arial" w:cs="Arial" w:eastAsia="Arial" w:hAnsi="Arial"/>
          <w:sz w:val="18"/>
          <w:szCs w:val="18"/>
          <w:color w:val="auto"/>
        </w:rPr>
        <w:t>Compensation expense related to share-based awards is included in research and development and general and administrative expense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08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4"/>
              </w:rPr>
              <w:t>Three Months Ended September 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 30,</w:t>
            </w:r>
          </w:p>
        </w:tc>
        <w:tc>
          <w:tcPr>
            <w:tcW w:w="100" w:type="dxa"/>
            <w:vAlign w:val="bottom"/>
          </w:tcPr>
          <w:p>
            <w:pPr>
              <w:spacing w:after="0"/>
              <w:rPr>
                <w:sz w:val="20"/>
                <w:szCs w:val="20"/>
                <w:color w:val="auto"/>
              </w:rPr>
            </w:pPr>
          </w:p>
        </w:tc>
      </w:tr>
      <w:tr>
        <w:trPr>
          <w:trHeight w:val="250"/>
        </w:trPr>
        <w:tc>
          <w:tcPr>
            <w:tcW w:w="47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4,881</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20,385</w:t>
            </w: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45,144</w:t>
            </w:r>
          </w:p>
        </w:tc>
        <w:tc>
          <w:tcPr>
            <w:tcW w:w="100" w:type="dxa"/>
            <w:vAlign w:val="bottom"/>
          </w:tcPr>
          <w:p>
            <w:pPr>
              <w:spacing w:after="0"/>
              <w:rPr>
                <w:sz w:val="20"/>
                <w:szCs w:val="20"/>
                <w:color w:val="auto"/>
              </w:rPr>
            </w:pPr>
          </w:p>
        </w:tc>
      </w:tr>
      <w:tr>
        <w:trPr>
          <w:trHeight w:val="283"/>
        </w:trPr>
        <w:tc>
          <w:tcPr>
            <w:tcW w:w="4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equity-based compensation expense</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12,993</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37,215</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65,529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121" w:lineRule="exact"/>
        <w:rPr>
          <w:sz w:val="20"/>
          <w:szCs w:val="20"/>
          <w:color w:val="auto"/>
        </w:rPr>
      </w:pPr>
    </w:p>
    <w:p>
      <w:pPr>
        <w:ind w:right="480" w:firstLine="524"/>
        <w:spacing w:after="0" w:line="277" w:lineRule="auto"/>
        <w:rPr>
          <w:sz w:val="20"/>
          <w:szCs w:val="20"/>
          <w:color w:val="auto"/>
        </w:rPr>
      </w:pPr>
      <w:r>
        <w:rPr>
          <w:rFonts w:ascii="Arial" w:cs="Arial" w:eastAsia="Arial" w:hAnsi="Arial"/>
          <w:sz w:val="18"/>
          <w:szCs w:val="18"/>
          <w:color w:val="auto"/>
        </w:rPr>
        <w:t>On October 30, 2023, the Company issued 5,541,414 Class A ordinary shares in exchange for 5,541,414 Class B ordinary shares and an equal number of Post-Combination ProKidney Common Units.</w:t>
      </w:r>
    </w:p>
    <w:p>
      <w:pPr>
        <w:spacing w:after="0" w:line="62" w:lineRule="exact"/>
        <w:rPr>
          <w:sz w:val="20"/>
          <w:szCs w:val="20"/>
          <w:color w:val="auto"/>
        </w:rPr>
      </w:pPr>
    </w:p>
    <w:p>
      <w:pPr>
        <w:ind w:right="40" w:firstLine="524"/>
        <w:spacing w:after="0" w:line="279" w:lineRule="auto"/>
        <w:rPr>
          <w:sz w:val="20"/>
          <w:szCs w:val="20"/>
          <w:color w:val="auto"/>
        </w:rPr>
      </w:pPr>
      <w:r>
        <w:rPr>
          <w:rFonts w:ascii="Arial" w:cs="Arial" w:eastAsia="Arial" w:hAnsi="Arial"/>
          <w:sz w:val="17"/>
          <w:szCs w:val="17"/>
          <w:color w:val="auto"/>
        </w:rPr>
        <w:t>On November 10, 2023, the Company’s board of directors terminated, without cause, Tim Bertram, Ph.D., Chief Executive Officer of the Company, effective November 15, 2023 (the “Effective Date”), following which Dr. Bertram is expected to continue to serve as a consultant of the Company. On the Effective Date, and pursuant to the terms of Dr. Bertram’s employment agreement, Dr. Bertram will also resign from the Board of Directors of the Company. The Company expects to enter into a separation and consulting agreement with Dr. Bertram.</w:t>
      </w:r>
    </w:p>
    <w:p>
      <w:pPr>
        <w:spacing w:after="0" w:line="63" w:lineRule="exact"/>
        <w:rPr>
          <w:sz w:val="20"/>
          <w:szCs w:val="20"/>
          <w:color w:val="auto"/>
        </w:rPr>
      </w:pPr>
    </w:p>
    <w:p>
      <w:pPr>
        <w:ind w:right="240" w:firstLine="569"/>
        <w:spacing w:after="0" w:line="287" w:lineRule="auto"/>
        <w:rPr>
          <w:sz w:val="20"/>
          <w:szCs w:val="20"/>
          <w:color w:val="auto"/>
        </w:rPr>
      </w:pPr>
      <w:r>
        <w:rPr>
          <w:rFonts w:ascii="Arial" w:cs="Arial" w:eastAsia="Arial" w:hAnsi="Arial"/>
          <w:sz w:val="16"/>
          <w:szCs w:val="16"/>
          <w:color w:val="auto"/>
        </w:rPr>
        <w:t>In addition, on November 10, 2023, the Company’s board of directors appointed Bruce Culleton, MD, as Chief Executive Officer and director of the Company, as of the Effective Date. The Company expects to enter into a new Employment Agreement with Dr. Culleton, to serve as the Chief Executive Officer of the Company that will become effective and replace Dr. Culleton’s previous employment agreement as of the Effective Date.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ProKidney Corp.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24"/>
        <w:spacing w:after="0" w:line="290" w:lineRule="auto"/>
        <w:rPr>
          <w:sz w:val="20"/>
          <w:szCs w:val="20"/>
          <w:color w:val="auto"/>
        </w:rPr>
      </w:pPr>
      <w:r>
        <w:rPr>
          <w:rFonts w:ascii="Arial" w:cs="Arial" w:eastAsia="Arial" w:hAnsi="Arial"/>
          <w:sz w:val="16"/>
          <w:szCs w:val="16"/>
          <w:color w:val="auto"/>
        </w:rPr>
        <w:t>We are a clinical-stage biotechnology business with a transformative proprietary cell therapy platform capable of treating multiple chronic kidney diseases using a patient’s own cells isolated from the patient intended for treatment. Our approach seeks to redefine the treatment of chronic kidney disease (“CKD”), shifting the emphasis away from management of kidney failure to the restoration, preservation or improvement of kidney function to stop or delay progression of CKD. Our lead product candidate, which we refer to as REACT, is designed to preserve kidney function in a CKD patient’s diseased kidneys. REACT is a product that includes selected renal cells (“SRC”) prepared from a patient’s own, autologous, renal cells. SRC are formulated into a product for reinjection into the patient’s kidneys using a minimally invasive outpatient procedure that can be repeated if necessary. Because REACT is a personalized treatment composed of cells prepared from a patient’s own kidney, there is no need for treatment with immunosuppressive therapies, which are required during a patient’s lifetime when a patient receives a kidney transplant from another, allogeneic donor.</w:t>
      </w:r>
    </w:p>
    <w:p>
      <w:pPr>
        <w:spacing w:after="0" w:line="5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are currently conducting a Phase 3 development program and multiple Phase 2 clinical trials for REACT in subjects with moderate to severe diabetic kidney disease. We also recently completed a Phase 1 clinical trial for REACT in subjects with congenital anomalies of the kidney and urinary tract (“CAKUT”). REACT has been generally well tolerated by subjects with moderate to severe diabetic kidney disease in Phase 1 and 2 clinical testing to date. It has also been shown to preserve kidney function and limit kidney injury in subjects based on measurements of iohexol renal clearance and urinary albumin-to-creatinine ratio (“UACR”). REACT has received regenerative medicine advanced therapy (“RMAT”) designation from the United States Food and Drug Administration (the “FDA”).</w:t>
      </w:r>
    </w:p>
    <w:p>
      <w:pPr>
        <w:spacing w:after="0" w:line="84" w:lineRule="exact"/>
        <w:rPr>
          <w:sz w:val="20"/>
          <w:szCs w:val="20"/>
          <w:color w:val="auto"/>
        </w:rPr>
      </w:pPr>
    </w:p>
    <w:p>
      <w:pPr>
        <w:ind w:right="40" w:firstLine="569"/>
        <w:spacing w:after="0" w:line="257" w:lineRule="auto"/>
        <w:rPr>
          <w:sz w:val="20"/>
          <w:szCs w:val="20"/>
          <w:color w:val="auto"/>
        </w:rPr>
      </w:pPr>
      <w:r>
        <w:rPr>
          <w:rFonts w:ascii="Arial" w:cs="Arial" w:eastAsia="Arial" w:hAnsi="Arial"/>
          <w:sz w:val="18"/>
          <w:szCs w:val="18"/>
          <w:color w:val="auto"/>
        </w:rPr>
        <w:t>Since our inception, we have devoted substantially all of our resources to raising capital, organizing and staffing our Company, business and scientific planning, conducting discovery and research activities, acquiring or discovering product candidates, establishing and protecting our intellectual property portfolio, developing and progressing REACT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0" w:firstLine="524"/>
        <w:spacing w:after="0" w:line="257" w:lineRule="auto"/>
        <w:rPr>
          <w:sz w:val="20"/>
          <w:szCs w:val="20"/>
          <w:color w:val="auto"/>
        </w:rPr>
      </w:pPr>
      <w:r>
        <w:rPr>
          <w:rFonts w:ascii="Arial" w:cs="Arial" w:eastAsia="Arial" w:hAnsi="Arial"/>
          <w:sz w:val="18"/>
          <w:szCs w:val="18"/>
          <w:color w:val="auto"/>
        </w:rPr>
        <w:t>On November 10, 2023, the Company’s board of directors terminated, without cause, Tim Bertram, Ph.D., Chief Executive Officer of the Company, effective November 15, 2023 (the “Effective Date”), following which Dr. Bertram is expected to continue to serve as a consultant of the Company. On the Effective Date, and pursuant to the terms of Dr. Bertram’s employment agreement, Dr. Bertram will also resign from the Board of Directors of the Company. In addition, on November 10, 2023, our board of directors appointed Bruce Culleton, MD, as Chief Executive Officer and director of the Company, as of the Effective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RMCL-002</w:t>
      </w:r>
    </w:p>
    <w:p>
      <w:pPr>
        <w:spacing w:after="0" w:line="117" w:lineRule="exact"/>
        <w:rPr>
          <w:sz w:val="20"/>
          <w:szCs w:val="20"/>
          <w:color w:val="auto"/>
        </w:rPr>
      </w:pPr>
    </w:p>
    <w:p>
      <w:pPr>
        <w:ind w:right="220" w:firstLine="524"/>
        <w:spacing w:after="0" w:line="258" w:lineRule="auto"/>
        <w:rPr>
          <w:sz w:val="20"/>
          <w:szCs w:val="20"/>
          <w:color w:val="auto"/>
        </w:rPr>
      </w:pPr>
      <w:r>
        <w:rPr>
          <w:rFonts w:ascii="Arial" w:cs="Arial" w:eastAsia="Arial" w:hAnsi="Arial"/>
          <w:sz w:val="18"/>
          <w:szCs w:val="18"/>
          <w:color w:val="auto"/>
        </w:rPr>
        <w:t>RMCL-002 is an ongoing Phase 2, prospective, randomized, double-arm, deferred treatment, open-label, repeat dose, safety and efficacy study of REACT in subjects with CKD caused by type 2 diabetes.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7" w:name="page28"/>
    <w:bookmarkEnd w:id="27"/>
    <w:p>
      <w:pPr>
        <w:ind w:right="40" w:firstLine="524"/>
        <w:spacing w:after="0" w:line="245" w:lineRule="auto"/>
        <w:rPr>
          <w:sz w:val="20"/>
          <w:szCs w:val="20"/>
          <w:color w:val="auto"/>
        </w:rPr>
      </w:pPr>
      <w:r>
        <w:rPr>
          <w:rFonts w:ascii="Arial" w:cs="Arial" w:eastAsia="Arial" w:hAnsi="Arial"/>
          <w:sz w:val="18"/>
          <w:szCs w:val="18"/>
          <w:color w:val="auto"/>
        </w:rPr>
        <w:t>The first subject was enrolled in this study in February 2017, and subjects are now undergoing follow-up. The primary objective of this study is to assess the safety and efficacy of up to two REACT injections given approximately six months apart in Type 2 diabetic patients with eGFRs between 20 and 50 ml/min/1.73m</w:t>
      </w:r>
      <w:r>
        <w:rPr>
          <w:rFonts w:ascii="Arial" w:cs="Arial" w:eastAsia="Arial" w:hAnsi="Arial"/>
          <w:sz w:val="24"/>
          <w:szCs w:val="24"/>
          <w:color w:val="auto"/>
          <w:vertAlign w:val="superscript"/>
        </w:rPr>
        <w:t>2</w:t>
      </w:r>
      <w:r>
        <w:rPr>
          <w:rFonts w:ascii="Arial" w:cs="Arial" w:eastAsia="Arial" w:hAnsi="Arial"/>
          <w:sz w:val="18"/>
          <w:szCs w:val="18"/>
          <w:color w:val="auto"/>
        </w:rPr>
        <w:t>, with both doses delivered into the biopsied kidney using an outpatient, minimally invasive, percutaneous approach under conscious sedation. Patients were eligible to receive up to two doses of REACT of 3x10</w:t>
      </w:r>
      <w:r>
        <w:rPr>
          <w:rFonts w:ascii="Arial" w:cs="Arial" w:eastAsia="Arial" w:hAnsi="Arial"/>
          <w:sz w:val="24"/>
          <w:szCs w:val="24"/>
          <w:color w:val="auto"/>
          <w:vertAlign w:val="superscript"/>
        </w:rPr>
        <w:t>6</w:t>
      </w:r>
      <w:r>
        <w:rPr>
          <w:rFonts w:ascii="Arial" w:cs="Arial" w:eastAsia="Arial" w:hAnsi="Arial"/>
          <w:sz w:val="18"/>
          <w:szCs w:val="18"/>
          <w:color w:val="auto"/>
        </w:rPr>
        <w:t xml:space="preserve"> cells/g-KWest.</w:t>
      </w:r>
    </w:p>
    <w:p>
      <w:pPr>
        <w:spacing w:after="0" w:line="13" w:lineRule="exact"/>
        <w:rPr>
          <w:sz w:val="20"/>
          <w:szCs w:val="20"/>
          <w:color w:val="auto"/>
        </w:rPr>
      </w:pPr>
    </w:p>
    <w:p>
      <w:pPr>
        <w:ind w:firstLine="524"/>
        <w:spacing w:after="0" w:line="261" w:lineRule="auto"/>
        <w:rPr>
          <w:sz w:val="20"/>
          <w:szCs w:val="20"/>
          <w:color w:val="auto"/>
        </w:rPr>
      </w:pPr>
      <w:r>
        <w:rPr>
          <w:rFonts w:ascii="Arial" w:cs="Arial" w:eastAsia="Arial" w:hAnsi="Arial"/>
          <w:sz w:val="17"/>
          <w:szCs w:val="17"/>
          <w:color w:val="auto"/>
        </w:rPr>
        <w:t>Patients were randomized (1:1) to the active treatment group or the deferred treatment group (i.e., the control group) following kidney biopsy. Subjects in the active treatment group received their first REACT injection as soon as the REACT product was manufactured and shipped to the clinical site. After approximately six months, a second injection was given, as appropriate, into the biopsied kidney. In contrast, subjects in the deferred treatment group underwent a 12-month period of observation after kidney biopsy. The deferred treatment group allowed assessment of the rate of change in kidney function and co-morbidities in a non-injected group compared to the active treated arm. During this time, patients received contemporaneous, standard-of-care therapy for CKD while undergoing follow-up evaluations every three months, similar to subjects in the active treatment group. Consequently, the study design included a randomized control group receiving standard-of-care treatment for the first 12 months and a randomized, active treatment group which received up to two REACT injections and follow-up evaluations during the same period of time. After 12 months, subjects from the deferred treatment group were eligible to receive a series of up to two REACT injections given approximately six months apart, as appropriate, administered into the biopsied kidney. In both treatment groups, as per study protocol, if the eGFR of any subject fell below 20 ml/min/1.73m</w:t>
      </w:r>
      <w:r>
        <w:rPr>
          <w:rFonts w:ascii="Arial" w:cs="Arial" w:eastAsia="Arial" w:hAnsi="Arial"/>
          <w:sz w:val="23"/>
          <w:szCs w:val="23"/>
          <w:color w:val="auto"/>
          <w:vertAlign w:val="superscript"/>
        </w:rPr>
        <w:t>2</w:t>
      </w:r>
      <w:r>
        <w:rPr>
          <w:rFonts w:ascii="Arial" w:cs="Arial" w:eastAsia="Arial" w:hAnsi="Arial"/>
          <w:sz w:val="17"/>
          <w:szCs w:val="17"/>
          <w:color w:val="auto"/>
        </w:rPr>
        <w:t>, that subject would not receive their REACT injection, whether it was their first or second REACT injection.</w:t>
      </w:r>
    </w:p>
    <w:p>
      <w:pPr>
        <w:spacing w:after="0" w:line="84" w:lineRule="exact"/>
        <w:rPr>
          <w:sz w:val="20"/>
          <w:szCs w:val="20"/>
          <w:color w:val="auto"/>
        </w:rPr>
      </w:pPr>
    </w:p>
    <w:p>
      <w:pPr>
        <w:ind w:right="240" w:firstLine="524"/>
        <w:spacing w:after="0" w:line="263" w:lineRule="auto"/>
        <w:rPr>
          <w:sz w:val="20"/>
          <w:szCs w:val="20"/>
          <w:color w:val="auto"/>
        </w:rPr>
      </w:pPr>
      <w:r>
        <w:rPr>
          <w:rFonts w:ascii="Arial" w:cs="Arial" w:eastAsia="Arial" w:hAnsi="Arial"/>
          <w:sz w:val="18"/>
          <w:szCs w:val="18"/>
          <w:color w:val="auto"/>
        </w:rPr>
        <w:t>The aggregate number of subjects enrolled for the Phase 2 clinical trial was 83 of which 41 subjects were enrolled into the active treatment group and 42 subjects were enrolled into the deferred treatment group. We are on track to complete all follow-up visits for all remaining subjects in the fourth quarter of 2023.</w:t>
      </w:r>
    </w:p>
    <w:p>
      <w:pPr>
        <w:spacing w:after="0" w:line="76" w:lineRule="exact"/>
        <w:rPr>
          <w:sz w:val="20"/>
          <w:szCs w:val="20"/>
          <w:color w:val="auto"/>
        </w:rPr>
      </w:pPr>
    </w:p>
    <w:p>
      <w:pPr>
        <w:ind w:right="120" w:firstLine="524"/>
        <w:spacing w:after="0" w:line="275" w:lineRule="auto"/>
        <w:rPr>
          <w:sz w:val="20"/>
          <w:szCs w:val="20"/>
          <w:color w:val="auto"/>
        </w:rPr>
      </w:pPr>
      <w:r>
        <w:rPr>
          <w:rFonts w:ascii="Arial" w:cs="Arial" w:eastAsia="Arial" w:hAnsi="Arial"/>
          <w:sz w:val="17"/>
          <w:szCs w:val="17"/>
          <w:color w:val="auto"/>
        </w:rPr>
        <w:t>Updated interim data from the ongoing study were released in November 2023 and included data from the 83 patients enrolled. The interim dataset revealed a safety profile in line with previously reported data from earlier Phase 1 and Phase 2 trials, with tolerability similar to that of a routine kidney biopsy. Overall, the updated trial data demonstrated REACT’s potential for kidney function preservation in patients with advanced CKD caused by diabetes, with the most notable potential benefit shown in patients who had the highest risk of kidney failure (CKD Stage 4 with moderate to severe albuminuria). Albuminuria refers to the presence of an excess of the protein albumin in urine, which is a sign of kidney injury.</w:t>
      </w:r>
    </w:p>
    <w:p>
      <w:pPr>
        <w:spacing w:after="0" w:line="68" w:lineRule="exact"/>
        <w:rPr>
          <w:sz w:val="20"/>
          <w:szCs w:val="20"/>
          <w:color w:val="auto"/>
        </w:rPr>
      </w:pPr>
    </w:p>
    <w:p>
      <w:pPr>
        <w:ind w:right="200" w:firstLine="524"/>
        <w:spacing w:after="0" w:line="277" w:lineRule="auto"/>
        <w:rPr>
          <w:sz w:val="20"/>
          <w:szCs w:val="20"/>
          <w:color w:val="auto"/>
        </w:rPr>
      </w:pPr>
      <w:r>
        <w:rPr>
          <w:rFonts w:ascii="Arial" w:cs="Arial" w:eastAsia="Arial" w:hAnsi="Arial"/>
          <w:sz w:val="18"/>
          <w:szCs w:val="18"/>
          <w:color w:val="auto"/>
        </w:rPr>
        <w:t>We expect to provide full data of our RMCL-002 Phase 2 study in the first half of 2024. Results from interim data may not be indicative of results from future data.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REGEN-007</w:t>
      </w:r>
    </w:p>
    <w:p>
      <w:pPr>
        <w:spacing w:after="0" w:line="117" w:lineRule="exact"/>
        <w:rPr>
          <w:sz w:val="20"/>
          <w:szCs w:val="20"/>
          <w:color w:val="auto"/>
        </w:rPr>
      </w:pPr>
    </w:p>
    <w:p>
      <w:pPr>
        <w:ind w:right="140" w:firstLine="524"/>
        <w:spacing w:after="0" w:line="277" w:lineRule="auto"/>
        <w:rPr>
          <w:sz w:val="20"/>
          <w:szCs w:val="20"/>
          <w:color w:val="auto"/>
        </w:rPr>
      </w:pPr>
      <w:r>
        <w:rPr>
          <w:rFonts w:ascii="Arial" w:cs="Arial" w:eastAsia="Arial" w:hAnsi="Arial"/>
          <w:sz w:val="18"/>
          <w:szCs w:val="18"/>
          <w:color w:val="auto"/>
        </w:rPr>
        <w:t>REGEN-007 is an ongoing Phase 2, prospective, randomized, open-label, repeat dose, double-arm, controlled safety and efficacy study of REACT in subjects with type 1 or 2 diabetes and CKD.</w:t>
      </w:r>
    </w:p>
    <w:p>
      <w:pPr>
        <w:spacing w:after="0" w:line="62" w:lineRule="exact"/>
        <w:rPr>
          <w:sz w:val="20"/>
          <w:szCs w:val="20"/>
          <w:color w:val="auto"/>
        </w:rPr>
      </w:pPr>
    </w:p>
    <w:p>
      <w:pPr>
        <w:ind w:right="140" w:firstLine="524"/>
        <w:spacing w:after="0" w:line="260" w:lineRule="auto"/>
        <w:rPr>
          <w:sz w:val="20"/>
          <w:szCs w:val="20"/>
          <w:color w:val="auto"/>
        </w:rPr>
      </w:pPr>
      <w:r>
        <w:rPr>
          <w:rFonts w:ascii="Arial" w:cs="Arial" w:eastAsia="Arial" w:hAnsi="Arial"/>
          <w:sz w:val="17"/>
          <w:szCs w:val="17"/>
          <w:color w:val="auto"/>
        </w:rPr>
        <w:t>The primary objective of this study is to assess the safety and efficacy of up to two REACT injections given approximately three months apart to patients with Type 1 and 2 diabetic kidney disease with eGFRs between 20 and 50 ml/min/1.73m</w:t>
      </w:r>
      <w:r>
        <w:rPr>
          <w:rFonts w:ascii="Arial" w:cs="Arial" w:eastAsia="Arial" w:hAnsi="Arial"/>
          <w:sz w:val="23"/>
          <w:szCs w:val="23"/>
          <w:color w:val="auto"/>
          <w:vertAlign w:val="superscript"/>
        </w:rPr>
        <w:t>2</w:t>
      </w:r>
      <w:r>
        <w:rPr>
          <w:rFonts w:ascii="Arial" w:cs="Arial" w:eastAsia="Arial" w:hAnsi="Arial"/>
          <w:sz w:val="17"/>
          <w:szCs w:val="17"/>
          <w:color w:val="auto"/>
        </w:rPr>
        <w:t>) and delivered into biopsied and non-biopsied contralateral kidneys using a minimally invasive percutaneous approach. This is compared to a single REACT injection followed by monitoring and a potential second injection delivered into the non-biopsied contralateral kidney using a minimally invasive percutaneous approach triggered by a 20% decrease in eGFR and/or a 30% increase in urinary albumin-creatinine ratio (UACR) delivered within approximately 60 days of the trigger being met. In previous Phase 2 studies, we injected REACT into the same kidney twice. Based on a generally favorable safety profile observed in previous studies, we are now proceeding with the injection of REACT into both kidneys in REGEN-007. We expect the data generated by REGEN-007 will enable us to better understand the impact of REACT on kidney function from injections in both kidneys.</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have completed enrollment in REGEN-007 with a total of 53 subjects. We anticipate reporting interim data from this study in mid-2024.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REGEN-016/proact 2 trial</w:t>
      </w:r>
    </w:p>
    <w:p>
      <w:pPr>
        <w:spacing w:after="0" w:line="117" w:lineRule="exact"/>
        <w:rPr>
          <w:sz w:val="20"/>
          <w:szCs w:val="20"/>
          <w:color w:val="auto"/>
        </w:rPr>
      </w:pPr>
    </w:p>
    <w:p>
      <w:pPr>
        <w:ind w:right="40" w:firstLine="524"/>
        <w:spacing w:after="0" w:line="238" w:lineRule="auto"/>
        <w:rPr>
          <w:sz w:val="20"/>
          <w:szCs w:val="20"/>
          <w:color w:val="auto"/>
        </w:rPr>
      </w:pPr>
      <w:r>
        <w:rPr>
          <w:rFonts w:ascii="Arial" w:cs="Arial" w:eastAsia="Arial" w:hAnsi="Arial"/>
          <w:sz w:val="18"/>
          <w:szCs w:val="18"/>
          <w:color w:val="auto"/>
        </w:rPr>
        <w:t>REGEN-016 (proact 2) is a planned Phase 3, randomized, single-blinded, sham control arm, bi-lateral kidney dose, controlled efficacy study of REACT in subjects with Stages 3b and 4 CKD caused by type 2 diabetes (specifically eGFR between 20 ml and 44 ml min/1.73m</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with moderate to severe albuminuria (UACR between 300 and 5,000 mg/g)). This study will be implemented in clinical centers in Europe, Latin America, Asia-Pacific and some United States centers.</w:t>
      </w:r>
    </w:p>
    <w:p>
      <w:pPr>
        <w:spacing w:after="0" w:line="96" w:lineRule="exact"/>
        <w:rPr>
          <w:sz w:val="20"/>
          <w:szCs w:val="20"/>
          <w:color w:val="auto"/>
        </w:rPr>
      </w:pPr>
    </w:p>
    <w:p>
      <w:pPr>
        <w:ind w:right="20" w:firstLine="524"/>
        <w:spacing w:after="0" w:line="254" w:lineRule="auto"/>
        <w:rPr>
          <w:sz w:val="20"/>
          <w:szCs w:val="20"/>
          <w:color w:val="auto"/>
        </w:rPr>
      </w:pPr>
      <w:r>
        <w:rPr>
          <w:rFonts w:ascii="Arial" w:cs="Arial" w:eastAsia="Arial" w:hAnsi="Arial"/>
          <w:sz w:val="18"/>
          <w:szCs w:val="18"/>
          <w:color w:val="auto"/>
        </w:rPr>
        <w:t>The primary objective of this study is to assess the efficacy of up to two REACT injections given three months apart and delivered into biopsied and non-biopsied contralateral kidneys using a minimally invasive percutaneous approach. Enrolled subjects will be stratified based upon stage of disease and standard of care (e.g., SGLT2 and/or MRA use) then randomized (1:1) to the treatment group or the “masked” sham control group prior to kidney biopsy. The total planned enrollment is 600 subjects.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left="540"/>
        <w:spacing w:after="0"/>
        <w:rPr>
          <w:sz w:val="20"/>
          <w:szCs w:val="20"/>
          <w:color w:val="auto"/>
        </w:rPr>
      </w:pPr>
      <w:r>
        <w:rPr>
          <w:rFonts w:ascii="Arial" w:cs="Arial" w:eastAsia="Arial" w:hAnsi="Arial"/>
          <w:sz w:val="18"/>
          <w:szCs w:val="18"/>
          <w:color w:val="auto"/>
        </w:rPr>
        <w:t>The primary composite endpoint is the time from first injection to the earliest of:</w:t>
      </w:r>
    </w:p>
    <w:p>
      <w:pPr>
        <w:spacing w:after="0" w:line="11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40% reduction in eGFR, using the 2009 CKD-EPI serum creatinine equation, sustained for 30 days;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eGFR &lt;15 mL/min/1.73m² using the 2009 CKD-EPI serum creatinine equation, sustained for 30 days and/or chronic dialysis, and/or renal transplant;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renal or cardiovascular death.</w:t>
      </w:r>
    </w:p>
    <w:p>
      <w:pPr>
        <w:spacing w:after="0" w:line="117" w:lineRule="exact"/>
        <w:rPr>
          <w:sz w:val="20"/>
          <w:szCs w:val="20"/>
          <w:color w:val="auto"/>
        </w:rPr>
      </w:pPr>
    </w:p>
    <w:p>
      <w:pPr>
        <w:ind w:right="140" w:firstLine="524"/>
        <w:spacing w:after="0" w:line="257" w:lineRule="auto"/>
        <w:rPr>
          <w:sz w:val="20"/>
          <w:szCs w:val="20"/>
          <w:color w:val="auto"/>
        </w:rPr>
      </w:pPr>
      <w:r>
        <w:rPr>
          <w:rFonts w:ascii="Arial" w:cs="Arial" w:eastAsia="Arial" w:hAnsi="Arial"/>
          <w:sz w:val="18"/>
          <w:szCs w:val="18"/>
          <w:color w:val="auto"/>
        </w:rPr>
        <w:t>A recent audit by the Company’s contracted Qualified Person (QP) to evaluate our readiness for release and distribution of REACT in the EU identified certain deficiencies in the documentation of the quality management systems to be addressed prior to release and distribution of product for EU clinical sites. Manufacturing is therefore paused while we optimize our capabilities to meet EU and global standards for our Phase 3 program and prepare for a transition to commercial manufacturing. We expect proact 2 will commence enrollment in the first half of 2024. No safety events have necessitated this pause.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REGEN-006/proact 1 trial</w:t>
      </w:r>
    </w:p>
    <w:p>
      <w:pPr>
        <w:spacing w:after="0" w:line="117" w:lineRule="exact"/>
        <w:rPr>
          <w:sz w:val="20"/>
          <w:szCs w:val="20"/>
          <w:color w:val="auto"/>
        </w:rPr>
      </w:pPr>
    </w:p>
    <w:p>
      <w:pPr>
        <w:ind w:right="180" w:firstLine="524"/>
        <w:spacing w:after="0" w:line="281" w:lineRule="auto"/>
        <w:rPr>
          <w:sz w:val="20"/>
          <w:szCs w:val="20"/>
          <w:color w:val="auto"/>
        </w:rPr>
      </w:pPr>
      <w:r>
        <w:rPr>
          <w:rFonts w:ascii="Arial" w:cs="Arial" w:eastAsia="Arial" w:hAnsi="Arial"/>
          <w:sz w:val="17"/>
          <w:szCs w:val="17"/>
          <w:color w:val="auto"/>
        </w:rPr>
        <w:t>REGEN-006 (proact 1) is a Phase 3, randomized, single-blinded, bi-lateral kidney dose, sham control arm, controlled efficacy study of REACT in subjects with CKD caused by type 2 diabetes and is being amended to focus on a subset of patients with Stage 4 CKD (eGFR between 20 ml and 30 ml min/1.73m</w:t>
      </w:r>
      <w:r>
        <w:rPr>
          <w:rFonts w:ascii="Arial" w:cs="Arial" w:eastAsia="Arial" w:hAnsi="Arial"/>
          <w:sz w:val="23"/>
          <w:szCs w:val="23"/>
          <w:color w:val="auto"/>
          <w:vertAlign w:val="superscript"/>
        </w:rPr>
        <w:t>2</w:t>
      </w:r>
      <w:r>
        <w:rPr>
          <w:rFonts w:ascii="Arial" w:cs="Arial" w:eastAsia="Arial" w:hAnsi="Arial"/>
          <w:sz w:val="17"/>
          <w:szCs w:val="17"/>
          <w:color w:val="auto"/>
        </w:rPr>
        <w:t>) and late Stage 3b CKD (eGFR between 30 ml and 35 ml min/1.73m</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 with moderate to severe albuminuria.</w:t>
      </w:r>
    </w:p>
    <w:p>
      <w:pPr>
        <w:spacing w:after="0" w:line="2" w:lineRule="exact"/>
        <w:rPr>
          <w:sz w:val="20"/>
          <w:szCs w:val="20"/>
          <w:color w:val="auto"/>
        </w:rPr>
      </w:pPr>
    </w:p>
    <w:p>
      <w:pPr>
        <w:ind w:firstLine="524"/>
        <w:spacing w:after="0" w:line="259" w:lineRule="auto"/>
        <w:rPr>
          <w:sz w:val="20"/>
          <w:szCs w:val="20"/>
          <w:color w:val="auto"/>
        </w:rPr>
      </w:pPr>
      <w:r>
        <w:rPr>
          <w:rFonts w:ascii="Arial" w:cs="Arial" w:eastAsia="Arial" w:hAnsi="Arial"/>
          <w:sz w:val="18"/>
          <w:szCs w:val="18"/>
          <w:color w:val="auto"/>
        </w:rPr>
        <w:t>The primary objective of this study is to assess the efficacy of up to two REACT injections given three months apart and delivered into biopsied and non-biopsied contralateral kidneys using a minimally invasive percutaneous approach. The originally planned enrollment of 600 total subjects in this study will be increased to include the approximately 50 subjects already enrolled and who meet the planned amended trial eligibility criteria, for a total target enrollment of approximately 650 patients.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primary composite endpoint is the time from first injection to the earliest of:</w:t>
      </w:r>
    </w:p>
    <w:p>
      <w:pPr>
        <w:spacing w:after="0" w:line="11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40% reduction in eGFR, using the 2009 CKD-EPI serum creatinine equation, sustained for 30 days;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eGFR &lt;15 mL/min/1.73m² using the 2009 CKD-EPI serum creatinine equation, sustained for 30 days and/or chronic dialysis, and/or renal transplant; or</w:t>
      </w:r>
    </w:p>
    <w:p>
      <w:pPr>
        <w:spacing w:after="0" w:line="62" w:lineRule="exact"/>
        <w:rPr>
          <w:rFonts w:ascii="Arial" w:cs="Arial" w:eastAsia="Arial" w:hAnsi="Arial"/>
          <w:sz w:val="18"/>
          <w:szCs w:val="18"/>
          <w:color w:val="auto"/>
        </w:rPr>
      </w:pPr>
    </w:p>
    <w:p>
      <w:pPr>
        <w:ind w:left="1080" w:hanging="56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renal or cardiovascular death.</w:t>
      </w:r>
    </w:p>
    <w:p>
      <w:pPr>
        <w:spacing w:after="0" w:line="117" w:lineRule="exact"/>
        <w:rPr>
          <w:sz w:val="20"/>
          <w:szCs w:val="20"/>
          <w:color w:val="auto"/>
        </w:rPr>
      </w:pPr>
    </w:p>
    <w:p>
      <w:pPr>
        <w:ind w:right="720" w:firstLine="524"/>
        <w:spacing w:after="0" w:line="277" w:lineRule="auto"/>
        <w:rPr>
          <w:sz w:val="20"/>
          <w:szCs w:val="20"/>
          <w:color w:val="auto"/>
        </w:rPr>
      </w:pPr>
      <w:r>
        <w:rPr>
          <w:rFonts w:ascii="Arial" w:cs="Arial" w:eastAsia="Arial" w:hAnsi="Arial"/>
          <w:sz w:val="18"/>
          <w:szCs w:val="18"/>
          <w:color w:val="auto"/>
        </w:rPr>
        <w:t>Subjects will be randomized (1:1) to the treatment group or the “masked” sham control group prior to kidney biopsy. REGEN-006 will be conducted in clinical centers in the United States, Canada, Australia, Mexico, Taiwan and the United Kingdom.</w:t>
      </w:r>
    </w:p>
    <w:p>
      <w:pPr>
        <w:spacing w:after="0" w:line="62" w:lineRule="exact"/>
        <w:rPr>
          <w:sz w:val="20"/>
          <w:szCs w:val="20"/>
          <w:color w:val="auto"/>
        </w:rPr>
      </w:pPr>
    </w:p>
    <w:p>
      <w:pPr>
        <w:ind w:right="40" w:firstLine="524"/>
        <w:spacing w:after="0" w:line="272" w:lineRule="auto"/>
        <w:rPr>
          <w:sz w:val="20"/>
          <w:szCs w:val="20"/>
          <w:color w:val="auto"/>
        </w:rPr>
      </w:pPr>
      <w:r>
        <w:rPr>
          <w:rFonts w:ascii="Arial" w:cs="Arial" w:eastAsia="Arial" w:hAnsi="Arial"/>
          <w:sz w:val="17"/>
          <w:szCs w:val="17"/>
          <w:color w:val="auto"/>
        </w:rPr>
        <w:t>In concert with our pause of manufacturing to optimize our capabilities to meet EU and global standards for our Phase 3 program and prepare for a transition to commercial manufacturing, and based on the interim data from RMCL-002 and feedback from payer and health technology assessment (HTA) experts, we are proactively modifying REGEN-006 to increase probability of success. This includes a focus on patients at highest risk of kidney disease progression and who are of interest to payers due to the significant cost burden associated with their medical care. Based on feedback from our clinical sites, we also intend to incorporate additional administrative changes to improve operational efficiencies and clinical site engagement. No safety issues have required any of these protocol changes. We anticipate submitting protocol amendments for this study to regulatory agencies in early 2024 and anticipate reinitiating enrollment of subjects during the first half of 2024.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Strategy</w:t>
      </w:r>
    </w:p>
    <w:p>
      <w:pPr>
        <w:spacing w:after="0" w:line="117" w:lineRule="exact"/>
        <w:rPr>
          <w:sz w:val="20"/>
          <w:szCs w:val="20"/>
          <w:color w:val="auto"/>
        </w:rPr>
      </w:pPr>
    </w:p>
    <w:p>
      <w:pPr>
        <w:ind w:right="60" w:firstLine="524"/>
        <w:spacing w:after="0" w:line="271" w:lineRule="auto"/>
        <w:rPr>
          <w:sz w:val="20"/>
          <w:szCs w:val="20"/>
          <w:color w:val="auto"/>
        </w:rPr>
      </w:pPr>
      <w:r>
        <w:rPr>
          <w:rFonts w:ascii="Arial" w:cs="Arial" w:eastAsia="Arial" w:hAnsi="Arial"/>
          <w:sz w:val="17"/>
          <w:szCs w:val="17"/>
          <w:color w:val="auto"/>
        </w:rPr>
        <w:t>In preparation for our commercial manufacturing needs in the event that REACT receives regulatory approval, through our wholly-owned subsidiary, ProKidney Acquisition Company, LLC, we completed the closing of the purchase of a 210,000 square foot facility and approximately 22 acres of land in Greensboro, North Carolina, in July 2023. Under the terms of the purchase agreement, we paid approximately $25.5 million in cash for the facility and property. In connection with the purchase, the city of Greensboro, North Carolina, Guilford County, North Carolina and the North Carolina State Economic Investment Committee have approved incentive packages under which ProKidney is eligible to receive, in aggregate, up to approximately $33.7 million in tax credits, as well as up to $1.9 million in energy credits from Duke Energy. Receipt of these incentives is based upon the achievement of certain milestones, including the creation of at least 330 new jobs on or before December 31, 2028, and project investment of approximately $458 million made, or caused to be made, by the Company in real and personal property by December 31, 2027.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Global Developments</w:t>
      </w:r>
    </w:p>
    <w:p>
      <w:pPr>
        <w:spacing w:after="0" w:line="121" w:lineRule="exact"/>
        <w:rPr>
          <w:sz w:val="20"/>
          <w:szCs w:val="20"/>
          <w:color w:val="auto"/>
        </w:rPr>
      </w:pPr>
    </w:p>
    <w:p>
      <w:pPr>
        <w:jc w:val="both"/>
        <w:ind w:right="80" w:firstLine="509"/>
        <w:spacing w:after="0" w:line="255" w:lineRule="auto"/>
        <w:rPr>
          <w:sz w:val="20"/>
          <w:szCs w:val="20"/>
          <w:color w:val="auto"/>
        </w:rPr>
      </w:pPr>
      <w:r>
        <w:rPr>
          <w:rFonts w:ascii="Arial" w:cs="Arial" w:eastAsia="Arial" w:hAnsi="Arial"/>
          <w:sz w:val="18"/>
          <w:szCs w:val="18"/>
          <w:color w:val="auto"/>
        </w:rPr>
        <w:t>In 2022,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including by making capital more difficult and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jc w:val="both"/>
        <w:ind w:right="440"/>
        <w:spacing w:after="0" w:line="263" w:lineRule="auto"/>
        <w:rPr>
          <w:sz w:val="20"/>
          <w:szCs w:val="20"/>
          <w:color w:val="auto"/>
        </w:rPr>
      </w:pPr>
      <w:r>
        <w:rPr>
          <w:rFonts w:ascii="Arial" w:cs="Arial" w:eastAsia="Arial" w:hAnsi="Arial"/>
          <w:sz w:val="18"/>
          <w:szCs w:val="18"/>
          <w:color w:val="auto"/>
        </w:rPr>
        <w:t>costly to obtain on reasonable terms and when needed.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spacing w:after="0" w:line="76" w:lineRule="exact"/>
        <w:rPr>
          <w:sz w:val="20"/>
          <w:szCs w:val="20"/>
          <w:color w:val="auto"/>
        </w:rPr>
      </w:pPr>
    </w:p>
    <w:p>
      <w:pPr>
        <w:ind w:right="260" w:firstLine="554"/>
        <w:spacing w:after="0" w:line="301" w:lineRule="auto"/>
        <w:rPr>
          <w:sz w:val="20"/>
          <w:szCs w:val="20"/>
          <w:color w:val="auto"/>
        </w:rPr>
      </w:pPr>
      <w:r>
        <w:rPr>
          <w:rFonts w:ascii="Arial" w:cs="Arial" w:eastAsia="Arial" w:hAnsi="Arial"/>
          <w:sz w:val="16"/>
          <w:szCs w:val="16"/>
          <w:color w:val="auto"/>
        </w:rPr>
        <w:t>In addition, although we have no operations in or direct exposure to Russia, Belarus, Ukraine, Israel and Palestine, we have experienced limited constraints in availability and increasing costs required to obtain some materials and supplies due, in part, to the negative impact of the Russia-Ukraine military conflict on the global economy, which contributed to global supply chain disruptions. To date, our business has not been materially impacted by the conflict; however, as the conflict continues or worsens, it may adversely impact our business, financial condition or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have not generated any revenue since our inception and do not expect to generate any revenue from the sale of products in the near future, if at all. If our development efforts for REACT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our research and development activities, including the development of REACT.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include:</w:t>
      </w:r>
    </w:p>
    <w:p>
      <w:pPr>
        <w:spacing w:after="0" w:line="117"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CROs and other scientific development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other outside consultants, including their fees and related travel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quality and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laboratory supplies and acquiring and developing clinical trial materials;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stock-based compensation expenses, for individuals involved in research and development activities; and</w:t>
      </w:r>
    </w:p>
    <w:p>
      <w:pPr>
        <w:spacing w:after="0" w:line="62"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insurance and other internal operating costs.</w:t>
      </w:r>
    </w:p>
    <w:p>
      <w:pPr>
        <w:spacing w:after="0" w:line="170"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spacing w:after="0" w:line="178"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Research and development activities are central to our business model. We expect that our research and development expenses will increase significantly for the foreseeable future as REACT moves into later stages of clinical development.</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successful development of REACT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REACT or potential future product candidates, if approved. This is due to the numerous risks and uncertainties associated with developing product candidates, many of which are outside of our control, including the uncertainty of:</w:t>
      </w:r>
    </w:p>
    <w:p>
      <w:pPr>
        <w:spacing w:after="0" w:line="80"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progress of non-clinical and clinical development activities;</w:t>
      </w:r>
    </w:p>
    <w:p>
      <w:pPr>
        <w:spacing w:after="0" w:line="117" w:lineRule="exact"/>
        <w:rPr>
          <w:rFonts w:ascii="Arial" w:cs="Arial" w:eastAsia="Arial" w:hAnsi="Arial"/>
          <w:sz w:val="18"/>
          <w:szCs w:val="18"/>
          <w:color w:val="auto"/>
        </w:rPr>
      </w:pPr>
    </w:p>
    <w:p>
      <w:pPr>
        <w:ind w:left="5540" w:right="4400" w:hanging="5023"/>
        <w:spacing w:after="0" w:line="277" w:lineRule="auto"/>
        <w:tabs>
          <w:tab w:leader="none" w:pos="10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non-clinical and clinical programs we decide to pursue;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 appropriate safety-profile;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sites and patients involved in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countries in which the clinical trials are conducted;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of, clinical trials, as well as drop out or discontinuation rates;</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successful completion of clinical trials with safety, tolerability and efficacy profiles that are satisfactory to the FDA and comparable foreign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terms of any regulatory approvals from applicable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maintaining, defending and enforcing patient claims or other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benefits of REACT over other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REACT, if approved, whether alone or in collaboration with others;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REACT following approval.</w:t>
      </w:r>
    </w:p>
    <w:p>
      <w:pPr>
        <w:spacing w:after="0" w:line="225"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consists primarily of interest income earned on cash, cash equivalents and marketable securities.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20" w:firstLine="509"/>
        <w:spacing w:after="0" w:line="258" w:lineRule="auto"/>
        <w:rPr>
          <w:sz w:val="20"/>
          <w:szCs w:val="20"/>
          <w:color w:val="auto"/>
        </w:rPr>
      </w:pPr>
      <w:r>
        <w:rPr>
          <w:rFonts w:ascii="Arial" w:cs="Arial" w:eastAsia="Arial" w:hAnsi="Arial"/>
          <w:sz w:val="18"/>
          <w:szCs w:val="18"/>
          <w:color w:val="auto"/>
        </w:rPr>
        <w:t>Income tax expense reflects federal and state taxes on income earned by our subsidiary that is organized as a C corporation for U.S. income tax purposes.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Three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gridSpan w:val="8"/>
          </w:tcPr>
          <w:p>
            <w:pPr>
              <w:jc w:val="right"/>
              <w:ind w:right="881"/>
              <w:spacing w:after="0"/>
              <w:rPr>
                <w:sz w:val="20"/>
                <w:szCs w:val="20"/>
                <w:color w:val="auto"/>
              </w:rPr>
            </w:pPr>
            <w:r>
              <w:rPr>
                <w:rFonts w:ascii="Arial" w:cs="Arial" w:eastAsia="Arial" w:hAnsi="Arial"/>
                <w:sz w:val="18"/>
                <w:szCs w:val="18"/>
                <w:b w:val="1"/>
                <w:bCs w:val="1"/>
                <w:color w:val="auto"/>
              </w:rPr>
              <w:t>Three Months Ended September 30,</w:t>
            </w:r>
          </w:p>
        </w:tc>
      </w:tr>
      <w:tr>
        <w:trPr>
          <w:trHeight w:val="239"/>
        </w:trPr>
        <w:tc>
          <w:tcPr>
            <w:tcW w:w="66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32,198</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21,132</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36"/>
        </w:trPr>
        <w:tc>
          <w:tcPr>
            <w:tcW w:w="66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46,617</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35,572</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tcBorders>
              <w:top w:val="single" w:sz="8" w:color="CFF0FC"/>
            </w:tcBorders>
          </w:tcPr>
          <w:p>
            <w:pPr>
              <w:spacing w:after="0"/>
              <w:rPr>
                <w:sz w:val="20"/>
                <w:szCs w:val="20"/>
                <w:color w:val="auto"/>
              </w:rPr>
            </w:pPr>
          </w:p>
        </w:tc>
      </w:tr>
      <w:tr>
        <w:trPr>
          <w:trHeight w:val="23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(46,617</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6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(29 )</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1"/>
                <w:szCs w:val="2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Net loss before taxes</w:t>
            </w:r>
          </w:p>
        </w:tc>
        <w:tc>
          <w:tcPr>
            <w:tcW w:w="300" w:type="dxa"/>
            <w:vAlign w:val="bottom"/>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(41,078 )</w:t>
            </w:r>
          </w:p>
        </w:tc>
        <w:tc>
          <w:tcPr>
            <w:tcW w:w="28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(34,020 )</w:t>
            </w: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(7,058 )</w:t>
            </w:r>
          </w:p>
        </w:tc>
      </w:tr>
      <w:tr>
        <w:trPr>
          <w:trHeight w:val="230"/>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-976630</wp:posOffset>
            </wp:positionV>
            <wp:extent cx="7683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-976630</wp:posOffset>
            </wp:positionV>
            <wp:extent cx="6858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-650875</wp:posOffset>
            </wp:positionV>
            <wp:extent cx="76835"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-650875</wp:posOffset>
            </wp:positionV>
            <wp:extent cx="6858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-333375</wp:posOffset>
            </wp:positionV>
            <wp:extent cx="76835"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-333375</wp:posOffset>
            </wp:positionV>
            <wp:extent cx="6858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300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300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3003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p>
      <w:pPr>
        <w:ind w:left="160" w:right="2260" w:hanging="134"/>
        <w:spacing w:after="0" w:line="265" w:lineRule="auto"/>
        <w:rPr>
          <w:sz w:val="20"/>
          <w:szCs w:val="20"/>
          <w:color w:val="auto"/>
        </w:rPr>
      </w:pPr>
      <w:r>
        <w:rPr>
          <w:rFonts w:ascii="Arial" w:cs="Arial" w:eastAsia="Arial" w:hAnsi="Arial"/>
          <w:sz w:val="18"/>
          <w:szCs w:val="18"/>
          <w:color w:val="auto"/>
        </w:rPr>
        <w:t>Net and comprehensive loss before noncontrolling interest</w:t>
      </w:r>
    </w:p>
    <w:p>
      <w:pPr>
        <w:spacing w:after="0" w:line="1" w:lineRule="exact"/>
        <w:rPr>
          <w:sz w:val="20"/>
          <w:szCs w:val="20"/>
          <w:color w:val="auto"/>
        </w:rPr>
      </w:pPr>
    </w:p>
    <w:p>
      <w:pPr>
        <w:ind w:left="340" w:right="2320" w:hanging="134"/>
        <w:spacing w:after="0" w:line="266" w:lineRule="auto"/>
        <w:rPr>
          <w:sz w:val="20"/>
          <w:szCs w:val="20"/>
          <w:color w:val="auto"/>
        </w:rPr>
      </w:pPr>
      <w:r>
        <w:rPr>
          <w:rFonts w:ascii="Arial" w:cs="Arial" w:eastAsia="Arial" w:hAnsi="Arial"/>
          <w:sz w:val="18"/>
          <w:szCs w:val="18"/>
          <w:color w:val="auto"/>
        </w:rPr>
        <w:t>Net loss and comprehensive loss attributable to noncontrolling interest</w:t>
      </w:r>
    </w:p>
    <w:p>
      <w:pPr>
        <w:ind w:left="160" w:right="2060" w:hanging="134"/>
        <w:spacing w:after="0" w:line="277" w:lineRule="auto"/>
        <w:rPr>
          <w:sz w:val="20"/>
          <w:szCs w:val="20"/>
          <w:color w:val="auto"/>
        </w:rPr>
      </w:pPr>
      <w:r>
        <w:rPr>
          <w:rFonts w:ascii="Arial" w:cs="Arial" w:eastAsia="Arial" w:hAnsi="Arial"/>
          <w:sz w:val="18"/>
          <w:szCs w:val="18"/>
          <w:color w:val="auto"/>
        </w:rPr>
        <w:t>Net loss and comprehensive loss available to Class A ordinary shareholders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(41,991 )</w:t>
            </w:r>
          </w:p>
        </w:tc>
        <w:tc>
          <w:tcPr>
            <w:tcW w:w="420" w:type="dxa"/>
            <w:vAlign w:val="bottom"/>
          </w:tcPr>
          <w:p>
            <w:pPr>
              <w:spacing w:after="0"/>
              <w:rPr>
                <w:sz w:val="20"/>
                <w:szCs w:val="20"/>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(33,945 )</w:t>
            </w:r>
          </w:p>
        </w:tc>
        <w:tc>
          <w:tcPr>
            <w:tcW w:w="4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(8,046 )</w:t>
            </w:r>
          </w:p>
        </w:tc>
      </w:tr>
      <w:tr>
        <w:trPr>
          <w:trHeight w:val="452"/>
        </w:trPr>
        <w:tc>
          <w:tcPr>
            <w:tcW w:w="440" w:type="dxa"/>
            <w:vAlign w:val="bottom"/>
          </w:tcPr>
          <w:p>
            <w:pPr>
              <w:spacing w:after="0"/>
              <w:rPr>
                <w:sz w:val="24"/>
                <w:szCs w:val="24"/>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(31,007 )</w:t>
            </w:r>
          </w:p>
        </w:tc>
        <w:tc>
          <w:tcPr>
            <w:tcW w:w="420" w:type="dxa"/>
            <w:vAlign w:val="bottom"/>
          </w:tcPr>
          <w:p>
            <w:pPr>
              <w:spacing w:after="0"/>
              <w:rPr>
                <w:sz w:val="24"/>
                <w:szCs w:val="24"/>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(22,017 )</w:t>
            </w:r>
          </w:p>
        </w:tc>
        <w:tc>
          <w:tcPr>
            <w:tcW w:w="4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(8,990 )</w:t>
            </w:r>
          </w:p>
        </w:tc>
      </w:tr>
      <w:tr>
        <w:trPr>
          <w:trHeight w:val="20"/>
        </w:trPr>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320"/>
              <w:spacing w:after="0"/>
              <w:rPr>
                <w:sz w:val="20"/>
                <w:szCs w:val="20"/>
                <w:color w:val="auto"/>
              </w:rPr>
            </w:pPr>
            <w:r>
              <w:rPr>
                <w:rFonts w:ascii="Arial" w:cs="Arial" w:eastAsia="Arial" w:hAnsi="Arial"/>
                <w:sz w:val="18"/>
                <w:szCs w:val="18"/>
                <w:color w:val="auto"/>
              </w:rPr>
              <w:t>(10,984 )   $</w:t>
            </w:r>
          </w:p>
        </w:tc>
        <w:tc>
          <w:tcPr>
            <w:tcW w:w="1600" w:type="dxa"/>
            <w:vAlign w:val="bottom"/>
            <w:gridSpan w:val="3"/>
          </w:tcPr>
          <w:p>
            <w:pPr>
              <w:ind w:left="320"/>
              <w:spacing w:after="0"/>
              <w:rPr>
                <w:sz w:val="20"/>
                <w:szCs w:val="20"/>
                <w:color w:val="auto"/>
              </w:rPr>
            </w:pPr>
            <w:r>
              <w:rPr>
                <w:rFonts w:ascii="Arial" w:cs="Arial" w:eastAsia="Arial" w:hAnsi="Arial"/>
                <w:sz w:val="18"/>
                <w:szCs w:val="18"/>
                <w:color w:val="auto"/>
              </w:rPr>
              <w:t>(11,928 )  $</w:t>
            </w:r>
          </w:p>
        </w:tc>
        <w:tc>
          <w:tcPr>
            <w:tcW w:w="860" w:type="dxa"/>
            <w:vAlign w:val="bottom"/>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24"/>
                <w:szCs w:val="24"/>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-582295</wp:posOffset>
            </wp:positionV>
            <wp:extent cx="7132320" cy="5829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920" w:space="720"/>
            <w:col w:w="4600"/>
          </w:cols>
          <w:pgMar w:left="320" w:top="661" w:right="339" w:bottom="144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increase in research and development expenses of approximately $11.1 million was primarily driven by the following:</w:t>
      </w:r>
    </w:p>
    <w:p>
      <w:pPr>
        <w:spacing w:after="0" w:line="117"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increases in costs of $3.2 million related to equity-based compensation driven by additional grants of equity awards to employees;</w:t>
      </w:r>
    </w:p>
    <w:p>
      <w:pPr>
        <w:spacing w:after="0" w:line="34" w:lineRule="exact"/>
        <w:rPr>
          <w:rFonts w:ascii="Arial" w:cs="Arial" w:eastAsia="Arial" w:hAnsi="Arial"/>
          <w:sz w:val="17"/>
          <w:szCs w:val="17"/>
          <w:color w:val="auto"/>
        </w:rPr>
      </w:pPr>
    </w:p>
    <w:p>
      <w:pPr>
        <w:ind w:left="1020" w:right="2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cash-based compensation costs of approximately $2.3 million due to the hiring of additional personnel particularly in the areas of clinical development, quality and biostatistics as we move forward with our clinical programs;</w:t>
      </w:r>
    </w:p>
    <w:p>
      <w:pPr>
        <w:ind w:left="1020" w:right="54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costs of approximately $4.2 million related to proact-1 and proact-2 as proact-1 continues to enroll additional subjects and proact-2 continues to incur costs related to start-up activities; and</w:t>
      </w:r>
    </w:p>
    <w:p>
      <w:pPr>
        <w:ind w:left="1020" w:right="920" w:hanging="503"/>
        <w:spacing w:after="0" w:line="26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other research and development costs of approximately $1.2 million related to additional spending on manufacturing improvements and professional fees.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consistent between the three months ended September 30, 2023 and 2022 driven by the following:</w:t>
      </w:r>
    </w:p>
    <w:p>
      <w:pPr>
        <w:spacing w:after="0" w:line="237" w:lineRule="exact"/>
        <w:rPr>
          <w:sz w:val="20"/>
          <w:szCs w:val="20"/>
          <w:color w:val="auto"/>
        </w:rPr>
      </w:pPr>
    </w:p>
    <w:p>
      <w:pPr>
        <w:ind w:left="1020" w:right="200" w:hanging="503"/>
        <w:spacing w:after="0" w:line="25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decreases in costs associated with the business combination (the “Business Combination”) between Social Capital Suvretta Holdings Corp. III and ProKidney LP (“PKLP”), including certain insurance costs of approximately $5.0 million, offset by</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increases in equity-based compensation of approximately $5.0 million related driven by grants of equity awards to employees during 2023.</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Income tax expense for the three months ended September 30, 2023 increased from the three months ended September 30, 2022 due to an increase in the effective tax rate driven by the change in the valuation allowance which was impacted by the timing of deductions for qualified research and development costs.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 (in thousands):</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8"/>
          </w:tcPr>
          <w:p>
            <w:pPr>
              <w:jc w:val="right"/>
              <w:ind w:right="770"/>
              <w:spacing w:after="0"/>
              <w:rPr>
                <w:sz w:val="20"/>
                <w:szCs w:val="20"/>
                <w:color w:val="auto"/>
              </w:rPr>
            </w:pPr>
            <w:r>
              <w:rPr>
                <w:rFonts w:ascii="Arial" w:cs="Arial" w:eastAsia="Arial" w:hAnsi="Arial"/>
                <w:sz w:val="18"/>
                <w:szCs w:val="18"/>
                <w:b w:val="1"/>
                <w:bCs w:val="1"/>
                <w:color w:val="auto"/>
              </w:rPr>
              <w:t>Nine Months Ended September 30,</w:t>
            </w:r>
          </w:p>
        </w:tc>
      </w:tr>
      <w:tr>
        <w:trPr>
          <w:trHeight w:val="239"/>
        </w:trPr>
        <w:tc>
          <w:tcPr>
            <w:tcW w:w="62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20"/>
                <w:szCs w:val="20"/>
                <w:color w:val="auto"/>
              </w:rPr>
            </w:pPr>
          </w:p>
        </w:tc>
      </w:tr>
      <w:tr>
        <w:trPr>
          <w:trHeight w:val="241"/>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2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84,179</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61,180</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22,999</w:t>
            </w:r>
          </w:p>
        </w:tc>
        <w:tc>
          <w:tcPr>
            <w:tcW w:w="100" w:type="dxa"/>
            <w:vAlign w:val="bottom"/>
          </w:tcPr>
          <w:p>
            <w:pPr>
              <w:spacing w:after="0"/>
              <w:rPr>
                <w:sz w:val="20"/>
                <w:szCs w:val="20"/>
                <w:color w:val="auto"/>
              </w:rPr>
            </w:pPr>
          </w:p>
        </w:tc>
      </w:tr>
      <w:tr>
        <w:trPr>
          <w:trHeight w:val="249"/>
        </w:trPr>
        <w:tc>
          <w:tcPr>
            <w:tcW w:w="6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61,592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(18,459 )</w:t>
            </w:r>
          </w:p>
        </w:tc>
      </w:tr>
      <w:tr>
        <w:trPr>
          <w:trHeight w:val="237"/>
        </w:trPr>
        <w:tc>
          <w:tcPr>
            <w:tcW w:w="62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w:t>
            </w: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127,312</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122,772</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Borders>
              <w:top w:val="single" w:sz="8" w:color="CFF0FC"/>
            </w:tcBorders>
          </w:tcPr>
          <w:p>
            <w:pPr>
              <w:spacing w:after="0"/>
              <w:rPr>
                <w:sz w:val="20"/>
                <w:szCs w:val="20"/>
                <w:color w:val="auto"/>
              </w:rPr>
            </w:pPr>
          </w:p>
        </w:tc>
      </w:tr>
      <w:tr>
        <w:trPr>
          <w:trHeight w:val="236"/>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(127,312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(122,772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15,222</w:t>
            </w:r>
          </w:p>
        </w:tc>
        <w:tc>
          <w:tcPr>
            <w:tcW w:w="100" w:type="dxa"/>
            <w:vAlign w:val="bottom"/>
          </w:tcPr>
          <w:p>
            <w:pPr>
              <w:spacing w:after="0"/>
              <w:rPr>
                <w:sz w:val="20"/>
                <w:szCs w:val="20"/>
                <w:color w:val="auto"/>
              </w:rPr>
            </w:pPr>
          </w:p>
        </w:tc>
      </w:tr>
      <w:tr>
        <w:trPr>
          <w:trHeight w:val="249"/>
        </w:trPr>
        <w:tc>
          <w:tcPr>
            <w:tcW w:w="6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(9 )</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(213 )</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21"/>
                <w:szCs w:val="2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loss before taxes</w:t>
            </w:r>
          </w:p>
        </w:tc>
        <w:tc>
          <w:tcPr>
            <w:tcW w:w="280" w:type="dxa"/>
            <w:vAlign w:val="bottom"/>
          </w:tcPr>
          <w:p>
            <w:pPr>
              <w:spacing w:after="0"/>
              <w:rPr>
                <w:sz w:val="20"/>
                <w:szCs w:val="20"/>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(110,518 )</w:t>
            </w:r>
          </w:p>
        </w:tc>
        <w:tc>
          <w:tcPr>
            <w:tcW w:w="280" w:type="dxa"/>
            <w:vAlign w:val="bottom"/>
          </w:tcPr>
          <w:p>
            <w:pPr>
              <w:spacing w:after="0"/>
              <w:rPr>
                <w:sz w:val="20"/>
                <w:szCs w:val="20"/>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(121,404 )</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tcPr>
          <w:p>
            <w:pPr>
              <w:spacing w:after="0"/>
              <w:rPr>
                <w:sz w:val="20"/>
                <w:szCs w:val="20"/>
                <w:color w:val="auto"/>
              </w:rPr>
            </w:pPr>
          </w:p>
        </w:tc>
      </w:tr>
      <w:tr>
        <w:trPr>
          <w:trHeight w:val="230"/>
        </w:trPr>
        <w:tc>
          <w:tcPr>
            <w:tcW w:w="6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-976630</wp:posOffset>
            </wp:positionV>
            <wp:extent cx="6858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-976630</wp:posOffset>
            </wp:positionV>
            <wp:extent cx="685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-976630</wp:posOffset>
            </wp:positionV>
            <wp:extent cx="5969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-650875</wp:posOffset>
            </wp:positionV>
            <wp:extent cx="6858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-650875</wp:posOffset>
            </wp:positionV>
            <wp:extent cx="6858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-650875</wp:posOffset>
            </wp:positionV>
            <wp:extent cx="5969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-334010</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-334010</wp:posOffset>
            </wp:positionV>
            <wp:extent cx="6858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-334010</wp:posOffset>
            </wp:positionV>
            <wp:extent cx="5969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6858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300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3003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30035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p>
      <w:pPr>
        <w:ind w:left="500" w:right="1860" w:hanging="134"/>
        <w:spacing w:after="0" w:line="265" w:lineRule="auto"/>
        <w:rPr>
          <w:sz w:val="20"/>
          <w:szCs w:val="20"/>
          <w:color w:val="auto"/>
        </w:rPr>
      </w:pPr>
      <w:r>
        <w:rPr>
          <w:rFonts w:ascii="Arial" w:cs="Arial" w:eastAsia="Arial" w:hAnsi="Arial"/>
          <w:sz w:val="18"/>
          <w:szCs w:val="18"/>
          <w:color w:val="auto"/>
        </w:rPr>
        <w:t>Net and comprehensive loss before noncontrolling interest</w:t>
      </w:r>
    </w:p>
    <w:p>
      <w:pPr>
        <w:spacing w:after="0" w:line="1" w:lineRule="exact"/>
        <w:rPr>
          <w:sz w:val="20"/>
          <w:szCs w:val="20"/>
          <w:color w:val="auto"/>
        </w:rPr>
      </w:pPr>
    </w:p>
    <w:p>
      <w:pPr>
        <w:ind w:left="680" w:right="1920" w:hanging="134"/>
        <w:spacing w:after="0" w:line="266" w:lineRule="auto"/>
        <w:rPr>
          <w:sz w:val="20"/>
          <w:szCs w:val="20"/>
          <w:color w:val="auto"/>
        </w:rPr>
      </w:pPr>
      <w:r>
        <w:rPr>
          <w:rFonts w:ascii="Arial" w:cs="Arial" w:eastAsia="Arial" w:hAnsi="Arial"/>
          <w:sz w:val="18"/>
          <w:szCs w:val="18"/>
          <w:color w:val="auto"/>
        </w:rPr>
        <w:t>Net loss and comprehensive loss attributable to noncontrolling interest</w:t>
      </w:r>
    </w:p>
    <w:p>
      <w:pPr>
        <w:ind w:left="500" w:right="1660" w:hanging="134"/>
        <w:spacing w:after="0" w:line="277" w:lineRule="auto"/>
        <w:rPr>
          <w:sz w:val="20"/>
          <w:szCs w:val="20"/>
          <w:color w:val="auto"/>
        </w:rPr>
      </w:pPr>
      <w:r>
        <w:rPr>
          <w:rFonts w:ascii="Arial" w:cs="Arial" w:eastAsia="Arial" w:hAnsi="Arial"/>
          <w:sz w:val="18"/>
          <w:szCs w:val="18"/>
          <w:color w:val="auto"/>
        </w:rPr>
        <w:t>Net loss and comprehensive loss available to Class A ordinary shareholders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(113,723 )</w:t>
            </w:r>
          </w:p>
        </w:tc>
        <w:tc>
          <w:tcPr>
            <w:tcW w:w="3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(123,562 )</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9,839</w:t>
            </w:r>
          </w:p>
        </w:tc>
        <w:tc>
          <w:tcPr>
            <w:tcW w:w="80" w:type="dxa"/>
            <w:vAlign w:val="bottom"/>
          </w:tcPr>
          <w:p>
            <w:pPr>
              <w:spacing w:after="0"/>
              <w:rPr>
                <w:sz w:val="20"/>
                <w:szCs w:val="20"/>
                <w:color w:val="auto"/>
              </w:rPr>
            </w:pPr>
          </w:p>
        </w:tc>
      </w:tr>
      <w:tr>
        <w:trPr>
          <w:trHeight w:val="452"/>
        </w:trPr>
        <w:tc>
          <w:tcPr>
            <w:tcW w:w="34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(83,956 )</w:t>
            </w:r>
          </w:p>
        </w:tc>
        <w:tc>
          <w:tcPr>
            <w:tcW w:w="34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(22,017 )</w:t>
            </w:r>
          </w:p>
        </w:tc>
        <w:tc>
          <w:tcPr>
            <w:tcW w:w="3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(61,939 )</w:t>
            </w:r>
          </w:p>
        </w:tc>
      </w:tr>
      <w:tr>
        <w:trPr>
          <w:trHeight w:val="20"/>
        </w:trPr>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(29,767 )  $</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(101,545 )  $</w:t>
            </w:r>
          </w:p>
        </w:tc>
        <w:tc>
          <w:tcPr>
            <w:tcW w:w="840" w:type="dxa"/>
            <w:vAlign w:val="bottom"/>
          </w:tcPr>
          <w:p>
            <w:pPr>
              <w:jc w:val="right"/>
              <w:spacing w:after="0"/>
              <w:rPr>
                <w:sz w:val="20"/>
                <w:szCs w:val="20"/>
                <w:color w:val="auto"/>
              </w:rPr>
            </w:pPr>
            <w:r>
              <w:rPr>
                <w:rFonts w:ascii="Arial" w:cs="Arial" w:eastAsia="Arial" w:hAnsi="Arial"/>
                <w:sz w:val="18"/>
                <w:szCs w:val="18"/>
                <w:color w:val="auto"/>
              </w:rPr>
              <w:t>71,778</w:t>
            </w:r>
          </w:p>
        </w:tc>
        <w:tc>
          <w:tcPr>
            <w:tcW w:w="80" w:type="dxa"/>
            <w:vAlign w:val="bottom"/>
          </w:tcPr>
          <w:p>
            <w:pPr>
              <w:spacing w:after="0"/>
              <w:rPr>
                <w:sz w:val="24"/>
                <w:szCs w:val="24"/>
                <w:color w:val="auto"/>
              </w:rPr>
            </w:pP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-582295</wp:posOffset>
            </wp:positionV>
            <wp:extent cx="6703695" cy="5829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03695" cy="58293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5860" w:space="720"/>
            <w:col w:w="4580"/>
          </w:cols>
          <w:pgMar w:left="320" w:top="665" w:right="419" w:bottom="1440" w:gutter="0" w:footer="0" w:header="0"/>
          <w:type w:val="continuous"/>
        </w:sect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increase in research and development expenses of approximately $23.0 million was primarily driven by the following:</w:t>
      </w:r>
    </w:p>
    <w:p>
      <w:pPr>
        <w:spacing w:after="0" w:line="225" w:lineRule="exact"/>
        <w:rPr>
          <w:sz w:val="20"/>
          <w:szCs w:val="20"/>
          <w:color w:val="auto"/>
        </w:rPr>
      </w:pPr>
    </w:p>
    <w:p>
      <w:pPr>
        <w:ind w:left="1020" w:right="540" w:hanging="503"/>
        <w:spacing w:after="0" w:line="25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cash-based compensation costs of approximately $7.9 million due to the hiring of additional personnel in the areas of manufacturing and quality associated with the need to support our Phase 3 clinical trials and in the areas of clinical development and biostatistics as our development programs continue to progress;</w:t>
      </w:r>
    </w:p>
    <w:p>
      <w:pPr>
        <w:spacing w:after="0" w:line="2" w:lineRule="exact"/>
        <w:rPr>
          <w:rFonts w:ascii="Arial" w:cs="Arial" w:eastAsia="Arial" w:hAnsi="Arial"/>
          <w:sz w:val="18"/>
          <w:szCs w:val="18"/>
          <w:color w:val="auto"/>
        </w:rPr>
      </w:pPr>
    </w:p>
    <w:p>
      <w:pPr>
        <w:ind w:left="1020" w:right="400" w:hanging="503"/>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equity-based compensation costs of approximately $7.0 million related to the issuance of additional equity awards made to employees;</w:t>
      </w:r>
    </w:p>
    <w:p>
      <w:pPr>
        <w:ind w:left="1020" w:right="320" w:hanging="503"/>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costs of approximately $13.1 million related to proact-1 and proact-2, as proact-1 continues to enroll additional subjects and proact-2 continues to incur costs related to start-up activities;</w:t>
      </w:r>
    </w:p>
    <w:p>
      <w:pPr>
        <w:ind w:left="1020" w:right="120" w:hanging="503"/>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costs related to our other clinical trials of approximately $2.2 million particularly driven by costs for REGEN-007 now that we have completed enrollment of that trial as well as start-up activities for REGEN-015;</w:t>
      </w: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costs of approximately $2.5 million related to additional spending on professional fees;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costs related to facilities and manufacturing improvements of $2.3 million; and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manufacturing material costs of $0.9 million, offset by;</w:t>
      </w:r>
    </w:p>
    <w:p>
      <w:pPr>
        <w:spacing w:after="0" w:line="9" w:lineRule="exact"/>
        <w:rPr>
          <w:rFonts w:ascii="Arial" w:cs="Arial" w:eastAsia="Arial" w:hAnsi="Arial"/>
          <w:sz w:val="18"/>
          <w:szCs w:val="18"/>
          <w:color w:val="auto"/>
        </w:rPr>
      </w:pPr>
    </w:p>
    <w:p>
      <w:pPr>
        <w:ind w:left="1020" w:right="240" w:hanging="503"/>
        <w:spacing w:after="0" w:line="26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costs of $14.1 million related to equity-based payments for services rendered by a third-party which were adjusted to the fair value of the awards issued upon their grant date in the nine months ended September 30, 2022.</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in general and administrative expenses of approximately $18.5 million was primarily driven by the following:</w:t>
      </w:r>
    </w:p>
    <w:p>
      <w:pPr>
        <w:spacing w:after="0" w:line="117" w:lineRule="exact"/>
        <w:rPr>
          <w:sz w:val="20"/>
          <w:szCs w:val="20"/>
          <w:color w:val="auto"/>
        </w:rPr>
      </w:pPr>
    </w:p>
    <w:p>
      <w:pPr>
        <w:ind w:left="1020" w:right="160" w:hanging="503"/>
        <w:spacing w:after="0" w:line="25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equity-based compensation of approximately $21.3 million, as such expense was higher for the nine months ended September 30, 2023 due to the sale of Class B-1 Units of PKLP at amounts less than their fair value offset by;</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increases in professional fees and insurance costs of approximately $1.6 million related to our operations as a public company; and</w:t>
      </w:r>
    </w:p>
    <w:p>
      <w:pPr>
        <w:spacing w:after="0" w:line="20"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cash-based compensation expenses of approximately $1.2 million due to the hiring of additional personnel.</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Income tax expense for the nine months ended September 30, 2023 increased from the nine months ended September 30, 2022 due to an increase in the effective tax rate driven by the change in the valuation allowance which was impacted by the timing of deductions for qualified research and development costs.</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September 30, 2023, we funded our operations primarily through capital contributions from the holders of PKLP and the proceeds obtained through the Business Combination and related private placement financing.</w:t>
      </w:r>
    </w:p>
    <w:p>
      <w:pPr>
        <w:spacing w:after="0" w:line="79" w:lineRule="exact"/>
        <w:rPr>
          <w:sz w:val="20"/>
          <w:szCs w:val="20"/>
          <w:color w:val="auto"/>
        </w:rPr>
      </w:pPr>
    </w:p>
    <w:p>
      <w:pPr>
        <w:jc w:val="both"/>
        <w:ind w:right="520" w:firstLine="545"/>
        <w:spacing w:after="0" w:line="263" w:lineRule="auto"/>
        <w:rPr>
          <w:sz w:val="20"/>
          <w:szCs w:val="20"/>
          <w:color w:val="auto"/>
        </w:rPr>
      </w:pPr>
      <w:r>
        <w:rPr>
          <w:rFonts w:ascii="Arial" w:cs="Arial" w:eastAsia="Arial" w:hAnsi="Arial"/>
          <w:sz w:val="18"/>
          <w:szCs w:val="18"/>
          <w:color w:val="auto"/>
        </w:rPr>
        <w:t>We expect that our existing cash, cash equivalents and marketable securities held at September 30, 2023, will enable us to fund our operating expenses and capital expenditure requirements through 2024. We have based this estimate on assumptions that may prove to be wrong and we could exhaust our capital resources sooner than we expect.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to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initiate and continue research and clinical development of our product candidates, including in particular our clinical trials for REACT;</w:t>
      </w:r>
    </w:p>
    <w:p>
      <w:pPr>
        <w:spacing w:after="0" w:line="128" w:lineRule="exact"/>
        <w:rPr>
          <w:rFonts w:ascii="Arial" w:cs="Arial" w:eastAsia="Arial" w:hAnsi="Arial"/>
          <w:sz w:val="17"/>
          <w:szCs w:val="17"/>
          <w:color w:val="auto"/>
        </w:rPr>
      </w:pPr>
    </w:p>
    <w:p>
      <w:pPr>
        <w:ind w:left="1020" w:right="4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third-party manufacturing costs to support our non-clinical studies and clinical trials of our product candidate and, if approved, its commercialization;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 in developing internal manufacturing capabilities;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In addition, since the closing of the Business Combination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8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shareholders.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for the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information regarding our cash flows for the nine months ended September 30, 2023 and 2022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280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39"/>
        </w:trPr>
        <w:tc>
          <w:tcPr>
            <w:tcW w:w="6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41"/>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operating activities</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(61,328</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28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(234,139 )</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(1,432 )</w:t>
            </w:r>
          </w:p>
        </w:tc>
      </w:tr>
      <w:tr>
        <w:trPr>
          <w:trHeight w:val="24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provided by financing activities</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(39 )</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548,529</w:t>
            </w:r>
          </w:p>
        </w:tc>
        <w:tc>
          <w:tcPr>
            <w:tcW w:w="80" w:type="dxa"/>
            <w:vAlign w:val="bottom"/>
            <w:shd w:val="clear" w:color="auto" w:fill="CFF0FC"/>
          </w:tcPr>
          <w:p>
            <w:pPr>
              <w:spacing w:after="0"/>
              <w:rPr>
                <w:sz w:val="21"/>
                <w:szCs w:val="2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6180" w:type="dxa"/>
            <w:vAlign w:val="bottom"/>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(298,863 </w:t>
            </w:r>
            <w:r>
              <w:rPr>
                <w:rFonts w:ascii="Arial" w:cs="Arial" w:eastAsia="Arial" w:hAnsi="Arial"/>
                <w:sz w:val="18"/>
                <w:szCs w:val="18"/>
                <w:color w:val="auto"/>
                <w:highlight w:val="white"/>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485,769</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Net cash used in operating activities was approximately $64.7 million for the nine months ended September 30, 2023, reflecting a net loss of approximately $113.7 million and uses driven by changes in working capital of approximately $12.8 million. Such uses were partially offset by non-cash charges and gains on investments of $36.2 million. The non-cash charges primarily consisted of equity-based compensation expense of $37.2 million and depreciation and amortization expense of $2.7 million. The changes in working capital primarily relate to the timing of payments made to our vendors for services performed and the recognition of receivable amounts related to interest on our marketable security investments.</w:t>
      </w:r>
    </w:p>
    <w:p>
      <w:pPr>
        <w:spacing w:after="0" w:line="68"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Net cash used in operating activities was approximately $61.3 million for the nine months ended September 30, 2022, reflecting a net loss of $123.6 million and uses driven by changes in working capital of approximately $5.5 million, partially offset by non-cash charges of $67.8 million. The non-cash charges primarily consisted of equity-based compensation expense of $65.5 million and depreciation and amortization expense of $2.2 million.</w:t>
      </w:r>
    </w:p>
    <w:p>
      <w:pPr>
        <w:spacing w:after="0" w:line="41"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The approximately $3.4 million increase in cash used in operating activities for the nine months ended September 30, 2023 compared to the nine months ended September 30, 2022 was primarily driven by an increase in net loss after adjusting for the non-cash charges and gains on investments of approximately $21.7 million offset by a decrease in the use of cash related to the timing of payments to our vendors and receipt of interest amounts due.</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Net cash used in investing activities was approximately $234.1 million and $1.4 million for the nine months ended September 30, 2023 and 2022, respectively. The cash used in investing activities during the nine months ended September 30, 2023 was primarily related to the investment of a portion of the proceeds raised through the Business Combination in marketable securities coupled with the purchase of land and a building in Greensboro, North Carolina.</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00" w:firstLine="509"/>
        <w:spacing w:after="0" w:line="342" w:lineRule="auto"/>
        <w:rPr>
          <w:sz w:val="20"/>
          <w:szCs w:val="20"/>
          <w:color w:val="auto"/>
        </w:rPr>
      </w:pPr>
      <w:r>
        <w:rPr>
          <w:rFonts w:ascii="Arial" w:cs="Arial" w:eastAsia="Arial" w:hAnsi="Arial"/>
          <w:sz w:val="16"/>
          <w:szCs w:val="16"/>
          <w:color w:val="auto"/>
        </w:rPr>
        <w:t>Net cash used in financing activities for the nine months ended September 30, 2023 was an insignificant amount. Net cash provided by financing activities was $548.5 million for the nine months ended September 30, 2022 and relates to the sale of Class A and B-1 Units of PKLP during that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Our consolidated financial statements are prepared in accordance with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69" w:lineRule="exact"/>
        <w:rPr>
          <w:sz w:val="20"/>
          <w:szCs w:val="20"/>
          <w:color w:val="auto"/>
        </w:rPr>
      </w:pPr>
    </w:p>
    <w:p>
      <w:pPr>
        <w:ind w:right="160" w:firstLine="509"/>
        <w:spacing w:after="0" w:line="258" w:lineRule="auto"/>
        <w:rPr>
          <w:sz w:val="20"/>
          <w:szCs w:val="20"/>
          <w:color w:val="auto"/>
        </w:rPr>
      </w:pPr>
      <w:r>
        <w:rPr>
          <w:rFonts w:ascii="Arial" w:cs="Arial" w:eastAsia="Arial" w:hAnsi="Arial"/>
          <w:sz w:val="18"/>
          <w:szCs w:val="18"/>
          <w:color w:val="auto"/>
        </w:rPr>
        <w:t>Our significant accounting policies are described in Note 2 to our unaudited consolidated financial statements included elsewhere in this Quarterly Report on Form 10-Q.</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509"/>
        <w:spacing w:after="0" w:line="30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The Company’s exposure to changes in interest rates relates primarily to the Company’s investment portfolio.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All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do not have any material foreign currency exposure.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78"/>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September 30, 2023. Based upon that evaluation, our Chief Executive Officer and Chief Financial Officer concluded that, as of September 30, 2023,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ind w:firstLine="57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jc w:val="both"/>
        <w:ind w:right="460" w:firstLine="578"/>
        <w:spacing w:after="0" w:line="271"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w:t>
      </w: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6" w:name="page37"/>
    <w:bookmarkEnd w:id="36"/>
    <w:p>
      <w:pPr>
        <w:ind w:right="520"/>
        <w:spacing w:after="0" w:line="277" w:lineRule="auto"/>
        <w:rPr>
          <w:sz w:val="20"/>
          <w:szCs w:val="20"/>
          <w:color w:val="auto"/>
        </w:rPr>
      </w:pPr>
      <w:r>
        <w:rPr>
          <w:rFonts w:ascii="Arial" w:cs="Arial" w:eastAsia="Arial" w:hAnsi="Arial"/>
          <w:sz w:val="18"/>
          <w:szCs w:val="18"/>
          <w:color w:val="auto"/>
        </w:rPr>
        <w:t>may deteriorate. Because of the inherent limitations in a cost-effective control system, misstatements due to error or fraud may occur and may not be detected.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80" w:firstLine="578"/>
        <w:spacing w:after="0" w:line="259" w:lineRule="auto"/>
        <w:rPr>
          <w:sz w:val="20"/>
          <w:szCs w:val="20"/>
          <w:color w:val="auto"/>
        </w:rPr>
      </w:pPr>
      <w:r>
        <w:rPr>
          <w:rFonts w:ascii="Arial" w:cs="Arial" w:eastAsia="Arial" w:hAnsi="Arial"/>
          <w:sz w:val="18"/>
          <w:szCs w:val="18"/>
          <w:color w:val="auto"/>
        </w:rPr>
        <w:t>We previously reported a material weakness in our internal control over financial reporting related to the Company’s accounting for complex financial instruments, which condition existed prior to the Closing of the Business Combination. That material weakness has been remediated. There have been no other changes in our internal control over financial reporting during our most recent fiscal quarter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140" w:firstLine="578"/>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https://investors.prokidney.com/,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80" w:firstLine="524"/>
        <w:spacing w:after="0" w:line="286" w:lineRule="auto"/>
        <w:rPr>
          <w:sz w:val="20"/>
          <w:szCs w:val="20"/>
          <w:color w:val="auto"/>
        </w:rPr>
      </w:pPr>
      <w:r>
        <w:rPr>
          <w:rFonts w:ascii="Arial" w:cs="Arial" w:eastAsia="Arial" w:hAnsi="Arial"/>
          <w:sz w:val="17"/>
          <w:szCs w:val="17"/>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Registration Statement on Form 10-K filed with the SEC on March 28, 2023, as amended on April 27, 2023.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sales of unregistered equity securities during the three months ended September 30,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440" w:type="dxa"/>
            <w:vAlign w:val="bottom"/>
            <w:gridSpan w:val="4"/>
          </w:tcPr>
          <w:p>
            <w:pPr>
              <w:ind w:left="200"/>
              <w:spacing w:after="0"/>
              <w:rPr>
                <w:sz w:val="20"/>
                <w:szCs w:val="20"/>
                <w:color w:val="auto"/>
              </w:rPr>
            </w:pPr>
            <w:r>
              <w:rPr>
                <w:rFonts w:ascii="Arial" w:cs="Arial" w:eastAsia="Arial" w:hAnsi="Arial"/>
                <w:sz w:val="18"/>
                <w:szCs w:val="18"/>
                <w:color w:val="auto"/>
              </w:rPr>
              <w:t>None.</w:t>
            </w:r>
          </w:p>
        </w:tc>
        <w:tc>
          <w:tcPr>
            <w:tcW w:w="20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4.</w:t>
            </w:r>
          </w:p>
        </w:tc>
        <w:tc>
          <w:tcPr>
            <w:tcW w:w="3440" w:type="dxa"/>
            <w:vAlign w:val="bottom"/>
            <w:gridSpan w:val="4"/>
          </w:tcPr>
          <w:p>
            <w:pPr>
              <w:ind w:left="40"/>
              <w:spacing w:after="0"/>
              <w:rPr>
                <w:sz w:val="20"/>
                <w:szCs w:val="20"/>
                <w:color w:val="auto"/>
              </w:rPr>
            </w:pPr>
            <w:r>
              <w:rPr>
                <w:rFonts w:ascii="Arial" w:cs="Arial" w:eastAsia="Arial" w:hAnsi="Arial"/>
                <w:sz w:val="18"/>
                <w:szCs w:val="18"/>
                <w:b w:val="1"/>
                <w:bCs w:val="1"/>
                <w:color w:val="auto"/>
              </w:rPr>
              <w:t>Mine Safety Disclosures.</w:t>
            </w:r>
          </w:p>
        </w:tc>
        <w:tc>
          <w:tcPr>
            <w:tcW w:w="20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3440" w:type="dxa"/>
            <w:vAlign w:val="bottom"/>
            <w:gridSpan w:val="4"/>
          </w:tcPr>
          <w:p>
            <w:pPr>
              <w:ind w:left="200"/>
              <w:spacing w:after="0"/>
              <w:rPr>
                <w:sz w:val="20"/>
                <w:szCs w:val="20"/>
                <w:color w:val="auto"/>
              </w:rPr>
            </w:pPr>
            <w:r>
              <w:rPr>
                <w:rFonts w:ascii="Arial" w:cs="Arial" w:eastAsia="Arial" w:hAnsi="Arial"/>
                <w:sz w:val="18"/>
                <w:szCs w:val="18"/>
                <w:color w:val="auto"/>
              </w:rPr>
              <w:t>None.</w:t>
            </w:r>
          </w:p>
        </w:tc>
        <w:tc>
          <w:tcPr>
            <w:tcW w:w="20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5.</w:t>
            </w:r>
          </w:p>
        </w:tc>
        <w:tc>
          <w:tcPr>
            <w:tcW w:w="3440" w:type="dxa"/>
            <w:vAlign w:val="bottom"/>
            <w:gridSpan w:val="4"/>
          </w:tcPr>
          <w:p>
            <w:pPr>
              <w:ind w:left="40"/>
              <w:spacing w:after="0"/>
              <w:rPr>
                <w:sz w:val="20"/>
                <w:szCs w:val="20"/>
                <w:color w:val="auto"/>
              </w:rPr>
            </w:pPr>
            <w:r>
              <w:rPr>
                <w:rFonts w:ascii="Arial" w:cs="Arial" w:eastAsia="Arial" w:hAnsi="Arial"/>
                <w:sz w:val="18"/>
                <w:szCs w:val="18"/>
                <w:b w:val="1"/>
                <w:bCs w:val="1"/>
                <w:color w:val="auto"/>
              </w:rPr>
              <w:t>Other Information.</w:t>
            </w:r>
          </w:p>
        </w:tc>
        <w:tc>
          <w:tcPr>
            <w:tcW w:w="20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3440" w:type="dxa"/>
            <w:vAlign w:val="bottom"/>
            <w:gridSpan w:val="4"/>
          </w:tcPr>
          <w:p>
            <w:pPr>
              <w:ind w:left="200"/>
              <w:spacing w:after="0"/>
              <w:rPr>
                <w:sz w:val="20"/>
                <w:szCs w:val="20"/>
                <w:color w:val="auto"/>
              </w:rPr>
            </w:pPr>
            <w:r>
              <w:rPr>
                <w:rFonts w:ascii="Arial" w:cs="Arial" w:eastAsia="Arial" w:hAnsi="Arial"/>
                <w:sz w:val="18"/>
                <w:szCs w:val="18"/>
                <w:color w:val="auto"/>
              </w:rPr>
              <w:t>None.</w:t>
            </w:r>
          </w:p>
        </w:tc>
        <w:tc>
          <w:tcPr>
            <w:tcW w:w="20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6.</w:t>
            </w:r>
          </w:p>
        </w:tc>
        <w:tc>
          <w:tcPr>
            <w:tcW w:w="344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Exhibits.</w:t>
            </w:r>
          </w:p>
        </w:tc>
        <w:tc>
          <w:tcPr>
            <w:tcW w:w="20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000" w:type="dxa"/>
            <w:vAlign w:val="bottom"/>
            <w:gridSpan w:val="5"/>
          </w:tcPr>
          <w:p>
            <w:pPr>
              <w:ind w:left="240"/>
              <w:spacing w:after="0"/>
              <w:rPr>
                <w:sz w:val="20"/>
                <w:szCs w:val="20"/>
                <w:color w:val="auto"/>
              </w:rPr>
            </w:pPr>
            <w:r>
              <w:rPr>
                <w:rFonts w:ascii="Arial" w:cs="Arial" w:eastAsia="Arial" w:hAnsi="Arial"/>
                <w:sz w:val="14"/>
                <w:szCs w:val="14"/>
                <w:b w:val="1"/>
                <w:bCs w:val="1"/>
                <w:color w:val="auto"/>
              </w:rPr>
              <w:t>Exhibit</w:t>
            </w:r>
          </w:p>
        </w:tc>
        <w:tc>
          <w:tcPr>
            <w:tcW w:w="7240" w:type="dxa"/>
            <w:vAlign w:val="bottom"/>
            <w:gridSpan w:val="3"/>
            <w:vMerge w:val="restart"/>
          </w:tcPr>
          <w:p>
            <w:pPr>
              <w:ind w:left="1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000" w:type="dxa"/>
            <w:vAlign w:val="bottom"/>
            <w:gridSpan w:val="5"/>
          </w:tcPr>
          <w:p>
            <w:pPr>
              <w:ind w:left="200"/>
              <w:spacing w:after="0"/>
              <w:rPr>
                <w:sz w:val="20"/>
                <w:szCs w:val="20"/>
                <w:color w:val="auto"/>
              </w:rPr>
            </w:pPr>
            <w:r>
              <w:rPr>
                <w:rFonts w:ascii="Arial" w:cs="Arial" w:eastAsia="Arial" w:hAnsi="Arial"/>
                <w:sz w:val="14"/>
                <w:szCs w:val="14"/>
                <w:b w:val="1"/>
                <w:bCs w:val="1"/>
                <w:color w:val="auto"/>
              </w:rPr>
              <w:t>Number</w:t>
            </w:r>
          </w:p>
        </w:tc>
        <w:tc>
          <w:tcPr>
            <w:tcW w:w="7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60" w:type="dxa"/>
            <w:vAlign w:val="bottom"/>
            <w:tcBorders>
              <w:top w:val="single" w:sz="8" w:color="auto"/>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5"/>
          </w:tcPr>
          <w:p>
            <w:pPr>
              <w:ind w:left="20"/>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331"/>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top w:val="single" w:sz="8" w:color="0000FF"/>
            </w:tcBorders>
          </w:tcPr>
          <w:p>
            <w:pPr>
              <w:spacing w:after="0"/>
              <w:rPr>
                <w:sz w:val="24"/>
                <w:szCs w:val="24"/>
                <w:color w:val="auto"/>
              </w:rPr>
            </w:pPr>
          </w:p>
        </w:tc>
        <w:tc>
          <w:tcPr>
            <w:tcW w:w="2080" w:type="dxa"/>
            <w:vAlign w:val="bottom"/>
            <w:tcBorders>
              <w:top w:val="single" w:sz="8" w:color="0000FF"/>
            </w:tcBorders>
          </w:tcPr>
          <w:p>
            <w:pPr>
              <w:jc w:val="right"/>
              <w:ind w:right="279"/>
              <w:spacing w:after="0"/>
              <w:rPr>
                <w:sz w:val="20"/>
                <w:szCs w:val="20"/>
                <w:color w:val="auto"/>
              </w:rPr>
            </w:pPr>
            <w:r>
              <w:rPr>
                <w:rFonts w:ascii="Arial" w:cs="Arial" w:eastAsia="Arial" w:hAnsi="Arial"/>
                <w:sz w:val="18"/>
                <w:szCs w:val="18"/>
                <w:color w:val="auto"/>
              </w:rPr>
              <w:t>35</w:t>
            </w:r>
          </w:p>
        </w:tc>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gridSpan w:val="5"/>
          </w:tcPr>
          <w:p>
            <w:pPr>
              <w:spacing w:after="0"/>
              <w:rPr>
                <w:sz w:val="20"/>
                <w:szCs w:val="20"/>
                <w:color w:val="auto"/>
              </w:rPr>
            </w:pPr>
            <w:r>
              <w:rPr>
                <w:rFonts w:ascii="Arial" w:cs="Arial" w:eastAsia="Arial" w:hAnsi="Arial"/>
                <w:sz w:val="18"/>
                <w:szCs w:val="18"/>
                <w:color w:val="0000FF"/>
                <w:w w:val="95"/>
              </w:rPr>
              <w:t>Certification of Principal Financial Officer Pursuant to Rules 13a-14(a) and 15d-14(a) under the Securities Exchange Act of 1934, as</w:t>
            </w:r>
          </w:p>
        </w:tc>
      </w:tr>
      <w:tr>
        <w:trPr>
          <w:trHeight w:val="20"/>
        </w:trPr>
        <w:tc>
          <w:tcPr>
            <w:tcW w:w="110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5"/>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10080" w:type="dxa"/>
            <w:vAlign w:val="bottom"/>
            <w:gridSpan w:val="5"/>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r>
      <w:tr>
        <w:trPr>
          <w:trHeight w:val="20"/>
        </w:trPr>
        <w:tc>
          <w:tcPr>
            <w:tcW w:w="110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5"/>
          </w:tcPr>
          <w:p>
            <w:pPr>
              <w:spacing w:after="0" w:line="196" w:lineRule="exact"/>
              <w:rPr>
                <w:sz w:val="20"/>
                <w:szCs w:val="20"/>
                <w:color w:val="auto"/>
              </w:rPr>
            </w:pPr>
            <w:r>
              <w:rPr>
                <w:rFonts w:ascii="Arial" w:cs="Arial" w:eastAsia="Arial" w:hAnsi="Arial"/>
                <w:sz w:val="18"/>
                <w:szCs w:val="18"/>
                <w:color w:val="0000FF"/>
              </w:rPr>
              <w:t>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10080" w:type="dxa"/>
            <w:vAlign w:val="bottom"/>
            <w:gridSpan w:val="5"/>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r>
      <w:tr>
        <w:trPr>
          <w:trHeight w:val="20"/>
        </w:trPr>
        <w:tc>
          <w:tcPr>
            <w:tcW w:w="1100" w:type="dxa"/>
            <w:vAlign w:val="bottom"/>
          </w:tcPr>
          <w:p>
            <w:pPr>
              <w:spacing w:after="0" w:line="20" w:lineRule="exact"/>
              <w:rPr>
                <w:sz w:val="1"/>
                <w:szCs w:val="1"/>
                <w:color w:val="auto"/>
              </w:rPr>
            </w:pPr>
          </w:p>
        </w:tc>
        <w:tc>
          <w:tcPr>
            <w:tcW w:w="100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5"/>
          </w:tcPr>
          <w:p>
            <w:pPr>
              <w:spacing w:after="0" w:line="196" w:lineRule="exact"/>
              <w:rPr>
                <w:sz w:val="20"/>
                <w:szCs w:val="20"/>
                <w:color w:val="auto"/>
              </w:rPr>
            </w:pPr>
            <w:r>
              <w:rPr>
                <w:rFonts w:ascii="Arial" w:cs="Arial" w:eastAsia="Arial" w:hAnsi="Arial"/>
                <w:sz w:val="18"/>
                <w:szCs w:val="18"/>
                <w:color w:val="0000FF"/>
              </w:rPr>
              <w:t>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4"/>
          </w:tcPr>
          <w:p>
            <w:pPr>
              <w:spacing w:after="0" w:line="20" w:lineRule="exact"/>
              <w:rPr>
                <w:sz w:val="1"/>
                <w:szCs w:val="1"/>
                <w:color w:val="auto"/>
              </w:rPr>
            </w:pPr>
          </w:p>
        </w:tc>
      </w:tr>
      <w:tr>
        <w:trPr>
          <w:trHeight w:val="317"/>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gridSpan w:val="5"/>
          </w:tcPr>
          <w:p>
            <w:pPr>
              <w:spacing w:after="0"/>
              <w:rPr>
                <w:sz w:val="20"/>
                <w:szCs w:val="20"/>
                <w:color w:val="auto"/>
              </w:rPr>
            </w:pPr>
            <w:r>
              <w:rPr>
                <w:rFonts w:ascii="Arial" w:cs="Arial" w:eastAsia="Arial" w:hAnsi="Arial"/>
                <w:sz w:val="18"/>
                <w:szCs w:val="18"/>
                <w:color w:val="auto"/>
                <w:w w:val="95"/>
              </w:rPr>
              <w:t>The following materials from the Company’s Quarterly Report on Form 10-Q for the quarter ended September 30, 2023, formatted in</w:t>
            </w:r>
          </w:p>
        </w:tc>
      </w:tr>
      <w:tr>
        <w:trPr>
          <w:trHeight w:val="216"/>
        </w:trPr>
        <w:tc>
          <w:tcPr>
            <w:tcW w:w="1100" w:type="dxa"/>
            <w:vAlign w:val="bottom"/>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6"/>
              </w:rPr>
              <w:t>iXBRL (Inline Extensible Business Reporting Language):  (i) Condensed Consolidated Balance Sheets (unaudited), (ii) Condensed</w:t>
            </w:r>
          </w:p>
        </w:tc>
      </w:tr>
      <w:tr>
        <w:trPr>
          <w:trHeight w:val="216"/>
        </w:trPr>
        <w:tc>
          <w:tcPr>
            <w:tcW w:w="1100" w:type="dxa"/>
            <w:vAlign w:val="bottom"/>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3"/>
              </w:rPr>
              <w:t>Consolidated Statements of Operations (unaudited), (iii) Condensed Consolidated Statements of Comprehensive Loss (unaudited), (iv)</w:t>
            </w:r>
          </w:p>
        </w:tc>
      </w:tr>
      <w:tr>
        <w:trPr>
          <w:trHeight w:val="216"/>
        </w:trPr>
        <w:tc>
          <w:tcPr>
            <w:tcW w:w="1100" w:type="dxa"/>
            <w:vAlign w:val="bottom"/>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7"/>
              </w:rPr>
              <w:t>Condensed Consolidated Statements of Changes in Redeemable Noncontrolling Interest and Stockholders’ Deficit (unaudited), (v)</w:t>
            </w:r>
          </w:p>
        </w:tc>
      </w:tr>
      <w:tr>
        <w:trPr>
          <w:trHeight w:val="216"/>
        </w:trPr>
        <w:tc>
          <w:tcPr>
            <w:tcW w:w="1100" w:type="dxa"/>
            <w:vAlign w:val="bottom"/>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89"/>
              </w:rPr>
              <w:t>Consolidated Statements of Cash Flows (unaudited) and (vi) Notes to Condensed Consolidated Financial Statements (unaudited), tagged as</w:t>
            </w:r>
          </w:p>
        </w:tc>
      </w:tr>
      <w:tr>
        <w:trPr>
          <w:trHeight w:val="230"/>
        </w:trPr>
        <w:tc>
          <w:tcPr>
            <w:tcW w:w="1100" w:type="dxa"/>
            <w:vAlign w:val="bottom"/>
          </w:tcPr>
          <w:p>
            <w:pPr>
              <w:spacing w:after="0"/>
              <w:rPr>
                <w:sz w:val="20"/>
                <w:szCs w:val="20"/>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blocks of text and including detailed tags.</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10080" w:type="dxa"/>
            <w:vAlign w:val="bottom"/>
            <w:gridSpan w:val="5"/>
          </w:tcPr>
          <w:p>
            <w:pPr>
              <w:spacing w:after="0"/>
              <w:rPr>
                <w:sz w:val="20"/>
                <w:szCs w:val="20"/>
                <w:color w:val="auto"/>
              </w:rPr>
            </w:pPr>
            <w:r>
              <w:rPr>
                <w:rFonts w:ascii="Arial" w:cs="Arial" w:eastAsia="Arial" w:hAnsi="Arial"/>
                <w:sz w:val="18"/>
                <w:szCs w:val="18"/>
                <w:color w:val="auto"/>
              </w:rPr>
              <w:t>The cover page from this Quarterly Report on Form 10-Q for the quarter ended September 30, 2023, formatted in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512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420" w:type="dxa"/>
            <w:vAlign w:val="bottom"/>
            <w:gridSpan w:val="2"/>
          </w:tcPr>
          <w:p>
            <w:pPr>
              <w:ind w:left="1880"/>
              <w:spacing w:after="0"/>
              <w:rPr>
                <w:sz w:val="20"/>
                <w:szCs w:val="20"/>
                <w:color w:val="auto"/>
              </w:rPr>
            </w:pPr>
            <w:r>
              <w:rPr>
                <w:rFonts w:ascii="Arial" w:cs="Arial" w:eastAsia="Arial" w:hAnsi="Arial"/>
                <w:sz w:val="18"/>
                <w:szCs w:val="18"/>
                <w:color w:val="auto"/>
              </w:rPr>
              <w:t>Company Name</w:t>
            </w:r>
          </w:p>
        </w:tc>
      </w:tr>
      <w:tr>
        <w:trPr>
          <w:trHeight w:val="473"/>
        </w:trPr>
        <w:tc>
          <w:tcPr>
            <w:tcW w:w="3800" w:type="dxa"/>
            <w:vAlign w:val="bottom"/>
          </w:tcPr>
          <w:p>
            <w:pPr>
              <w:spacing w:after="0"/>
              <w:rPr>
                <w:sz w:val="20"/>
                <w:szCs w:val="20"/>
                <w:color w:val="auto"/>
              </w:rPr>
            </w:pPr>
            <w:r>
              <w:rPr>
                <w:rFonts w:ascii="Arial" w:cs="Arial" w:eastAsia="Arial" w:hAnsi="Arial"/>
                <w:sz w:val="18"/>
                <w:szCs w:val="18"/>
                <w:color w:val="auto"/>
              </w:rPr>
              <w:t>Date: November 14, 2023</w:t>
            </w:r>
          </w:p>
        </w:tc>
        <w:tc>
          <w:tcPr>
            <w:tcW w:w="7420" w:type="dxa"/>
            <w:vAlign w:val="bottom"/>
            <w:gridSpan w:val="2"/>
          </w:tcPr>
          <w:p>
            <w:pPr>
              <w:ind w:left="1880"/>
              <w:spacing w:after="0"/>
              <w:rPr>
                <w:sz w:val="20"/>
                <w:szCs w:val="20"/>
                <w:color w:val="auto"/>
              </w:rPr>
            </w:pPr>
            <w:r>
              <w:rPr>
                <w:rFonts w:ascii="Arial" w:cs="Arial" w:eastAsia="Arial" w:hAnsi="Arial"/>
                <w:sz w:val="18"/>
                <w:szCs w:val="18"/>
                <w:color w:val="auto"/>
              </w:rPr>
              <w:t>By: /s/ Timothy A. Bertram</w:t>
            </w:r>
          </w:p>
        </w:tc>
      </w:tr>
      <w:tr>
        <w:trPr>
          <w:trHeight w:val="209"/>
        </w:trPr>
        <w:tc>
          <w:tcPr>
            <w:tcW w:w="3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Timothy A. Bertram</w:t>
            </w:r>
          </w:p>
        </w:tc>
      </w:tr>
      <w:tr>
        <w:trPr>
          <w:trHeight w:val="230"/>
        </w:trPr>
        <w:tc>
          <w:tcPr>
            <w:tcW w:w="38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73"/>
        </w:trPr>
        <w:tc>
          <w:tcPr>
            <w:tcW w:w="3800" w:type="dxa"/>
            <w:vAlign w:val="bottom"/>
          </w:tcPr>
          <w:p>
            <w:pPr>
              <w:spacing w:after="0"/>
              <w:rPr>
                <w:sz w:val="20"/>
                <w:szCs w:val="20"/>
                <w:color w:val="auto"/>
              </w:rPr>
            </w:pPr>
            <w:r>
              <w:rPr>
                <w:rFonts w:ascii="Arial" w:cs="Arial" w:eastAsia="Arial" w:hAnsi="Arial"/>
                <w:sz w:val="18"/>
                <w:szCs w:val="18"/>
                <w:color w:val="auto"/>
              </w:rPr>
              <w:t>Date: November 14, 2023</w:t>
            </w:r>
          </w:p>
        </w:tc>
        <w:tc>
          <w:tcPr>
            <w:tcW w:w="7420" w:type="dxa"/>
            <w:vAlign w:val="bottom"/>
            <w:gridSpan w:val="2"/>
          </w:tcPr>
          <w:p>
            <w:pPr>
              <w:ind w:left="1880"/>
              <w:spacing w:after="0"/>
              <w:rPr>
                <w:sz w:val="20"/>
                <w:szCs w:val="20"/>
                <w:color w:val="auto"/>
              </w:rPr>
            </w:pPr>
            <w:r>
              <w:rPr>
                <w:rFonts w:ascii="Arial" w:cs="Arial" w:eastAsia="Arial" w:hAnsi="Arial"/>
                <w:sz w:val="18"/>
                <w:szCs w:val="18"/>
                <w:color w:val="auto"/>
              </w:rPr>
              <w:t>By: /s/ James Coulston</w:t>
            </w:r>
          </w:p>
        </w:tc>
      </w:tr>
      <w:tr>
        <w:trPr>
          <w:trHeight w:val="209"/>
        </w:trPr>
        <w:tc>
          <w:tcPr>
            <w:tcW w:w="3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James Coulston</w:t>
            </w:r>
          </w:p>
        </w:tc>
      </w:tr>
      <w:tr>
        <w:trPr>
          <w:trHeight w:val="229"/>
        </w:trPr>
        <w:tc>
          <w:tcPr>
            <w:tcW w:w="38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3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A. Bertram,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of ProKidney Corp.;</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14, 2023</w:t>
            </w:r>
          </w:p>
        </w:tc>
        <w:tc>
          <w:tcPr>
            <w:tcW w:w="7480" w:type="dxa"/>
            <w:vAlign w:val="bottom"/>
            <w:gridSpan w:val="2"/>
          </w:tcPr>
          <w:p>
            <w:pPr>
              <w:ind w:left="1820"/>
              <w:spacing w:after="0"/>
              <w:rPr>
                <w:sz w:val="20"/>
                <w:szCs w:val="20"/>
                <w:color w:val="auto"/>
              </w:rPr>
            </w:pPr>
            <w:r>
              <w:rPr>
                <w:rFonts w:ascii="Arial" w:cs="Arial" w:eastAsia="Arial" w:hAnsi="Arial"/>
                <w:sz w:val="18"/>
                <w:szCs w:val="18"/>
                <w:color w:val="auto"/>
              </w:rPr>
              <w:t>By:   /s/ Timothy A. Bertram</w:t>
            </w:r>
          </w:p>
        </w:tc>
      </w:tr>
      <w:tr>
        <w:trPr>
          <w:trHeight w:val="209"/>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Timothy A. Bertram</w:t>
            </w:r>
          </w:p>
        </w:tc>
      </w:tr>
      <w:tr>
        <w:trPr>
          <w:trHeight w:val="229"/>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45"/>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Coulston, certify that:</w:t>
      </w:r>
    </w:p>
    <w:p>
      <w:pPr>
        <w:spacing w:after="0" w:line="22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of ProKidney Corp.;</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14, 2023</w:t>
            </w:r>
          </w:p>
        </w:tc>
        <w:tc>
          <w:tcPr>
            <w:tcW w:w="7440" w:type="dxa"/>
            <w:vAlign w:val="bottom"/>
            <w:gridSpan w:val="2"/>
          </w:tcPr>
          <w:p>
            <w:pPr>
              <w:ind w:left="1900"/>
              <w:spacing w:after="0"/>
              <w:rPr>
                <w:sz w:val="20"/>
                <w:szCs w:val="20"/>
                <w:color w:val="auto"/>
              </w:rPr>
            </w:pPr>
            <w:r>
              <w:rPr>
                <w:rFonts w:ascii="Arial" w:cs="Arial" w:eastAsia="Arial" w:hAnsi="Arial"/>
                <w:sz w:val="18"/>
                <w:szCs w:val="18"/>
                <w:color w:val="auto"/>
              </w:rPr>
              <w:t>By:  /s/ James Coulston</w:t>
            </w:r>
          </w:p>
        </w:tc>
      </w:tr>
      <w:tr>
        <w:trPr>
          <w:trHeight w:val="209"/>
        </w:trPr>
        <w:tc>
          <w:tcPr>
            <w:tcW w:w="3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James Coulston</w:t>
            </w:r>
          </w:p>
        </w:tc>
      </w:tr>
      <w:tr>
        <w:trPr>
          <w:trHeight w:val="229"/>
        </w:trPr>
        <w:tc>
          <w:tcPr>
            <w:tcW w:w="38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345"/>
        </w:trPr>
        <w:tc>
          <w:tcPr>
            <w:tcW w:w="38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ProKidney Corp. (the “Company”) on Form 10-Q for the period ending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40" w:type="dxa"/>
            <w:vAlign w:val="bottom"/>
          </w:tcPr>
          <w:p>
            <w:pPr>
              <w:ind w:left="20"/>
              <w:spacing w:after="0"/>
              <w:rPr>
                <w:sz w:val="20"/>
                <w:szCs w:val="20"/>
                <w:color w:val="auto"/>
              </w:rPr>
            </w:pPr>
            <w:r>
              <w:rPr>
                <w:rFonts w:ascii="Arial" w:cs="Arial" w:eastAsia="Arial" w:hAnsi="Arial"/>
                <w:sz w:val="18"/>
                <w:szCs w:val="18"/>
                <w:color w:val="auto"/>
              </w:rPr>
              <w:t>Date: November 14, 2023</w:t>
            </w:r>
          </w:p>
        </w:tc>
        <w:tc>
          <w:tcPr>
            <w:tcW w:w="7500" w:type="dxa"/>
            <w:vAlign w:val="bottom"/>
            <w:gridSpan w:val="2"/>
          </w:tcPr>
          <w:p>
            <w:pPr>
              <w:ind w:left="1840"/>
              <w:spacing w:after="0"/>
              <w:rPr>
                <w:sz w:val="20"/>
                <w:szCs w:val="20"/>
                <w:color w:val="auto"/>
              </w:rPr>
            </w:pPr>
            <w:r>
              <w:rPr>
                <w:rFonts w:ascii="Arial" w:cs="Arial" w:eastAsia="Arial" w:hAnsi="Arial"/>
                <w:sz w:val="18"/>
                <w:szCs w:val="18"/>
                <w:color w:val="auto"/>
              </w:rPr>
              <w:t>By:   /s/ Timothy A. Bertram</w:t>
            </w:r>
          </w:p>
        </w:tc>
      </w:tr>
      <w:tr>
        <w:trPr>
          <w:trHeight w:val="209"/>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Timothy A. Bertram</w:t>
            </w:r>
          </w:p>
        </w:tc>
      </w:tr>
      <w:tr>
        <w:trPr>
          <w:trHeight w:val="229"/>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60"/>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ProKidney Corp. (the “Company”) on Form 10-Q for the period ending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14, 2023</w:t>
            </w: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Coulston</w:t>
            </w:r>
          </w:p>
        </w:tc>
      </w:tr>
      <w:tr>
        <w:trPr>
          <w:trHeight w:val="209"/>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James Coulston</w:t>
            </w:r>
          </w:p>
        </w:tc>
      </w:tr>
      <w:tr>
        <w:trPr>
          <w:trHeight w:val="229"/>
        </w:trPr>
        <w:tc>
          <w:tcPr>
            <w:tcW w:w="38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560"/>
        </w:trPr>
        <w:tc>
          <w:tcPr>
            <w:tcW w:w="38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Letter"/>
      <w:start w:val="2"/>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2023-11-14T17:54:00Z</dcterms:created>
  <dcterms:modified xsi:type="dcterms:W3CDTF">2023-11-14T17:54:00Z</dcterms:modified>
</cp:coreProperties>
</file>