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 w:lineRule="exact"/>
        <w:rPr>
          <w:sz w:val="24"/>
          <w:szCs w:val="24"/>
          <w:color w:val="auto"/>
        </w:rPr>
      </w:pPr>
    </w:p>
    <w:p>
      <w:pPr>
        <w:ind w:left="3880" w:right="1620" w:hanging="3859"/>
        <w:spacing w:after="0" w:line="373" w:lineRule="auto"/>
        <w:tabs>
          <w:tab w:leader="none" w:pos="47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1"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31" w:lineRule="exact"/>
        <w:rPr>
          <w:sz w:val="24"/>
          <w:szCs w:val="24"/>
          <w:color w:val="auto"/>
        </w:rPr>
      </w:pPr>
    </w:p>
    <w:p>
      <w:pPr>
        <w:ind w:left="416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17"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001-40560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ProKidney Corp.</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2"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180" w:type="dxa"/>
            <w:vAlign w:val="bottom"/>
          </w:tcPr>
          <w:p>
            <w:pPr>
              <w:jc w:val="center"/>
              <w:ind w:left="1383"/>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20" w:type="dxa"/>
            <w:vAlign w:val="bottom"/>
          </w:tcPr>
          <w:p>
            <w:pPr>
              <w:jc w:val="right"/>
              <w:ind w:right="2305"/>
              <w:spacing w:after="0"/>
              <w:rPr>
                <w:sz w:val="20"/>
                <w:szCs w:val="20"/>
                <w:color w:val="auto"/>
              </w:rPr>
            </w:pPr>
            <w:r>
              <w:rPr>
                <w:rFonts w:ascii="Times New Roman" w:cs="Times New Roman" w:eastAsia="Times New Roman" w:hAnsi="Times New Roman"/>
                <w:sz w:val="18"/>
                <w:szCs w:val="18"/>
                <w:b w:val="1"/>
                <w:bCs w:val="1"/>
                <w:color w:val="auto"/>
              </w:rPr>
              <w:t>98-1586514</w:t>
            </w:r>
          </w:p>
        </w:tc>
        <w:tc>
          <w:tcPr>
            <w:tcW w:w="0" w:type="dxa"/>
            <w:vAlign w:val="bottom"/>
          </w:tcPr>
          <w:p>
            <w:pPr>
              <w:spacing w:after="0"/>
              <w:rPr>
                <w:sz w:val="1"/>
                <w:szCs w:val="1"/>
                <w:color w:val="auto"/>
              </w:rPr>
            </w:pPr>
          </w:p>
        </w:tc>
      </w:tr>
      <w:tr>
        <w:trPr>
          <w:trHeight w:val="148"/>
        </w:trPr>
        <w:tc>
          <w:tcPr>
            <w:tcW w:w="4180" w:type="dxa"/>
            <w:vAlign w:val="bottom"/>
          </w:tcPr>
          <w:p>
            <w:pPr>
              <w:jc w:val="center"/>
              <w:ind w:left="1383"/>
              <w:spacing w:after="0"/>
              <w:rPr>
                <w:sz w:val="20"/>
                <w:szCs w:val="20"/>
                <w:color w:val="auto"/>
              </w:rPr>
            </w:pPr>
            <w:r>
              <w:rPr>
                <w:rFonts w:ascii="Times New Roman" w:cs="Times New Roman" w:eastAsia="Times New Roman" w:hAnsi="Times New Roman"/>
                <w:sz w:val="13"/>
                <w:szCs w:val="13"/>
                <w:b w:val="1"/>
                <w:bCs w:val="1"/>
                <w:color w:val="auto"/>
                <w:w w:val="96"/>
              </w:rPr>
              <w:t>( State or other jurisdiction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20" w:type="dxa"/>
            <w:vAlign w:val="bottom"/>
          </w:tcPr>
          <w:p>
            <w:pPr>
              <w:jc w:val="center"/>
              <w:ind w:right="1525"/>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c>
          <w:tcPr>
            <w:tcW w:w="0" w:type="dxa"/>
            <w:vAlign w:val="bottom"/>
          </w:tcPr>
          <w:p>
            <w:pPr>
              <w:spacing w:after="0"/>
              <w:rPr>
                <w:sz w:val="1"/>
                <w:szCs w:val="1"/>
                <w:color w:val="auto"/>
              </w:rPr>
            </w:pPr>
          </w:p>
        </w:tc>
      </w:tr>
      <w:tr>
        <w:trPr>
          <w:trHeight w:val="167"/>
        </w:trPr>
        <w:tc>
          <w:tcPr>
            <w:tcW w:w="4180" w:type="dxa"/>
            <w:vAlign w:val="bottom"/>
          </w:tcPr>
          <w:p>
            <w:pPr>
              <w:jc w:val="center"/>
              <w:ind w:left="1383"/>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20" w:type="dxa"/>
            <w:vAlign w:val="bottom"/>
          </w:tcPr>
          <w:p>
            <w:pPr>
              <w:jc w:val="center"/>
              <w:ind w:right="1525"/>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0" w:type="dxa"/>
            <w:vAlign w:val="bottom"/>
          </w:tcPr>
          <w:p>
            <w:pPr>
              <w:spacing w:after="0"/>
              <w:rPr>
                <w:sz w:val="1"/>
                <w:szCs w:val="1"/>
                <w:color w:val="auto"/>
              </w:rPr>
            </w:pPr>
          </w:p>
        </w:tc>
      </w:tr>
      <w:tr>
        <w:trPr>
          <w:trHeight w:val="230"/>
        </w:trPr>
        <w:tc>
          <w:tcPr>
            <w:tcW w:w="4180" w:type="dxa"/>
            <w:vAlign w:val="bottom"/>
          </w:tcPr>
          <w:p>
            <w:pPr>
              <w:jc w:val="center"/>
              <w:ind w:left="1383"/>
              <w:spacing w:after="0"/>
              <w:rPr>
                <w:sz w:val="20"/>
                <w:szCs w:val="20"/>
                <w:color w:val="auto"/>
              </w:rPr>
            </w:pPr>
            <w:r>
              <w:rPr>
                <w:rFonts w:ascii="Times New Roman" w:cs="Times New Roman" w:eastAsia="Times New Roman" w:hAnsi="Times New Roman"/>
                <w:sz w:val="18"/>
                <w:szCs w:val="18"/>
                <w:b w:val="1"/>
                <w:bCs w:val="1"/>
                <w:color w:val="auto"/>
              </w:rPr>
              <w:t>2000 Frontis Plaza Blvd., Suite 250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4180" w:type="dxa"/>
            <w:vAlign w:val="bottom"/>
          </w:tcPr>
          <w:p>
            <w:pPr>
              <w:jc w:val="center"/>
              <w:ind w:left="1383"/>
              <w:spacing w:after="0"/>
              <w:rPr>
                <w:sz w:val="20"/>
                <w:szCs w:val="20"/>
                <w:color w:val="auto"/>
              </w:rPr>
            </w:pPr>
            <w:r>
              <w:rPr>
                <w:rFonts w:ascii="Times New Roman" w:cs="Times New Roman" w:eastAsia="Times New Roman" w:hAnsi="Times New Roman"/>
                <w:sz w:val="18"/>
                <w:szCs w:val="18"/>
                <w:b w:val="1"/>
                <w:bCs w:val="1"/>
                <w:color w:val="auto"/>
                <w:w w:val="99"/>
              </w:rPr>
              <w:t>Winston-Salem, NC</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20" w:type="dxa"/>
            <w:vAlign w:val="bottom"/>
          </w:tcPr>
          <w:p>
            <w:pPr>
              <w:jc w:val="right"/>
              <w:ind w:right="2505"/>
              <w:spacing w:after="0"/>
              <w:rPr>
                <w:sz w:val="20"/>
                <w:szCs w:val="20"/>
                <w:color w:val="auto"/>
              </w:rPr>
            </w:pPr>
            <w:r>
              <w:rPr>
                <w:rFonts w:ascii="Times New Roman" w:cs="Times New Roman" w:eastAsia="Times New Roman" w:hAnsi="Times New Roman"/>
                <w:sz w:val="18"/>
                <w:szCs w:val="18"/>
                <w:b w:val="1"/>
                <w:bCs w:val="1"/>
                <w:color w:val="auto"/>
              </w:rPr>
              <w:t>27103</w:t>
            </w:r>
          </w:p>
        </w:tc>
        <w:tc>
          <w:tcPr>
            <w:tcW w:w="0" w:type="dxa"/>
            <w:vAlign w:val="bottom"/>
          </w:tcPr>
          <w:p>
            <w:pPr>
              <w:spacing w:after="0"/>
              <w:rPr>
                <w:sz w:val="1"/>
                <w:szCs w:val="1"/>
                <w:color w:val="auto"/>
              </w:rPr>
            </w:pPr>
          </w:p>
        </w:tc>
      </w:tr>
      <w:tr>
        <w:trPr>
          <w:trHeight w:val="173"/>
        </w:trPr>
        <w:tc>
          <w:tcPr>
            <w:tcW w:w="4180" w:type="dxa"/>
            <w:vAlign w:val="bottom"/>
          </w:tcPr>
          <w:p>
            <w:pPr>
              <w:jc w:val="center"/>
              <w:ind w:left="1383"/>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20" w:type="dxa"/>
            <w:vAlign w:val="bottom"/>
          </w:tcPr>
          <w:p>
            <w:pPr>
              <w:jc w:val="center"/>
              <w:ind w:right="1525"/>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r>
        <w:trPr>
          <w:trHeight w:val="266"/>
        </w:trPr>
        <w:tc>
          <w:tcPr>
            <w:tcW w:w="4180" w:type="dxa"/>
            <w:vAlign w:val="bottom"/>
          </w:tcPr>
          <w:p>
            <w:pPr>
              <w:spacing w:after="0"/>
              <w:rPr>
                <w:sz w:val="23"/>
                <w:szCs w:val="23"/>
                <w:color w:val="auto"/>
              </w:rPr>
            </w:pPr>
          </w:p>
        </w:tc>
        <w:tc>
          <w:tcPr>
            <w:tcW w:w="20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(336) 999-7019</w:t>
            </w: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4180" w:type="dxa"/>
            <w:vAlign w:val="bottom"/>
          </w:tcPr>
          <w:p>
            <w:pPr>
              <w:spacing w:after="0"/>
              <w:rPr>
                <w:sz w:val="14"/>
                <w:szCs w:val="14"/>
                <w:color w:val="auto"/>
              </w:rPr>
            </w:pPr>
          </w:p>
        </w:tc>
        <w:tc>
          <w:tcPr>
            <w:tcW w:w="3040" w:type="dxa"/>
            <w:vAlign w:val="bottom"/>
            <w:gridSpan w:val="7"/>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c>
          <w:tcPr>
            <w:tcW w:w="4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428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1"/>
        </w:trPr>
        <w:tc>
          <w:tcPr>
            <w:tcW w:w="7220" w:type="dxa"/>
            <w:vAlign w:val="bottom"/>
            <w:gridSpan w:val="8"/>
          </w:tcPr>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4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41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20" w:type="dxa"/>
            <w:vAlign w:val="bottom"/>
            <w:gridSpan w:val="4"/>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020" w:type="dxa"/>
            <w:vAlign w:val="bottom"/>
            <w:vMerge w:val="restart"/>
          </w:tcPr>
          <w:p>
            <w:pPr>
              <w:jc w:val="center"/>
              <w:ind w:right="945"/>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gridSpan w:val="4"/>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Class A ordinary shares, $0.0001 par value per share</w:t>
            </w:r>
          </w:p>
        </w:tc>
        <w:tc>
          <w:tcPr>
            <w:tcW w:w="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center"/>
              <w:ind w:right="5"/>
              <w:spacing w:after="0"/>
              <w:rPr>
                <w:sz w:val="20"/>
                <w:szCs w:val="20"/>
                <w:color w:val="auto"/>
              </w:rPr>
            </w:pPr>
            <w:r>
              <w:rPr>
                <w:rFonts w:ascii="Times New Roman" w:cs="Times New Roman" w:eastAsia="Times New Roman" w:hAnsi="Times New Roman"/>
                <w:sz w:val="16"/>
                <w:szCs w:val="16"/>
                <w:color w:val="auto"/>
                <w:w w:val="98"/>
              </w:rPr>
              <w:t>PROK</w:t>
            </w:r>
          </w:p>
        </w:tc>
        <w:tc>
          <w:tcPr>
            <w:tcW w:w="120" w:type="dxa"/>
            <w:vAlign w:val="bottom"/>
          </w:tcPr>
          <w:p>
            <w:pPr>
              <w:spacing w:after="0"/>
              <w:rPr>
                <w:sz w:val="17"/>
                <w:szCs w:val="17"/>
                <w:color w:val="auto"/>
              </w:rPr>
            </w:pPr>
          </w:p>
        </w:tc>
        <w:tc>
          <w:tcPr>
            <w:tcW w:w="1020" w:type="dxa"/>
            <w:vAlign w:val="bottom"/>
            <w:tcBorders>
              <w:top w:val="single" w:sz="8" w:color="auto"/>
            </w:tcBorders>
            <w:gridSpan w:val="2"/>
          </w:tcPr>
          <w:p>
            <w:pPr>
              <w:spacing w:after="0"/>
              <w:rPr>
                <w:sz w:val="17"/>
                <w:szCs w:val="17"/>
                <w:color w:val="auto"/>
              </w:rPr>
            </w:pPr>
          </w:p>
        </w:tc>
        <w:tc>
          <w:tcPr>
            <w:tcW w:w="4020" w:type="dxa"/>
            <w:vAlign w:val="bottom"/>
            <w:tcBorders>
              <w:top w:val="single" w:sz="8" w:color="auto"/>
            </w:tcBorders>
          </w:tcPr>
          <w:p>
            <w:pPr>
              <w:jc w:val="center"/>
              <w:ind w:right="965"/>
              <w:spacing w:after="0"/>
              <w:rPr>
                <w:sz w:val="20"/>
                <w:szCs w:val="20"/>
                <w:color w:val="auto"/>
              </w:rPr>
            </w:pPr>
            <w:r>
              <w:rPr>
                <w:rFonts w:ascii="Times New Roman" w:cs="Times New Roman" w:eastAsia="Times New Roman" w:hAnsi="Times New Roman"/>
                <w:sz w:val="16"/>
                <w:szCs w:val="16"/>
                <w:color w:val="auto"/>
              </w:rPr>
              <w:t>The Nasdaq Stock Market</w:t>
            </w:r>
          </w:p>
        </w:tc>
        <w:tc>
          <w:tcPr>
            <w:tcW w:w="0" w:type="dxa"/>
            <w:vAlign w:val="bottom"/>
          </w:tcPr>
          <w:p>
            <w:pPr>
              <w:spacing w:after="0"/>
              <w:rPr>
                <w:sz w:val="1"/>
                <w:szCs w:val="1"/>
                <w:color w:val="auto"/>
              </w:rPr>
            </w:pPr>
          </w:p>
        </w:tc>
      </w:tr>
    </w:tbl>
    <w:p>
      <w:pPr>
        <w:spacing w:after="0" w:line="113"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right="26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1"/>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6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1" w:lineRule="exact"/>
        <w:rPr>
          <w:sz w:val="24"/>
          <w:szCs w:val="24"/>
          <w:color w:val="auto"/>
        </w:rPr>
      </w:pPr>
    </w:p>
    <w:p>
      <w:pPr>
        <w:ind w:right="5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ind w:left="600"/>
        <w:spacing w:after="0" w:line="184" w:lineRule="exact"/>
        <w:tabs>
          <w:tab w:leader="none" w:pos="8140" w:val="left"/>
          <w:tab w:leader="none" w:pos="878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15" w:lineRule="exact"/>
        <w:rPr>
          <w:sz w:val="24"/>
          <w:szCs w:val="24"/>
          <w:color w:val="auto"/>
        </w:rPr>
      </w:pPr>
    </w:p>
    <w:tbl>
      <w:tblPr>
        <w:tblLayout w:type="fixed"/>
        <w:tblInd w:w="1320" w:type="dxa"/>
        <w:tblCellMar>
          <w:top w:w="0" w:type="dxa"/>
          <w:left w:w="0" w:type="dxa"/>
          <w:bottom w:w="0" w:type="dxa"/>
          <w:right w:w="0" w:type="dxa"/>
        </w:tblCellMar>
      </w:tblPr>
      <w:tr>
        <w:trPr>
          <w:trHeight w:val="225"/>
        </w:trPr>
        <w:tc>
          <w:tcPr>
            <w:tcW w:w="5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Class of Stock</w:t>
            </w:r>
          </w:p>
        </w:tc>
        <w:tc>
          <w:tcPr>
            <w:tcW w:w="280" w:type="dxa"/>
            <w:vAlign w:val="bottom"/>
          </w:tcPr>
          <w:p>
            <w:pPr>
              <w:spacing w:after="0"/>
              <w:rPr>
                <w:sz w:val="19"/>
                <w:szCs w:val="19"/>
                <w:color w:val="auto"/>
              </w:rPr>
            </w:pPr>
          </w:p>
        </w:tc>
        <w:tc>
          <w:tcPr>
            <w:tcW w:w="4380" w:type="dxa"/>
            <w:vAlign w:val="bottom"/>
            <w:tcBorders>
              <w:bottom w:val="single" w:sz="8" w:color="auto"/>
            </w:tcBorders>
          </w:tcPr>
          <w:p>
            <w:pPr>
              <w:jc w:val="right"/>
              <w:ind w:right="1399"/>
              <w:spacing w:after="0"/>
              <w:rPr>
                <w:sz w:val="20"/>
                <w:szCs w:val="20"/>
                <w:color w:val="auto"/>
              </w:rPr>
            </w:pPr>
            <w:r>
              <w:rPr>
                <w:rFonts w:ascii="Times New Roman" w:cs="Times New Roman" w:eastAsia="Times New Roman" w:hAnsi="Times New Roman"/>
                <w:sz w:val="16"/>
                <w:szCs w:val="16"/>
                <w:b w:val="1"/>
                <w:bCs w:val="1"/>
                <w:color w:val="auto"/>
              </w:rPr>
              <w:t>Shares Outstanding as of August 9, 2024</w:t>
            </w:r>
          </w:p>
        </w:tc>
      </w:tr>
      <w:tr>
        <w:trPr>
          <w:trHeight w:val="278"/>
        </w:trPr>
        <w:tc>
          <w:tcPr>
            <w:tcW w:w="5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Class A ordinary shares, par value $0.0001 per share</w:t>
            </w:r>
          </w:p>
        </w:tc>
        <w:tc>
          <w:tcPr>
            <w:tcW w:w="46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126,051,383</w:t>
            </w:r>
          </w:p>
        </w:tc>
      </w:tr>
      <w:tr>
        <w:trPr>
          <w:trHeight w:val="297"/>
        </w:trPr>
        <w:tc>
          <w:tcPr>
            <w:tcW w:w="5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Class B ordinary shares, par value $0.0001 per share</w:t>
            </w:r>
          </w:p>
        </w:tc>
        <w:tc>
          <w:tcPr>
            <w:tcW w:w="46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163,623,834</w:t>
            </w:r>
          </w:p>
        </w:tc>
      </w:tr>
    </w:tbl>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640715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560" w:type="dxa"/>
            <w:vAlign w:val="bottom"/>
            <w:gridSpan w:val="8"/>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50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FF"/>
                <w:w w:val="99"/>
              </w:rPr>
              <w:t>Financial Information (Unaudited)</w:t>
            </w:r>
          </w:p>
        </w:tc>
        <w:tc>
          <w:tcPr>
            <w:tcW w:w="6800" w:type="dxa"/>
            <w:vAlign w:val="bottom"/>
            <w:gridSpan w:val="11"/>
            <w:vMerge w:val="restart"/>
          </w:tcPr>
          <w:p>
            <w:pPr>
              <w:spacing w:after="0"/>
              <w:rPr>
                <w:sz w:val="24"/>
                <w:szCs w:val="24"/>
                <w:color w:val="auto"/>
              </w:rPr>
            </w:pPr>
          </w:p>
        </w:tc>
        <w:tc>
          <w:tcPr>
            <w:tcW w:w="7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1140" w:type="dxa"/>
            <w:vAlign w:val="bottom"/>
            <w:gridSpan w:val="2"/>
            <w:vMerge w:val="continue"/>
          </w:tcPr>
          <w:p>
            <w:pPr>
              <w:spacing w:after="0"/>
              <w:rPr>
                <w:sz w:val="14"/>
                <w:szCs w:val="14"/>
                <w:color w:val="auto"/>
              </w:rPr>
            </w:pPr>
          </w:p>
        </w:tc>
        <w:tc>
          <w:tcPr>
            <w:tcW w:w="2500" w:type="dxa"/>
            <w:vAlign w:val="bottom"/>
            <w:tcBorders>
              <w:bottom w:val="single" w:sz="8" w:color="0000FF"/>
            </w:tcBorders>
            <w:gridSpan w:val="9"/>
            <w:vMerge w:val="continue"/>
          </w:tcPr>
          <w:p>
            <w:pPr>
              <w:spacing w:after="0"/>
              <w:rPr>
                <w:sz w:val="14"/>
                <w:szCs w:val="14"/>
                <w:color w:val="auto"/>
              </w:rPr>
            </w:pPr>
          </w:p>
        </w:tc>
        <w:tc>
          <w:tcPr>
            <w:tcW w:w="6800" w:type="dxa"/>
            <w:vAlign w:val="bottom"/>
            <w:gridSpan w:val="11"/>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5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Financial Statements</w:t>
            </w:r>
          </w:p>
        </w:tc>
        <w:tc>
          <w:tcPr>
            <w:tcW w:w="20" w:type="dxa"/>
            <w:vAlign w:val="bottom"/>
            <w:tcBorders>
              <w:bottom w:val="single" w:sz="8" w:color="0000EE"/>
            </w:tcBorders>
          </w:tcPr>
          <w:p>
            <w:pPr>
              <w:spacing w:after="0"/>
              <w:rPr>
                <w:sz w:val="18"/>
                <w:szCs w:val="18"/>
                <w:color w:val="auto"/>
              </w:rPr>
            </w:pPr>
          </w:p>
        </w:tc>
        <w:tc>
          <w:tcPr>
            <w:tcW w:w="776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40" w:type="dxa"/>
            <w:vAlign w:val="bottom"/>
            <w:tcBorders>
              <w:right w:val="single" w:sz="8" w:color="0000EE"/>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Loss</w:t>
            </w:r>
          </w:p>
        </w:tc>
        <w:tc>
          <w:tcPr>
            <w:tcW w:w="490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Changes in Redeemable Noncontrolling Interest and Shareholders’ Deficit</w:t>
            </w:r>
          </w:p>
        </w:tc>
        <w:tc>
          <w:tcPr>
            <w:tcW w:w="10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0" w:type="dxa"/>
            <w:vAlign w:val="bottom"/>
            <w:tcBorders>
              <w:right w:val="single" w:sz="8" w:color="0000EE"/>
            </w:tcBorders>
            <w:gridSpan w:val="4"/>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20" w:type="dxa"/>
            <w:vAlign w:val="bottom"/>
            <w:tcBorders>
              <w:bottom w:val="single" w:sz="8" w:color="0000EE"/>
            </w:tcBorders>
          </w:tcPr>
          <w:p>
            <w:pPr>
              <w:spacing w:after="0"/>
              <w:rPr>
                <w:sz w:val="18"/>
                <w:szCs w:val="18"/>
                <w:color w:val="auto"/>
              </w:rPr>
            </w:pPr>
          </w:p>
        </w:tc>
        <w:tc>
          <w:tcPr>
            <w:tcW w:w="448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4"/>
          </w:tcPr>
          <w:p>
            <w:pPr>
              <w:spacing w:after="0"/>
              <w:rPr>
                <w:sz w:val="18"/>
                <w:szCs w:val="18"/>
                <w:color w:val="auto"/>
              </w:rPr>
            </w:pPr>
          </w:p>
        </w:tc>
        <w:tc>
          <w:tcPr>
            <w:tcW w:w="284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52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top w:val="single" w:sz="8" w:color="0000FF"/>
              <w:bottom w:val="single" w:sz="8" w:color="0000EE"/>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796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94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696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752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796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00" w:type="dxa"/>
            <w:vAlign w:val="bottom"/>
          </w:tcPr>
          <w:p>
            <w:pPr>
              <w:spacing w:after="0"/>
              <w:rPr>
                <w:sz w:val="20"/>
                <w:szCs w:val="20"/>
                <w:color w:val="auto"/>
              </w:rPr>
            </w:pPr>
          </w:p>
        </w:tc>
        <w:tc>
          <w:tcPr>
            <w:tcW w:w="1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50"/>
        </w:trPr>
        <w:tc>
          <w:tcPr>
            <w:tcW w:w="6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4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top w:val="single" w:sz="8" w:color="auto"/>
            </w:tcBorders>
            <w:shd w:val="clear" w:color="auto" w:fill="CFF0FC"/>
          </w:tcPr>
          <w:p>
            <w:pPr>
              <w:spacing w:after="0"/>
              <w:rPr>
                <w:sz w:val="21"/>
                <w:szCs w:val="21"/>
                <w:color w:val="auto"/>
              </w:rPr>
            </w:pPr>
          </w:p>
        </w:tc>
        <w:tc>
          <w:tcPr>
            <w:tcW w:w="1800" w:type="dxa"/>
            <w:vAlign w:val="bottom"/>
            <w:tcBorders>
              <w:top w:val="single" w:sz="8" w:color="auto"/>
            </w:tcBorders>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188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214,508</w:t>
            </w:r>
          </w:p>
        </w:tc>
        <w:tc>
          <w:tcPr>
            <w:tcW w:w="3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60,649</w:t>
            </w:r>
          </w:p>
        </w:tc>
        <w:tc>
          <w:tcPr>
            <w:tcW w:w="100" w:type="dxa"/>
            <w:vAlign w:val="bottom"/>
          </w:tcPr>
          <w:p>
            <w:pPr>
              <w:spacing w:after="0"/>
              <w:rPr>
                <w:sz w:val="20"/>
                <w:szCs w:val="20"/>
                <w:color w:val="auto"/>
              </w:rPr>
            </w:pPr>
          </w:p>
        </w:tc>
      </w:tr>
      <w:tr>
        <w:trPr>
          <w:trHeight w:val="247"/>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32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217,023</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302,301</w:t>
            </w:r>
          </w:p>
        </w:tc>
        <w:tc>
          <w:tcPr>
            <w:tcW w:w="100" w:type="dxa"/>
            <w:vAlign w:val="bottom"/>
            <w:shd w:val="clear" w:color="auto" w:fill="CFF0FC"/>
          </w:tcPr>
          <w:p>
            <w:pPr>
              <w:spacing w:after="0"/>
              <w:rPr>
                <w:sz w:val="21"/>
                <w:szCs w:val="21"/>
                <w:color w:val="auto"/>
              </w:rPr>
            </w:pPr>
          </w:p>
        </w:tc>
      </w:tr>
      <w:tr>
        <w:trPr>
          <w:trHeight w:val="239"/>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receivable</w:t>
            </w:r>
          </w:p>
        </w:tc>
        <w:tc>
          <w:tcPr>
            <w:tcW w:w="3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00" w:type="dxa"/>
            <w:vAlign w:val="bottom"/>
          </w:tcPr>
          <w:p>
            <w:pPr>
              <w:spacing w:after="0"/>
              <w:rPr>
                <w:sz w:val="20"/>
                <w:szCs w:val="20"/>
                <w:color w:val="auto"/>
              </w:rPr>
            </w:pPr>
          </w:p>
        </w:tc>
      </w:tr>
      <w:tr>
        <w:trPr>
          <w:trHeight w:val="247"/>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assets</w:t>
            </w:r>
          </w:p>
        </w:tc>
        <w:tc>
          <w:tcPr>
            <w:tcW w:w="32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3,532</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100" w:type="dxa"/>
            <w:vAlign w:val="bottom"/>
            <w:shd w:val="clear" w:color="auto" w:fill="CFF0FC"/>
          </w:tcPr>
          <w:p>
            <w:pPr>
              <w:spacing w:after="0"/>
              <w:rPr>
                <w:sz w:val="21"/>
                <w:szCs w:val="21"/>
                <w:color w:val="auto"/>
              </w:rPr>
            </w:pPr>
          </w:p>
        </w:tc>
      </w:tr>
      <w:tr>
        <w:trPr>
          <w:trHeight w:val="239"/>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clinical</w:t>
            </w:r>
          </w:p>
        </w:tc>
        <w:tc>
          <w:tcPr>
            <w:tcW w:w="3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12,451</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6,413</w:t>
            </w:r>
          </w:p>
        </w:tc>
        <w:tc>
          <w:tcPr>
            <w:tcW w:w="100" w:type="dxa"/>
            <w:vAlign w:val="bottom"/>
          </w:tcPr>
          <w:p>
            <w:pPr>
              <w:spacing w:after="0"/>
              <w:rPr>
                <w:sz w:val="20"/>
                <w:szCs w:val="20"/>
                <w:color w:val="auto"/>
              </w:rPr>
            </w:pPr>
          </w:p>
        </w:tc>
      </w:tr>
      <w:tr>
        <w:trPr>
          <w:trHeight w:val="243"/>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shd w:val="clear" w:color="auto" w:fill="CFF0FC"/>
          </w:tcPr>
          <w:p>
            <w:pPr>
              <w:spacing w:after="0"/>
              <w:rPr>
                <w:sz w:val="21"/>
                <w:szCs w:val="21"/>
                <w:color w:val="auto"/>
              </w:rPr>
            </w:pPr>
          </w:p>
        </w:tc>
        <w:tc>
          <w:tcPr>
            <w:tcW w:w="21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21"/>
                <w:szCs w:val="21"/>
                <w:color w:val="auto"/>
              </w:rPr>
            </w:pPr>
          </w:p>
        </w:tc>
      </w:tr>
      <w:tr>
        <w:trPr>
          <w:trHeight w:val="232"/>
        </w:trPr>
        <w:tc>
          <w:tcPr>
            <w:tcW w:w="6600" w:type="dxa"/>
            <w:vAlign w:val="bottom"/>
            <w:tcBorders>
              <w:top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450,262</w:t>
            </w:r>
          </w:p>
        </w:tc>
        <w:tc>
          <w:tcPr>
            <w:tcW w:w="34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374,146</w:t>
            </w:r>
          </w:p>
        </w:tc>
        <w:tc>
          <w:tcPr>
            <w:tcW w:w="100" w:type="dxa"/>
            <w:vAlign w:val="bottom"/>
            <w:tcBorders>
              <w:top w:val="single" w:sz="8" w:color="CFF0FC"/>
            </w:tcBorders>
          </w:tcPr>
          <w:p>
            <w:pPr>
              <w:spacing w:after="0"/>
              <w:rPr>
                <w:sz w:val="20"/>
                <w:szCs w:val="20"/>
                <w:color w:val="auto"/>
              </w:rPr>
            </w:pPr>
          </w:p>
        </w:tc>
      </w:tr>
      <w:tr>
        <w:trPr>
          <w:trHeight w:val="252"/>
        </w:trPr>
        <w:tc>
          <w:tcPr>
            <w:tcW w:w="6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Fixed assets, net</w:t>
            </w:r>
          </w:p>
        </w:tc>
        <w:tc>
          <w:tcPr>
            <w:tcW w:w="32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42,567</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42,143</w:t>
            </w:r>
          </w:p>
        </w:tc>
        <w:tc>
          <w:tcPr>
            <w:tcW w:w="100" w:type="dxa"/>
            <w:vAlign w:val="bottom"/>
            <w:shd w:val="clear" w:color="auto" w:fill="CFF0FC"/>
          </w:tcPr>
          <w:p>
            <w:pPr>
              <w:spacing w:after="0"/>
              <w:rPr>
                <w:sz w:val="21"/>
                <w:szCs w:val="21"/>
                <w:color w:val="auto"/>
              </w:rPr>
            </w:pPr>
          </w:p>
        </w:tc>
      </w:tr>
      <w:tr>
        <w:trPr>
          <w:trHeight w:val="239"/>
        </w:trPr>
        <w:tc>
          <w:tcPr>
            <w:tcW w:w="66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Right of use assets, net</w:t>
            </w: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6,334</w:t>
            </w:r>
          </w:p>
        </w:tc>
        <w:tc>
          <w:tcPr>
            <w:tcW w:w="3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100" w:type="dxa"/>
            <w:vAlign w:val="bottom"/>
            <w:tcBorders>
              <w:bottom w:val="single" w:sz="8" w:color="CFF0FC"/>
            </w:tcBorders>
          </w:tcPr>
          <w:p>
            <w:pPr>
              <w:spacing w:after="0"/>
              <w:rPr>
                <w:sz w:val="20"/>
                <w:szCs w:val="20"/>
                <w:color w:val="auto"/>
              </w:rPr>
            </w:pPr>
          </w:p>
        </w:tc>
      </w:tr>
      <w:tr>
        <w:trPr>
          <w:trHeight w:val="281"/>
        </w:trPr>
        <w:tc>
          <w:tcPr>
            <w:tcW w:w="660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499,163</w:t>
            </w:r>
          </w:p>
        </w:tc>
        <w:tc>
          <w:tcPr>
            <w:tcW w:w="3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420,552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6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3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100" w:type="dxa"/>
            <w:vAlign w:val="bottom"/>
            <w:shd w:val="clear" w:color="auto" w:fill="CFF0FC"/>
          </w:tcPr>
          <w:p>
            <w:pPr>
              <w:spacing w:after="0"/>
              <w:rPr>
                <w:sz w:val="21"/>
                <w:szCs w:val="21"/>
                <w:color w:val="auto"/>
              </w:rPr>
            </w:pPr>
          </w:p>
        </w:tc>
      </w:tr>
      <w:tr>
        <w:trPr>
          <w:trHeight w:val="239"/>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3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tcPr>
          <w:p>
            <w:pPr>
              <w:spacing w:after="0"/>
              <w:rPr>
                <w:sz w:val="20"/>
                <w:szCs w:val="20"/>
                <w:color w:val="auto"/>
              </w:rPr>
            </w:pPr>
          </w:p>
        </w:tc>
      </w:tr>
      <w:tr>
        <w:trPr>
          <w:trHeight w:val="247"/>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32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15,109</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17,665</w:t>
            </w:r>
          </w:p>
        </w:tc>
        <w:tc>
          <w:tcPr>
            <w:tcW w:w="100" w:type="dxa"/>
            <w:vAlign w:val="bottom"/>
            <w:shd w:val="clear" w:color="auto" w:fill="CFF0FC"/>
          </w:tcPr>
          <w:p>
            <w:pPr>
              <w:spacing w:after="0"/>
              <w:rPr>
                <w:sz w:val="21"/>
                <w:szCs w:val="21"/>
                <w:color w:val="auto"/>
              </w:rPr>
            </w:pPr>
          </w:p>
        </w:tc>
      </w:tr>
      <w:tr>
        <w:trPr>
          <w:trHeight w:val="239"/>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 payable</w:t>
            </w: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tcPr>
          <w:p>
            <w:pPr>
              <w:spacing w:after="0"/>
              <w:rPr>
                <w:sz w:val="20"/>
                <w:szCs w:val="20"/>
                <w:color w:val="auto"/>
              </w:rPr>
            </w:pPr>
          </w:p>
        </w:tc>
      </w:tr>
      <w:tr>
        <w:trPr>
          <w:trHeight w:val="241"/>
        </w:trPr>
        <w:tc>
          <w:tcPr>
            <w:tcW w:w="66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shd w:val="clear" w:color="auto" w:fill="CFF0FC"/>
          </w:tcPr>
          <w:p>
            <w:pPr>
              <w:spacing w:after="0"/>
              <w:rPr>
                <w:sz w:val="20"/>
                <w:szCs w:val="20"/>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20,589</w:t>
            </w:r>
          </w:p>
        </w:tc>
        <w:tc>
          <w:tcPr>
            <w:tcW w:w="3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25,038</w:t>
            </w:r>
          </w:p>
        </w:tc>
        <w:tc>
          <w:tcPr>
            <w:tcW w:w="100" w:type="dxa"/>
            <w:vAlign w:val="bottom"/>
            <w:shd w:val="clear" w:color="auto" w:fill="CFF0FC"/>
          </w:tcPr>
          <w:p>
            <w:pPr>
              <w:spacing w:after="0"/>
              <w:rPr>
                <w:sz w:val="20"/>
                <w:szCs w:val="20"/>
                <w:color w:val="auto"/>
              </w:rPr>
            </w:pPr>
          </w:p>
        </w:tc>
      </w:tr>
      <w:tr>
        <w:trPr>
          <w:trHeight w:val="47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payable, net of current portion</w:t>
            </w:r>
          </w:p>
        </w:tc>
        <w:tc>
          <w:tcPr>
            <w:tcW w:w="32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Pr>
          <w:p>
            <w:pPr>
              <w:spacing w:after="0"/>
              <w:rPr>
                <w:sz w:val="24"/>
                <w:szCs w:val="24"/>
                <w:color w:val="auto"/>
              </w:rPr>
            </w:pPr>
          </w:p>
        </w:tc>
      </w:tr>
      <w:tr>
        <w:trPr>
          <w:trHeight w:val="245"/>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320" w:type="dxa"/>
            <w:vAlign w:val="bottom"/>
            <w:tcBorders>
              <w:bottom w:val="single" w:sz="8" w:color="auto"/>
            </w:tcBorders>
            <w:shd w:val="clear" w:color="auto" w:fill="CFF0FC"/>
          </w:tcPr>
          <w:p>
            <w:pPr>
              <w:spacing w:after="0"/>
              <w:rPr>
                <w:sz w:val="21"/>
                <w:szCs w:val="21"/>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5,640</w:t>
            </w:r>
          </w:p>
        </w:tc>
        <w:tc>
          <w:tcPr>
            <w:tcW w:w="3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26,797</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29,216</w:t>
            </w:r>
          </w:p>
        </w:tc>
        <w:tc>
          <w:tcPr>
            <w:tcW w:w="100" w:type="dxa"/>
            <w:vAlign w:val="bottom"/>
          </w:tcPr>
          <w:p>
            <w:pPr>
              <w:spacing w:after="0"/>
              <w:rPr>
                <w:sz w:val="20"/>
                <w:szCs w:val="20"/>
                <w:color w:val="auto"/>
              </w:rPr>
            </w:pPr>
          </w:p>
        </w:tc>
      </w:tr>
      <w:tr>
        <w:trPr>
          <w:trHeight w:val="24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20" w:type="dxa"/>
            <w:vAlign w:val="bottom"/>
            <w:shd w:val="clear" w:color="auto" w:fill="CFF0FC"/>
          </w:tcPr>
          <w:p>
            <w:pPr>
              <w:spacing w:after="0"/>
              <w:rPr>
                <w:sz w:val="21"/>
                <w:szCs w:val="21"/>
                <w:color w:val="auto"/>
              </w:rPr>
            </w:pPr>
          </w:p>
        </w:tc>
        <w:tc>
          <w:tcPr>
            <w:tcW w:w="18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4"/>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3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1,444,737</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1,494,732</w:t>
            </w:r>
          </w:p>
        </w:tc>
        <w:tc>
          <w:tcPr>
            <w:tcW w:w="100" w:type="dxa"/>
            <w:vAlign w:val="bottom"/>
          </w:tcPr>
          <w:p>
            <w:pPr>
              <w:spacing w:after="0"/>
              <w:rPr>
                <w:sz w:val="20"/>
                <w:szCs w:val="20"/>
                <w:color w:val="auto"/>
              </w:rPr>
            </w:pPr>
          </w:p>
        </w:tc>
      </w:tr>
      <w:tr>
        <w:trPr>
          <w:trHeight w:val="252"/>
        </w:trPr>
        <w:tc>
          <w:tcPr>
            <w:tcW w:w="6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Shareholders’ deficit</w:t>
            </w:r>
          </w:p>
        </w:tc>
        <w:tc>
          <w:tcPr>
            <w:tcW w:w="320" w:type="dxa"/>
            <w:vAlign w:val="bottom"/>
            <w:shd w:val="clear" w:color="auto" w:fill="CFF0FC"/>
          </w:tcPr>
          <w:p>
            <w:pPr>
              <w:spacing w:after="0"/>
              <w:rPr>
                <w:sz w:val="21"/>
                <w:szCs w:val="21"/>
                <w:color w:val="auto"/>
              </w:rPr>
            </w:pPr>
          </w:p>
        </w:tc>
        <w:tc>
          <w:tcPr>
            <w:tcW w:w="18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Class A ordinary shares, $0.0001 par value; 500,000,000 shares</w:t>
            </w:r>
          </w:p>
        </w:tc>
        <w:tc>
          <w:tcPr>
            <w:tcW w:w="3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authorized; 125,856,877 and 59,880,347 issued and outstanding as</w:t>
            </w:r>
          </w:p>
        </w:tc>
        <w:tc>
          <w:tcPr>
            <w:tcW w:w="3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 June 30, 2024 and December 31, 2023, respectively</w:t>
            </w:r>
          </w:p>
        </w:tc>
        <w:tc>
          <w:tcPr>
            <w:tcW w:w="3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r>
      <w:tr>
        <w:trPr>
          <w:trHeight w:val="218"/>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Class B ordinary shares, $0.0001 par value; 500,000,000 shares</w:t>
            </w:r>
          </w:p>
        </w:tc>
        <w:tc>
          <w:tcPr>
            <w:tcW w:w="32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authorized; 163,817,953 and 168,297,916 issued and outstanding as</w:t>
            </w:r>
          </w:p>
        </w:tc>
        <w:tc>
          <w:tcPr>
            <w:tcW w:w="32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66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of June 30, 2024 and December 31, 2023, respectively</w:t>
            </w:r>
          </w:p>
        </w:tc>
        <w:tc>
          <w:tcPr>
            <w:tcW w:w="32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21"/>
                <w:szCs w:val="21"/>
                <w:color w:val="auto"/>
              </w:rPr>
            </w:pPr>
          </w:p>
        </w:tc>
      </w:tr>
      <w:tr>
        <w:trPr>
          <w:trHeight w:val="239"/>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189,267</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36,114</w:t>
            </w:r>
          </w:p>
        </w:tc>
        <w:tc>
          <w:tcPr>
            <w:tcW w:w="100" w:type="dxa"/>
            <w:vAlign w:val="bottom"/>
          </w:tcPr>
          <w:p>
            <w:pPr>
              <w:spacing w:after="0"/>
              <w:rPr>
                <w:sz w:val="20"/>
                <w:szCs w:val="20"/>
                <w:color w:val="auto"/>
              </w:rPr>
            </w:pPr>
          </w:p>
        </w:tc>
      </w:tr>
      <w:tr>
        <w:trPr>
          <w:trHeight w:val="247"/>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 gain</w:t>
            </w:r>
          </w:p>
        </w:tc>
        <w:tc>
          <w:tcPr>
            <w:tcW w:w="320" w:type="dxa"/>
            <w:vAlign w:val="bottom"/>
            <w:shd w:val="clear" w:color="auto" w:fill="CFF0FC"/>
          </w:tcPr>
          <w:p>
            <w:pPr>
              <w:spacing w:after="0"/>
              <w:rPr>
                <w:sz w:val="21"/>
                <w:szCs w:val="21"/>
                <w:color w:val="auto"/>
              </w:rPr>
            </w:pPr>
          </w:p>
        </w:tc>
        <w:tc>
          <w:tcPr>
            <w:tcW w:w="21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(6 )</w:t>
            </w:r>
          </w:p>
        </w:tc>
        <w:tc>
          <w:tcPr>
            <w:tcW w:w="20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FF0FC"/>
          </w:tcPr>
          <w:p>
            <w:pPr>
              <w:spacing w:after="0"/>
              <w:rPr>
                <w:sz w:val="21"/>
                <w:szCs w:val="21"/>
                <w:color w:val="auto"/>
              </w:rPr>
            </w:pPr>
          </w:p>
        </w:tc>
      </w:tr>
      <w:tr>
        <w:trPr>
          <w:trHeight w:val="239"/>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tcPr>
          <w:p>
            <w:pPr>
              <w:spacing w:after="0"/>
              <w:rPr>
                <w:sz w:val="20"/>
                <w:szCs w:val="20"/>
                <w:color w:val="auto"/>
              </w:rPr>
            </w:pPr>
          </w:p>
        </w:tc>
        <w:tc>
          <w:tcPr>
            <w:tcW w:w="2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(1,161,661 )</w:t>
            </w:r>
          </w:p>
        </w:tc>
        <w:tc>
          <w:tcPr>
            <w:tcW w:w="200" w:type="dxa"/>
            <w:vAlign w:val="bottom"/>
          </w:tcPr>
          <w:p>
            <w:pPr>
              <w:spacing w:after="0"/>
              <w:rPr>
                <w:sz w:val="20"/>
                <w:szCs w:val="20"/>
                <w:color w:val="auto"/>
              </w:rPr>
            </w:pPr>
          </w:p>
        </w:tc>
        <w:tc>
          <w:tcPr>
            <w:tcW w:w="1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(1,139,663 )</w:t>
            </w:r>
          </w:p>
        </w:tc>
      </w:tr>
      <w:tr>
        <w:trPr>
          <w:trHeight w:val="20"/>
        </w:trPr>
        <w:tc>
          <w:tcPr>
            <w:tcW w:w="66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shareholders' deficit</w:t>
            </w:r>
          </w:p>
        </w:tc>
        <w:tc>
          <w:tcPr>
            <w:tcW w:w="320" w:type="dxa"/>
            <w:vAlign w:val="bottom"/>
            <w:shd w:val="clear" w:color="auto" w:fill="CFF0FC"/>
          </w:tcPr>
          <w:p>
            <w:pPr>
              <w:spacing w:after="0"/>
              <w:rPr>
                <w:sz w:val="20"/>
                <w:szCs w:val="20"/>
                <w:color w:val="auto"/>
              </w:rPr>
            </w:pPr>
          </w:p>
        </w:tc>
        <w:tc>
          <w:tcPr>
            <w:tcW w:w="21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(972,371 )</w:t>
            </w:r>
          </w:p>
        </w:tc>
        <w:tc>
          <w:tcPr>
            <w:tcW w:w="200" w:type="dxa"/>
            <w:vAlign w:val="bottom"/>
            <w:shd w:val="clear" w:color="auto" w:fill="CFF0FC"/>
          </w:tcPr>
          <w:p>
            <w:pPr>
              <w:spacing w:after="0"/>
              <w:rPr>
                <w:sz w:val="20"/>
                <w:szCs w:val="20"/>
                <w:color w:val="auto"/>
              </w:rPr>
            </w:pPr>
          </w:p>
        </w:tc>
        <w:tc>
          <w:tcPr>
            <w:tcW w:w="1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(1,103,396 )</w:t>
            </w:r>
          </w:p>
        </w:tc>
      </w:tr>
      <w:tr>
        <w:trPr>
          <w:trHeight w:val="241"/>
        </w:trPr>
        <w:tc>
          <w:tcPr>
            <w:tcW w:w="66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liabilities and shareholders' deficit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499,163</w:t>
            </w:r>
          </w:p>
        </w:tc>
        <w:tc>
          <w:tcPr>
            <w:tcW w:w="34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420,552</w:t>
            </w:r>
          </w:p>
        </w:tc>
        <w:tc>
          <w:tcPr>
            <w:tcW w:w="100" w:type="dxa"/>
            <w:vAlign w:val="bottom"/>
            <w:tcBorders>
              <w:top w:val="single" w:sz="8" w:color="CFF0FC"/>
            </w:tcBorders>
          </w:tcPr>
          <w:p>
            <w:pPr>
              <w:spacing w:after="0"/>
              <w:rPr>
                <w:sz w:val="20"/>
                <w:szCs w:val="20"/>
                <w:color w:val="auto"/>
              </w:rPr>
            </w:pPr>
          </w:p>
        </w:tc>
      </w:tr>
      <w:tr>
        <w:trPr>
          <w:trHeight w:val="20"/>
        </w:trPr>
        <w:tc>
          <w:tcPr>
            <w:tcW w:w="6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-4817110</wp:posOffset>
            </wp:positionV>
            <wp:extent cx="768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-4817110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-4028440</wp:posOffset>
            </wp:positionV>
            <wp:extent cx="768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-4011295</wp:posOffset>
            </wp:positionV>
            <wp:extent cx="768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-4191000</wp:posOffset>
            </wp:positionV>
            <wp:extent cx="768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-4028440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-4011295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-2451100</wp:posOffset>
            </wp:positionV>
            <wp:extent cx="768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-2451100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-187960</wp:posOffset>
            </wp:positionV>
            <wp:extent cx="768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8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00" w:type="dxa"/>
            <w:vAlign w:val="bottom"/>
          </w:tcPr>
          <w:p>
            <w:pPr>
              <w:spacing w:after="0"/>
              <w:rPr>
                <w:sz w:val="20"/>
                <w:szCs w:val="20"/>
                <w:color w:val="auto"/>
              </w:rPr>
            </w:pPr>
          </w:p>
        </w:tc>
        <w:tc>
          <w:tcPr>
            <w:tcW w:w="290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50"/>
        </w:trPr>
        <w:tc>
          <w:tcPr>
            <w:tcW w:w="46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29,404</w:t>
            </w:r>
          </w:p>
        </w:tc>
        <w:tc>
          <w:tcPr>
            <w:tcW w:w="3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26,364</w:t>
            </w:r>
          </w:p>
        </w:tc>
        <w:tc>
          <w:tcPr>
            <w:tcW w:w="2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56,637</w:t>
            </w:r>
          </w:p>
        </w:tc>
        <w:tc>
          <w:tcPr>
            <w:tcW w:w="2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13,652</w:t>
            </w:r>
          </w:p>
        </w:tc>
        <w:tc>
          <w:tcPr>
            <w:tcW w:w="3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13,455</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26,495</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28,714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43,056</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39,819</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83,132</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(43,056 )</w:t>
            </w:r>
          </w:p>
        </w:tc>
        <w:tc>
          <w:tcPr>
            <w:tcW w:w="3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(39,819 )</w:t>
            </w:r>
          </w:p>
        </w:tc>
        <w:tc>
          <w:tcPr>
            <w:tcW w:w="3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(83,132 )</w:t>
            </w:r>
          </w:p>
        </w:tc>
        <w:tc>
          <w:tcPr>
            <w:tcW w:w="3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(80,695 )</w:t>
            </w:r>
          </w:p>
        </w:tc>
        <w:tc>
          <w:tcPr>
            <w:tcW w:w="0" w:type="dxa"/>
            <w:vAlign w:val="bottom"/>
          </w:tcPr>
          <w:p>
            <w:pPr>
              <w:spacing w:after="0"/>
              <w:rPr>
                <w:sz w:val="1"/>
                <w:szCs w:val="1"/>
                <w:color w:val="auto"/>
              </w:rPr>
            </w:pPr>
          </w:p>
        </w:tc>
      </w:tr>
      <w:tr>
        <w:trPr>
          <w:trHeight w:val="47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4,537</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5,965</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9,380</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(3 )</w:t>
            </w:r>
          </w:p>
        </w:tc>
        <w:tc>
          <w:tcPr>
            <w:tcW w:w="32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(4 )</w:t>
            </w:r>
          </w:p>
        </w:tc>
        <w:tc>
          <w:tcPr>
            <w:tcW w:w="3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(5 )</w:t>
            </w:r>
          </w:p>
        </w:tc>
        <w:tc>
          <w:tcPr>
            <w:tcW w:w="32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26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(38,522 )</w:t>
            </w:r>
          </w:p>
        </w:tc>
        <w:tc>
          <w:tcPr>
            <w:tcW w:w="32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(33,858 )</w:t>
            </w:r>
          </w:p>
        </w:tc>
        <w:tc>
          <w:tcPr>
            <w:tcW w:w="30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(73,757 )</w:t>
            </w:r>
          </w:p>
        </w:tc>
        <w:tc>
          <w:tcPr>
            <w:tcW w:w="3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(69,440 )</w:t>
            </w:r>
          </w:p>
        </w:tc>
        <w:tc>
          <w:tcPr>
            <w:tcW w:w="0" w:type="dxa"/>
            <w:vAlign w:val="bottom"/>
          </w:tcPr>
          <w:p>
            <w:pPr>
              <w:spacing w:after="0"/>
              <w:rPr>
                <w:sz w:val="1"/>
                <w:szCs w:val="1"/>
                <w:color w:val="auto"/>
              </w:rPr>
            </w:pPr>
          </w:p>
        </w:tc>
      </w:tr>
      <w:tr>
        <w:trPr>
          <w:trHeight w:val="23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6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(56 )</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 before noncontrolling</w:t>
            </w:r>
          </w:p>
        </w:tc>
        <w:tc>
          <w:tcPr>
            <w:tcW w:w="260" w:type="dxa"/>
            <w:vAlign w:val="bottom"/>
            <w:shd w:val="clear" w:color="auto" w:fill="CFF0FC"/>
          </w:tcPr>
          <w:p>
            <w:pPr>
              <w:spacing w:after="0"/>
              <w:rPr>
                <w:sz w:val="18"/>
                <w:szCs w:val="18"/>
                <w:color w:val="auto"/>
              </w:rPr>
            </w:pPr>
          </w:p>
        </w:tc>
        <w:tc>
          <w:tcPr>
            <w:tcW w:w="14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(38,466 )</w:t>
            </w:r>
          </w:p>
        </w:tc>
        <w:tc>
          <w:tcPr>
            <w:tcW w:w="320" w:type="dxa"/>
            <w:vAlign w:val="bottom"/>
            <w:shd w:val="clear" w:color="auto" w:fill="CFF0FC"/>
          </w:tcPr>
          <w:p>
            <w:pPr>
              <w:spacing w:after="0"/>
              <w:rPr>
                <w:sz w:val="18"/>
                <w:szCs w:val="18"/>
                <w:color w:val="auto"/>
              </w:rPr>
            </w:pPr>
          </w:p>
        </w:tc>
        <w:tc>
          <w:tcPr>
            <w:tcW w:w="138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(34,823 )</w:t>
            </w:r>
          </w:p>
        </w:tc>
        <w:tc>
          <w:tcPr>
            <w:tcW w:w="300" w:type="dxa"/>
            <w:vAlign w:val="bottom"/>
            <w:shd w:val="clear" w:color="auto" w:fill="CFF0FC"/>
          </w:tcPr>
          <w:p>
            <w:pPr>
              <w:spacing w:after="0"/>
              <w:rPr>
                <w:sz w:val="18"/>
                <w:szCs w:val="18"/>
                <w:color w:val="auto"/>
              </w:rPr>
            </w:pPr>
          </w:p>
        </w:tc>
        <w:tc>
          <w:tcPr>
            <w:tcW w:w="138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(73,799 )</w:t>
            </w:r>
          </w:p>
        </w:tc>
        <w:tc>
          <w:tcPr>
            <w:tcW w:w="320" w:type="dxa"/>
            <w:vAlign w:val="bottom"/>
            <w:shd w:val="clear" w:color="auto" w:fill="CFF0FC"/>
          </w:tcPr>
          <w:p>
            <w:pPr>
              <w:spacing w:after="0"/>
              <w:rPr>
                <w:sz w:val="18"/>
                <w:szCs w:val="18"/>
                <w:color w:val="auto"/>
              </w:rPr>
            </w:pPr>
          </w:p>
        </w:tc>
        <w:tc>
          <w:tcPr>
            <w:tcW w:w="12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(71,732 )</w:t>
            </w:r>
          </w:p>
        </w:tc>
        <w:tc>
          <w:tcPr>
            <w:tcW w:w="0" w:type="dxa"/>
            <w:vAlign w:val="bottom"/>
          </w:tcPr>
          <w:p>
            <w:pPr>
              <w:spacing w:after="0"/>
              <w:rPr>
                <w:sz w:val="1"/>
                <w:szCs w:val="1"/>
                <w:color w:val="auto"/>
              </w:rPr>
            </w:pPr>
          </w:p>
        </w:tc>
      </w:tr>
      <w:tr>
        <w:trPr>
          <w:trHeight w:val="234"/>
        </w:trPr>
        <w:tc>
          <w:tcPr>
            <w:tcW w:w="46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interest</w:t>
            </w:r>
          </w:p>
        </w:tc>
        <w:tc>
          <w:tcPr>
            <w:tcW w:w="260" w:type="dxa"/>
            <w:vAlign w:val="bottom"/>
            <w:shd w:val="clear" w:color="auto" w:fill="CFF0FC"/>
          </w:tcPr>
          <w:p>
            <w:pPr>
              <w:spacing w:after="0"/>
              <w:rPr>
                <w:sz w:val="20"/>
                <w:szCs w:val="20"/>
                <w:color w:val="auto"/>
              </w:rPr>
            </w:pPr>
          </w:p>
        </w:tc>
        <w:tc>
          <w:tcPr>
            <w:tcW w:w="1480" w:type="dxa"/>
            <w:vAlign w:val="bottom"/>
            <w:gridSpan w:val="2"/>
            <w:vMerge w:val="continue"/>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80" w:type="dxa"/>
            <w:vAlign w:val="bottom"/>
            <w:gridSpan w:val="2"/>
            <w:vMerge w:val="continue"/>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80" w:type="dxa"/>
            <w:vAlign w:val="bottom"/>
            <w:gridSpan w:val="2"/>
            <w:vMerge w:val="continue"/>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6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(25,960 )</w:t>
            </w:r>
          </w:p>
        </w:tc>
        <w:tc>
          <w:tcPr>
            <w:tcW w:w="32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(25,705 )</w:t>
            </w:r>
          </w:p>
        </w:tc>
        <w:tc>
          <w:tcPr>
            <w:tcW w:w="3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(51,801 )</w:t>
            </w:r>
          </w:p>
        </w:tc>
        <w:tc>
          <w:tcPr>
            <w:tcW w:w="32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(52,949 )</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loss available to Class A ordinary shareholders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(12,506 )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(9,118 )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(21,998 )</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(18,783 )</w:t>
            </w:r>
          </w:p>
        </w:tc>
        <w:tc>
          <w:tcPr>
            <w:tcW w:w="0" w:type="dxa"/>
            <w:vAlign w:val="bottom"/>
          </w:tcPr>
          <w:p>
            <w:pPr>
              <w:spacing w:after="0"/>
              <w:rPr>
                <w:sz w:val="1"/>
                <w:szCs w:val="1"/>
                <w:color w:val="auto"/>
              </w:rPr>
            </w:pPr>
          </w:p>
        </w:tc>
      </w:tr>
      <w:tr>
        <w:trPr>
          <w:trHeight w:val="460"/>
        </w:trPr>
        <w:tc>
          <w:tcPr>
            <w:tcW w:w="46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Weighted average Class A ordinary shares outstanding:</w:t>
            </w:r>
          </w:p>
        </w:tc>
        <w:tc>
          <w:tcPr>
            <w:tcW w:w="2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 and diluted</w:t>
            </w:r>
          </w:p>
        </w:tc>
        <w:tc>
          <w:tcPr>
            <w:tcW w:w="2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75,908,017</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64,562,209</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68,429,869</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64,551,281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Class A ordinary shares:</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 and diluted</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(0.16 )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(0.14 )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(0.32 )</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(0.29 )</w:t>
            </w:r>
          </w:p>
        </w:tc>
        <w:tc>
          <w:tcPr>
            <w:tcW w:w="0" w:type="dxa"/>
            <w:vAlign w:val="bottom"/>
          </w:tcPr>
          <w:p>
            <w:pPr>
              <w:spacing w:after="0"/>
              <w:rPr>
                <w:sz w:val="1"/>
                <w:szCs w:val="1"/>
                <w:color w:val="auto"/>
              </w:rPr>
            </w:pPr>
          </w:p>
        </w:tc>
      </w:tr>
      <w:tr>
        <w:trPr>
          <w:trHeight w:val="20"/>
        </w:trPr>
        <w:tc>
          <w:tcPr>
            <w:tcW w:w="46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-2691130</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-2691130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-2691130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-2691130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-1148080</wp:posOffset>
            </wp:positionV>
            <wp:extent cx="774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-1148080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-1148080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-822325</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-805180</wp:posOffset>
            </wp:positionV>
            <wp:extent cx="774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-822325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-805180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-822325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-805180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-805180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-24765</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-7620</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-24765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-7620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2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00" w:type="dxa"/>
            <w:vAlign w:val="bottom"/>
          </w:tcPr>
          <w:p>
            <w:pPr>
              <w:spacing w:after="0"/>
              <w:rPr>
                <w:sz w:val="20"/>
                <w:szCs w:val="20"/>
                <w:color w:val="auto"/>
              </w:rPr>
            </w:pPr>
          </w:p>
        </w:tc>
        <w:tc>
          <w:tcPr>
            <w:tcW w:w="256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50"/>
        </w:trPr>
        <w:tc>
          <w:tcPr>
            <w:tcW w:w="48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including noncontrolling interest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(38,466 )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(34,823 )</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(73,799 )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(71,732 )</w:t>
            </w:r>
          </w:p>
        </w:tc>
        <w:tc>
          <w:tcPr>
            <w:tcW w:w="0" w:type="dxa"/>
            <w:vAlign w:val="bottom"/>
          </w:tcPr>
          <w:p>
            <w:pPr>
              <w:spacing w:after="0"/>
              <w:rPr>
                <w:sz w:val="1"/>
                <w:szCs w:val="1"/>
                <w:color w:val="auto"/>
              </w:rPr>
            </w:pPr>
          </w:p>
        </w:tc>
      </w:tr>
      <w:tr>
        <w:trPr>
          <w:trHeight w:val="23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Unrealized income (loss) on marketable securities</w:t>
            </w: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(413 )</w:t>
            </w:r>
          </w:p>
        </w:tc>
        <w:tc>
          <w:tcPr>
            <w:tcW w:w="2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(515 )</w:t>
            </w:r>
          </w:p>
        </w:tc>
        <w:tc>
          <w:tcPr>
            <w:tcW w:w="2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(485 )</w:t>
            </w:r>
          </w:p>
        </w:tc>
        <w:tc>
          <w:tcPr>
            <w:tcW w:w="0" w:type="dxa"/>
            <w:vAlign w:val="bottom"/>
          </w:tcPr>
          <w:p>
            <w:pPr>
              <w:spacing w:after="0"/>
              <w:rPr>
                <w:sz w:val="1"/>
                <w:szCs w:val="1"/>
                <w:color w:val="auto"/>
              </w:rPr>
            </w:pPr>
          </w:p>
        </w:tc>
      </w:tr>
      <w:tr>
        <w:trPr>
          <w:trHeight w:val="20"/>
        </w:trPr>
        <w:tc>
          <w:tcPr>
            <w:tcW w:w="48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(413 )</w:t>
            </w:r>
          </w:p>
        </w:tc>
        <w:tc>
          <w:tcPr>
            <w:tcW w:w="20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(515 )</w:t>
            </w:r>
          </w:p>
        </w:tc>
        <w:tc>
          <w:tcPr>
            <w:tcW w:w="26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(485 )</w:t>
            </w:r>
          </w:p>
        </w:tc>
        <w:tc>
          <w:tcPr>
            <w:tcW w:w="0" w:type="dxa"/>
            <w:vAlign w:val="bottom"/>
          </w:tcPr>
          <w:p>
            <w:pPr>
              <w:spacing w:after="0"/>
              <w:rPr>
                <w:sz w:val="1"/>
                <w:szCs w:val="1"/>
                <w:color w:val="auto"/>
              </w:rPr>
            </w:pPr>
          </w:p>
        </w:tc>
      </w:tr>
      <w:tr>
        <w:trPr>
          <w:trHeight w:val="247"/>
        </w:trPr>
        <w:tc>
          <w:tcPr>
            <w:tcW w:w="4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comprehensive loss including noncontrolling interest</w:t>
            </w:r>
          </w:p>
        </w:tc>
        <w:tc>
          <w:tcPr>
            <w:tcW w:w="1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(38,334 )</w:t>
            </w:r>
          </w:p>
        </w:tc>
        <w:tc>
          <w:tcPr>
            <w:tcW w:w="2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(35,236 )</w:t>
            </w:r>
          </w:p>
        </w:tc>
        <w:tc>
          <w:tcPr>
            <w:tcW w:w="2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(74,314 )</w:t>
            </w:r>
          </w:p>
        </w:tc>
        <w:tc>
          <w:tcPr>
            <w:tcW w:w="2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(72,217 )</w:t>
            </w:r>
          </w:p>
        </w:tc>
        <w:tc>
          <w:tcPr>
            <w:tcW w:w="0" w:type="dxa"/>
            <w:vAlign w:val="bottom"/>
          </w:tcPr>
          <w:p>
            <w:pPr>
              <w:spacing w:after="0"/>
              <w:rPr>
                <w:sz w:val="1"/>
                <w:szCs w:val="1"/>
                <w:color w:val="auto"/>
              </w:rPr>
            </w:pPr>
          </w:p>
        </w:tc>
      </w:tr>
      <w:tr>
        <w:trPr>
          <w:trHeight w:val="211"/>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Total comprehensive loss attributable to noncontrolling</w:t>
            </w:r>
          </w:p>
        </w:tc>
        <w:tc>
          <w:tcPr>
            <w:tcW w:w="140" w:type="dxa"/>
            <w:vAlign w:val="bottom"/>
          </w:tcPr>
          <w:p>
            <w:pPr>
              <w:spacing w:after="0"/>
              <w:rPr>
                <w:sz w:val="18"/>
                <w:szCs w:val="18"/>
                <w:color w:val="auto"/>
              </w:rPr>
            </w:pPr>
          </w:p>
        </w:tc>
        <w:tc>
          <w:tcPr>
            <w:tcW w:w="13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(25,866 )</w:t>
            </w:r>
          </w:p>
        </w:tc>
        <w:tc>
          <w:tcPr>
            <w:tcW w:w="260" w:type="dxa"/>
            <w:vAlign w:val="bottom"/>
          </w:tcPr>
          <w:p>
            <w:pPr>
              <w:spacing w:after="0"/>
              <w:rPr>
                <w:sz w:val="18"/>
                <w:szCs w:val="18"/>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(26,010 )</w:t>
            </w:r>
          </w:p>
        </w:tc>
        <w:tc>
          <w:tcPr>
            <w:tcW w:w="200" w:type="dxa"/>
            <w:vAlign w:val="bottom"/>
          </w:tcPr>
          <w:p>
            <w:pPr>
              <w:spacing w:after="0"/>
              <w:rPr>
                <w:sz w:val="18"/>
                <w:szCs w:val="18"/>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(52,180 )</w:t>
            </w:r>
          </w:p>
        </w:tc>
        <w:tc>
          <w:tcPr>
            <w:tcW w:w="260" w:type="dxa"/>
            <w:vAlign w:val="bottom"/>
          </w:tcPr>
          <w:p>
            <w:pPr>
              <w:spacing w:after="0"/>
              <w:rPr>
                <w:sz w:val="18"/>
                <w:szCs w:val="18"/>
                <w:color w:val="auto"/>
              </w:rPr>
            </w:pPr>
          </w:p>
        </w:tc>
        <w:tc>
          <w:tcPr>
            <w:tcW w:w="10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(53,307 )</w:t>
            </w:r>
          </w:p>
        </w:tc>
        <w:tc>
          <w:tcPr>
            <w:tcW w:w="0" w:type="dxa"/>
            <w:vAlign w:val="bottom"/>
          </w:tcPr>
          <w:p>
            <w:pPr>
              <w:spacing w:after="0"/>
              <w:rPr>
                <w:sz w:val="1"/>
                <w:szCs w:val="1"/>
                <w:color w:val="auto"/>
              </w:rPr>
            </w:pPr>
          </w:p>
        </w:tc>
      </w:tr>
      <w:tr>
        <w:trPr>
          <w:trHeight w:val="234"/>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140" w:type="dxa"/>
            <w:vAlign w:val="bottom"/>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840" w:type="dxa"/>
            <w:vAlign w:val="bottom"/>
            <w:shd w:val="clear" w:color="auto" w:fill="CFF0FC"/>
          </w:tcPr>
          <w:p>
            <w:pPr>
              <w:ind w:left="200"/>
              <w:spacing w:after="0" w:line="205" w:lineRule="exact"/>
              <w:rPr>
                <w:sz w:val="20"/>
                <w:szCs w:val="20"/>
                <w:color w:val="auto"/>
              </w:rPr>
            </w:pPr>
            <w:r>
              <w:rPr>
                <w:rFonts w:ascii="Times New Roman" w:cs="Times New Roman" w:eastAsia="Times New Roman" w:hAnsi="Times New Roman"/>
                <w:sz w:val="18"/>
                <w:szCs w:val="18"/>
                <w:color w:val="auto"/>
              </w:rPr>
              <w:t>Total comprehensive loss attributable to Class A ordinary</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(12,468 )</w:t>
            </w:r>
          </w:p>
        </w:tc>
        <w:tc>
          <w:tcPr>
            <w:tcW w:w="26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(9,226 )</w:t>
            </w: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(22,134 )</w:t>
            </w:r>
          </w:p>
        </w:tc>
        <w:tc>
          <w:tcPr>
            <w:tcW w:w="26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(18,910 )</w:t>
            </w:r>
          </w:p>
        </w:tc>
        <w:tc>
          <w:tcPr>
            <w:tcW w:w="0" w:type="dxa"/>
            <w:vAlign w:val="bottom"/>
          </w:tcPr>
          <w:p>
            <w:pPr>
              <w:spacing w:after="0"/>
              <w:rPr>
                <w:sz w:val="1"/>
                <w:szCs w:val="1"/>
                <w:color w:val="auto"/>
              </w:rPr>
            </w:pPr>
          </w:p>
        </w:tc>
      </w:tr>
      <w:tr>
        <w:trPr>
          <w:trHeight w:val="227"/>
        </w:trPr>
        <w:tc>
          <w:tcPr>
            <w:tcW w:w="4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shareholders</w:t>
            </w:r>
          </w:p>
        </w:tc>
        <w:tc>
          <w:tcPr>
            <w:tcW w:w="140" w:type="dxa"/>
            <w:vAlign w:val="bottom"/>
            <w:vMerge w:val="continue"/>
            <w:shd w:val="clear" w:color="auto" w:fill="CFF0FC"/>
          </w:tcPr>
          <w:p>
            <w:pPr>
              <w:spacing w:after="0"/>
              <w:rPr>
                <w:sz w:val="19"/>
                <w:szCs w:val="19"/>
                <w:color w:val="auto"/>
              </w:rPr>
            </w:pPr>
          </w:p>
        </w:tc>
        <w:tc>
          <w:tcPr>
            <w:tcW w:w="1340" w:type="dxa"/>
            <w:vAlign w:val="bottom"/>
            <w:gridSpan w:val="2"/>
            <w:vMerge w:val="continue"/>
            <w:shd w:val="clear" w:color="auto" w:fill="CFF0FC"/>
          </w:tcPr>
          <w:p>
            <w:pPr>
              <w:spacing w:after="0"/>
              <w:rPr>
                <w:sz w:val="19"/>
                <w:szCs w:val="19"/>
                <w:color w:val="auto"/>
              </w:rPr>
            </w:pPr>
          </w:p>
        </w:tc>
        <w:tc>
          <w:tcPr>
            <w:tcW w:w="260" w:type="dxa"/>
            <w:vAlign w:val="bottom"/>
            <w:vMerge w:val="continue"/>
            <w:shd w:val="clear" w:color="auto" w:fill="CFF0FC"/>
          </w:tcPr>
          <w:p>
            <w:pPr>
              <w:spacing w:after="0"/>
              <w:rPr>
                <w:sz w:val="19"/>
                <w:szCs w:val="19"/>
                <w:color w:val="auto"/>
              </w:rPr>
            </w:pPr>
          </w:p>
        </w:tc>
        <w:tc>
          <w:tcPr>
            <w:tcW w:w="1220" w:type="dxa"/>
            <w:vAlign w:val="bottom"/>
            <w:gridSpan w:val="2"/>
            <w:vMerge w:val="continue"/>
            <w:shd w:val="clear" w:color="auto" w:fill="CFF0FC"/>
          </w:tcPr>
          <w:p>
            <w:pPr>
              <w:spacing w:after="0"/>
              <w:rPr>
                <w:sz w:val="19"/>
                <w:szCs w:val="19"/>
                <w:color w:val="auto"/>
              </w:rPr>
            </w:pPr>
          </w:p>
        </w:tc>
        <w:tc>
          <w:tcPr>
            <w:tcW w:w="200" w:type="dxa"/>
            <w:vAlign w:val="bottom"/>
            <w:vMerge w:val="continue"/>
            <w:shd w:val="clear" w:color="auto" w:fill="CFF0FC"/>
          </w:tcPr>
          <w:p>
            <w:pPr>
              <w:spacing w:after="0"/>
              <w:rPr>
                <w:sz w:val="19"/>
                <w:szCs w:val="19"/>
                <w:color w:val="auto"/>
              </w:rPr>
            </w:pPr>
          </w:p>
        </w:tc>
        <w:tc>
          <w:tcPr>
            <w:tcW w:w="1280" w:type="dxa"/>
            <w:vAlign w:val="bottom"/>
            <w:gridSpan w:val="2"/>
            <w:vMerge w:val="continue"/>
            <w:shd w:val="clear" w:color="auto" w:fill="CFF0FC"/>
          </w:tcPr>
          <w:p>
            <w:pPr>
              <w:spacing w:after="0"/>
              <w:rPr>
                <w:sz w:val="19"/>
                <w:szCs w:val="19"/>
                <w:color w:val="auto"/>
              </w:rPr>
            </w:pPr>
          </w:p>
        </w:tc>
        <w:tc>
          <w:tcPr>
            <w:tcW w:w="260" w:type="dxa"/>
            <w:vAlign w:val="bottom"/>
            <w:vMerge w:val="continue"/>
            <w:shd w:val="clear" w:color="auto" w:fill="CFF0FC"/>
          </w:tcPr>
          <w:p>
            <w:pPr>
              <w:spacing w:after="0"/>
              <w:rPr>
                <w:sz w:val="19"/>
                <w:szCs w:val="19"/>
                <w:color w:val="auto"/>
              </w:rPr>
            </w:pPr>
          </w:p>
        </w:tc>
        <w:tc>
          <w:tcPr>
            <w:tcW w:w="102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3843655</wp:posOffset>
            </wp:positionH>
            <wp:positionV relativeFrom="paragraph">
              <wp:posOffset>-899795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-899795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5729605</wp:posOffset>
            </wp:positionH>
            <wp:positionV relativeFrom="paragraph">
              <wp:posOffset>-899795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6647180</wp:posOffset>
            </wp:positionH>
            <wp:positionV relativeFrom="paragraph">
              <wp:posOffset>-899795</wp:posOffset>
            </wp:positionV>
            <wp:extent cx="596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3843655</wp:posOffset>
            </wp:positionH>
            <wp:positionV relativeFrom="paragraph">
              <wp:posOffset>-25400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3843655</wp:posOffset>
            </wp:positionH>
            <wp:positionV relativeFrom="paragraph">
              <wp:posOffset>-8255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-25400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-8255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5729605</wp:posOffset>
            </wp:positionH>
            <wp:positionV relativeFrom="paragraph">
              <wp:posOffset>-25400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5729605</wp:posOffset>
            </wp:positionH>
            <wp:positionV relativeFrom="paragraph">
              <wp:posOffset>-8255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6647180</wp:posOffset>
            </wp:positionH>
            <wp:positionV relativeFrom="paragraph">
              <wp:posOffset>-25400</wp:posOffset>
            </wp:positionV>
            <wp:extent cx="596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6647180</wp:posOffset>
            </wp:positionH>
            <wp:positionV relativeFrom="paragraph">
              <wp:posOffset>-8255</wp:posOffset>
            </wp:positionV>
            <wp:extent cx="596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660" w:top="1305" w:right="67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Redeemable Noncontrolling Interest and Shareholders’ Deficit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11"/>
          </w:tcPr>
          <w:p>
            <w:pPr>
              <w:ind w:left="200"/>
              <w:spacing w:after="0"/>
              <w:rPr>
                <w:sz w:val="20"/>
                <w:szCs w:val="20"/>
                <w:color w:val="auto"/>
              </w:rPr>
            </w:pPr>
            <w:r>
              <w:rPr>
                <w:rFonts w:ascii="Times New Roman" w:cs="Times New Roman" w:eastAsia="Times New Roman" w:hAnsi="Times New Roman"/>
                <w:sz w:val="16"/>
                <w:szCs w:val="16"/>
                <w:b w:val="1"/>
                <w:bCs w:val="1"/>
                <w:color w:val="auto"/>
              </w:rPr>
              <w:t>For the Three Months Ended June 30, 2024</w:t>
            </w:r>
          </w:p>
        </w:tc>
        <w:tc>
          <w:tcPr>
            <w:tcW w:w="4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7"/>
        </w:trPr>
        <w:tc>
          <w:tcPr>
            <w:tcW w:w="3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Class A Ordinary</w:t>
            </w:r>
          </w:p>
        </w:tc>
        <w:tc>
          <w:tcPr>
            <w:tcW w:w="220" w:type="dxa"/>
            <w:vAlign w:val="bottom"/>
          </w:tcPr>
          <w:p>
            <w:pPr>
              <w:spacing w:after="0"/>
              <w:rPr>
                <w:sz w:val="24"/>
                <w:szCs w:val="24"/>
                <w:color w:val="auto"/>
              </w:rPr>
            </w:pPr>
          </w:p>
        </w:tc>
        <w:tc>
          <w:tcPr>
            <w:tcW w:w="168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Class B Ordinary</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Borders>
              <w:bottom w:val="single" w:sz="8" w:color="auto"/>
            </w:tcBorders>
            <w:gridSpan w:val="3"/>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4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360" w:type="dxa"/>
            <w:vAlign w:val="bottom"/>
          </w:tcPr>
          <w:p>
            <w:pPr>
              <w:spacing w:after="0"/>
              <w:rPr>
                <w:sz w:val="18"/>
                <w:szCs w:val="18"/>
                <w:color w:val="auto"/>
              </w:rPr>
            </w:pPr>
          </w:p>
        </w:tc>
        <w:tc>
          <w:tcPr>
            <w:tcW w:w="720" w:type="dxa"/>
            <w:vAlign w:val="bottom"/>
            <w:tcBorders>
              <w:right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Redee</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Accum</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720" w:type="dxa"/>
            <w:vAlign w:val="bottom"/>
            <w:tcBorders>
              <w:right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mable</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ulated</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720" w:type="dxa"/>
            <w:vAlign w:val="bottom"/>
            <w:tcBorders>
              <w:right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Nonc</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720" w:type="dxa"/>
            <w:vAlign w:val="bottom"/>
            <w:tcBorders>
              <w:right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ontrol</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Additio</w:t>
            </w: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Compr</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720" w:type="dxa"/>
            <w:vAlign w:val="bottom"/>
            <w:tcBorders>
              <w:right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ling</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nal</w:t>
            </w:r>
          </w:p>
        </w:tc>
        <w:tc>
          <w:tcPr>
            <w:tcW w:w="7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ehensi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Accum</w:t>
            </w: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Shareh</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720" w:type="dxa"/>
            <w:vAlign w:val="bottom"/>
            <w:tcBorders>
              <w:right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Intere</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Amoun</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20" w:type="dxa"/>
            <w:vAlign w:val="bottom"/>
          </w:tcPr>
          <w:p>
            <w:pPr>
              <w:spacing w:after="0"/>
              <w:rPr>
                <w:sz w:val="18"/>
                <w:szCs w:val="18"/>
                <w:color w:val="auto"/>
              </w:rPr>
            </w:pPr>
          </w:p>
        </w:tc>
        <w:tc>
          <w:tcPr>
            <w:tcW w:w="6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ve</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ulated</w:t>
            </w: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olders'</w:t>
            </w:r>
          </w:p>
        </w:tc>
        <w:tc>
          <w:tcPr>
            <w:tcW w:w="0" w:type="dxa"/>
            <w:vAlign w:val="bottom"/>
          </w:tcPr>
          <w:p>
            <w:pPr>
              <w:spacing w:after="0"/>
              <w:rPr>
                <w:sz w:val="1"/>
                <w:szCs w:val="1"/>
                <w:color w:val="auto"/>
              </w:rPr>
            </w:pPr>
          </w:p>
        </w:tc>
      </w:tr>
      <w:tr>
        <w:trPr>
          <w:trHeight w:val="245"/>
        </w:trPr>
        <w:tc>
          <w:tcPr>
            <w:tcW w:w="3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Borders>
              <w:right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1"/>
              </w:rPr>
              <w:t>st</w:t>
            </w: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nt</w:t>
            </w:r>
          </w:p>
        </w:tc>
        <w:tc>
          <w:tcPr>
            <w:tcW w:w="220" w:type="dxa"/>
            <w:vAlign w:val="bottom"/>
          </w:tcPr>
          <w:p>
            <w:pPr>
              <w:spacing w:after="0"/>
              <w:rPr>
                <w:sz w:val="21"/>
                <w:szCs w:val="21"/>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21"/>
                <w:szCs w:val="21"/>
                <w:color w:val="auto"/>
              </w:rPr>
            </w:pPr>
          </w:p>
        </w:tc>
        <w:tc>
          <w:tcPr>
            <w:tcW w:w="6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21"/>
                <w:szCs w:val="21"/>
                <w:color w:val="auto"/>
              </w:rPr>
            </w:pPr>
          </w:p>
        </w:tc>
        <w:tc>
          <w:tcPr>
            <w:tcW w:w="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11"/>
        </w:trPr>
        <w:tc>
          <w:tcPr>
            <w:tcW w:w="33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April 1, 2024</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61,621</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167,72</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(1,096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500" w:type="dxa"/>
            <w:vAlign w:val="bottom"/>
            <w:gridSpan w:val="2"/>
            <w:shd w:val="clear" w:color="auto" w:fill="CFF0FC"/>
          </w:tcPr>
          <w:p>
            <w:pPr>
              <w:ind w:left="33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(44 )</w:t>
            </w: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6"/>
              </w:rPr>
              <w:t>$ 9,155 )</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,062 )</w:t>
            </w:r>
          </w:p>
        </w:tc>
        <w:tc>
          <w:tcPr>
            <w:tcW w:w="0" w:type="dxa"/>
            <w:vAlign w:val="bottom"/>
          </w:tcPr>
          <w:p>
            <w:pPr>
              <w:spacing w:after="0"/>
              <w:rPr>
                <w:sz w:val="1"/>
                <w:szCs w:val="1"/>
                <w:color w:val="auto"/>
              </w:rPr>
            </w:pPr>
          </w:p>
        </w:tc>
      </w:tr>
      <w:tr>
        <w:trPr>
          <w:trHeight w:val="211"/>
        </w:trPr>
        <w:tc>
          <w:tcPr>
            <w:tcW w:w="35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3500" w:type="dxa"/>
            <w:vAlign w:val="bottom"/>
            <w:gridSpan w:val="2"/>
            <w:vMerge w:val="continue"/>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0"/>
                <w:szCs w:val="10"/>
                <w:color w:val="auto"/>
              </w:rPr>
            </w:pP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0"/>
                <w:szCs w:val="10"/>
                <w:color w:val="auto"/>
              </w:rPr>
            </w:pPr>
          </w:p>
        </w:tc>
        <w:tc>
          <w:tcPr>
            <w:tcW w:w="6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6,436</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6,436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35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Issuance of Class A ordinary shares, net</w:t>
            </w:r>
          </w:p>
        </w:tc>
        <w:tc>
          <w:tcPr>
            <w:tcW w:w="36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60,218</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5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of offering costs</w:t>
            </w:r>
          </w:p>
        </w:tc>
        <w:tc>
          <w:tcPr>
            <w:tcW w:w="58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5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Vesting of Class B restricted stock rights</w:t>
            </w:r>
          </w:p>
        </w:tc>
        <w:tc>
          <w:tcPr>
            <w:tcW w:w="3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110,74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3500" w:type="dxa"/>
            <w:vAlign w:val="bottom"/>
            <w:gridSpan w:val="2"/>
            <w:vMerge w:val="continue"/>
          </w:tcPr>
          <w:p>
            <w:pPr>
              <w:spacing w:after="0"/>
              <w:rPr>
                <w:sz w:val="10"/>
                <w:szCs w:val="10"/>
                <w:color w:val="auto"/>
              </w:rPr>
            </w:pPr>
          </w:p>
        </w:tc>
        <w:tc>
          <w:tcPr>
            <w:tcW w:w="580" w:type="dxa"/>
            <w:vAlign w:val="bottom"/>
            <w:tcBorders>
              <w:right w:val="single" w:sz="8" w:color="auto"/>
            </w:tcBorders>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0"/>
                <w:szCs w:val="10"/>
                <w:color w:val="auto"/>
              </w:rPr>
            </w:pPr>
          </w:p>
        </w:tc>
        <w:tc>
          <w:tcPr>
            <w:tcW w:w="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0"/>
                <w:szCs w:val="10"/>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0"/>
                <w:szCs w:val="10"/>
                <w:color w:val="auto"/>
              </w:rPr>
            </w:pP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5"/>
        </w:trPr>
        <w:tc>
          <w:tcPr>
            <w:tcW w:w="3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Borders>
              <w:right w:val="single" w:sz="8" w:color="auto"/>
            </w:tcBorders>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35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Exchange of Class B ordinary shares for</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5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Class A ordinary shares</w:t>
            </w:r>
          </w:p>
        </w:tc>
        <w:tc>
          <w:tcPr>
            <w:tcW w:w="580" w:type="dxa"/>
            <w:vAlign w:val="bottom"/>
            <w:tcBorders>
              <w:right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613 )</w:t>
            </w: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340 )</w:t>
            </w:r>
          </w:p>
        </w:tc>
        <w:tc>
          <w:tcPr>
            <w:tcW w:w="20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5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58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35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Impact of equity transactions on</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(22,74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(22,74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5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11"/>
        </w:trPr>
        <w:tc>
          <w:tcPr>
            <w:tcW w:w="35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Unrealized income on marketable</w:t>
            </w:r>
          </w:p>
        </w:tc>
        <w:tc>
          <w:tcPr>
            <w:tcW w:w="3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5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securities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500" w:type="dxa"/>
            <w:vAlign w:val="bottom"/>
            <w:gridSpan w:val="2"/>
            <w:vMerge w:val="restart"/>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(12,50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3500" w:type="dxa"/>
            <w:vAlign w:val="bottom"/>
            <w:gridSpan w:val="2"/>
            <w:vMerge w:val="continue"/>
            <w:shd w:val="clear" w:color="auto" w:fill="CFF0FC"/>
          </w:tcPr>
          <w:p>
            <w:pPr>
              <w:spacing w:after="0"/>
              <w:rPr>
                <w:sz w:val="10"/>
                <w:szCs w:val="10"/>
                <w:color w:val="auto"/>
              </w:rPr>
            </w:pPr>
          </w:p>
        </w:tc>
        <w:tc>
          <w:tcPr>
            <w:tcW w:w="580" w:type="dxa"/>
            <w:vAlign w:val="bottom"/>
            <w:tcBorders>
              <w:right w:val="single" w:sz="8" w:color="auto"/>
            </w:tcBorders>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960 )</w:t>
            </w:r>
          </w:p>
        </w:tc>
        <w:tc>
          <w:tcPr>
            <w:tcW w:w="10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0"/>
                <w:szCs w:val="10"/>
                <w:color w:val="auto"/>
              </w:rPr>
            </w:pPr>
          </w:p>
        </w:tc>
        <w:tc>
          <w:tcPr>
            <w:tcW w:w="8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0"/>
                <w:szCs w:val="10"/>
                <w:color w:val="auto"/>
              </w:rPr>
            </w:pPr>
          </w:p>
        </w:tc>
        <w:tc>
          <w:tcPr>
            <w:tcW w:w="6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0"/>
                <w:szCs w:val="10"/>
                <w:color w:val="auto"/>
              </w:rPr>
            </w:pPr>
          </w:p>
        </w:tc>
        <w:tc>
          <w:tcPr>
            <w:tcW w:w="7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0"/>
                <w:szCs w:val="10"/>
                <w:color w:val="auto"/>
              </w:rPr>
            </w:pPr>
          </w:p>
        </w:tc>
        <w:tc>
          <w:tcPr>
            <w:tcW w:w="6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06 )</w:t>
            </w:r>
          </w:p>
        </w:tc>
        <w:tc>
          <w:tcPr>
            <w:tcW w:w="120" w:type="dxa"/>
            <w:vAlign w:val="bottom"/>
            <w:shd w:val="clear" w:color="auto" w:fill="CFF0FC"/>
          </w:tcPr>
          <w:p>
            <w:pPr>
              <w:spacing w:after="0"/>
              <w:rPr>
                <w:sz w:val="10"/>
                <w:szCs w:val="10"/>
                <w:color w:val="auto"/>
              </w:rPr>
            </w:pPr>
          </w:p>
        </w:tc>
        <w:tc>
          <w:tcPr>
            <w:tcW w:w="58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121"/>
        </w:trPr>
        <w:tc>
          <w:tcPr>
            <w:tcW w:w="33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tcBorders>
              <w:right w:val="single" w:sz="8" w:color="auto"/>
            </w:tcBorders>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40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gridSpan w:val="2"/>
            <w:vMerge w:val="continue"/>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20" w:type="dxa"/>
            <w:vAlign w:val="bottom"/>
            <w:gridSpan w:val="2"/>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gridSpan w:val="2"/>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gridSpan w:val="2"/>
            <w:vMerge w:val="continue"/>
            <w:shd w:val="clear" w:color="auto" w:fill="CFF0FC"/>
          </w:tcPr>
          <w:p>
            <w:pPr>
              <w:spacing w:after="0"/>
              <w:rPr>
                <w:sz w:val="10"/>
                <w:szCs w:val="10"/>
                <w:color w:val="auto"/>
              </w:rPr>
            </w:pPr>
          </w:p>
        </w:tc>
        <w:tc>
          <w:tcPr>
            <w:tcW w:w="760" w:type="dxa"/>
            <w:vAlign w:val="bottom"/>
            <w:gridSpan w:val="2"/>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35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Change in redemption value of</w:t>
            </w:r>
          </w:p>
        </w:tc>
        <w:tc>
          <w:tcPr>
            <w:tcW w:w="580" w:type="dxa"/>
            <w:vAlign w:val="bottom"/>
            <w:tcBorders>
              <w:right w:val="single" w:sz="8" w:color="auto"/>
            </w:tcBorders>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5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noncontrolling interest</w:t>
            </w:r>
          </w:p>
        </w:tc>
        <w:tc>
          <w:tcPr>
            <w:tcW w:w="580" w:type="dxa"/>
            <w:vAlign w:val="bottom"/>
            <w:tcBorders>
              <w:right w:val="single" w:sz="8" w:color="auto"/>
            </w:tcBorders>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vMerge w:val="continue"/>
          </w:tcPr>
          <w:p>
            <w:pPr>
              <w:spacing w:after="0"/>
              <w:rPr>
                <w:sz w:val="20"/>
                <w:szCs w:val="20"/>
                <w:color w:val="auto"/>
              </w:rPr>
            </w:pPr>
          </w:p>
        </w:tc>
        <w:tc>
          <w:tcPr>
            <w:tcW w:w="7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3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1,44</w:t>
            </w:r>
          </w:p>
        </w:tc>
        <w:tc>
          <w:tcPr>
            <w:tcW w:w="22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163,81</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(972,3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33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right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6,877</w:t>
            </w:r>
          </w:p>
        </w:tc>
        <w:tc>
          <w:tcPr>
            <w:tcW w:w="22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FF0FC"/>
          </w:tcPr>
          <w:p>
            <w:pPr>
              <w:spacing w:after="0"/>
              <w:rPr>
                <w:sz w:val="22"/>
                <w:szCs w:val="2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7,953</w:t>
            </w: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(6 )</w:t>
            </w: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6"/>
              </w:rPr>
              <w:t>$ 1,661 )</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20"/>
        </w:trPr>
        <w:tc>
          <w:tcPr>
            <w:tcW w:w="33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2446655</wp:posOffset>
            </wp:positionH>
            <wp:positionV relativeFrom="paragraph">
              <wp:posOffset>-25400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2446655</wp:posOffset>
            </wp:positionH>
            <wp:positionV relativeFrom="paragraph">
              <wp:posOffset>-8255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3063875</wp:posOffset>
            </wp:positionH>
            <wp:positionV relativeFrom="paragraph">
              <wp:posOffset>-25400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3063875</wp:posOffset>
            </wp:positionH>
            <wp:positionV relativeFrom="paragraph">
              <wp:posOffset>-8255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3552190</wp:posOffset>
            </wp:positionH>
            <wp:positionV relativeFrom="paragraph">
              <wp:posOffset>-25400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3552190</wp:posOffset>
            </wp:positionH>
            <wp:positionV relativeFrom="paragraph">
              <wp:posOffset>-8255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4100830</wp:posOffset>
            </wp:positionH>
            <wp:positionV relativeFrom="paragraph">
              <wp:posOffset>-25400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4100830</wp:posOffset>
            </wp:positionH>
            <wp:positionV relativeFrom="paragraph">
              <wp:posOffset>-8255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4624070</wp:posOffset>
            </wp:positionH>
            <wp:positionV relativeFrom="paragraph">
              <wp:posOffset>-25400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4624070</wp:posOffset>
            </wp:positionH>
            <wp:positionV relativeFrom="paragraph">
              <wp:posOffset>-8255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5146675</wp:posOffset>
            </wp:positionH>
            <wp:positionV relativeFrom="paragraph">
              <wp:posOffset>-25400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5146675</wp:posOffset>
            </wp:positionH>
            <wp:positionV relativeFrom="paragraph">
              <wp:posOffset>-8255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5652770</wp:posOffset>
            </wp:positionH>
            <wp:positionV relativeFrom="paragraph">
              <wp:posOffset>-25400</wp:posOffset>
            </wp:positionV>
            <wp:extent cx="603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5652770</wp:posOffset>
            </wp:positionH>
            <wp:positionV relativeFrom="paragraph">
              <wp:posOffset>-8255</wp:posOffset>
            </wp:positionV>
            <wp:extent cx="603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-25400</wp:posOffset>
            </wp:positionV>
            <wp:extent cx="596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-8255</wp:posOffset>
            </wp:positionV>
            <wp:extent cx="596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6647180</wp:posOffset>
            </wp:positionH>
            <wp:positionV relativeFrom="paragraph">
              <wp:posOffset>-25400</wp:posOffset>
            </wp:positionV>
            <wp:extent cx="596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6647180</wp:posOffset>
            </wp:positionH>
            <wp:positionV relativeFrom="paragraph">
              <wp:posOffset>-8255</wp:posOffset>
            </wp:positionV>
            <wp:extent cx="596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660" w:top="981" w:right="6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Redeemable Noncontrolling Interest and Shareholders’ Deficit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1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For The Three Months Ended June 30, 2023</w:t>
            </w:r>
          </w:p>
        </w:tc>
        <w:tc>
          <w:tcPr>
            <w:tcW w:w="5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220" w:type="dxa"/>
            <w:vAlign w:val="bottom"/>
          </w:tcPr>
          <w:p>
            <w:pPr>
              <w:spacing w:after="0"/>
              <w:rPr>
                <w:sz w:val="21"/>
                <w:szCs w:val="21"/>
                <w:color w:val="auto"/>
              </w:rPr>
            </w:pPr>
          </w:p>
        </w:tc>
        <w:tc>
          <w:tcPr>
            <w:tcW w:w="13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Accum</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Additi</w:t>
            </w:r>
          </w:p>
        </w:tc>
        <w:tc>
          <w:tcPr>
            <w:tcW w:w="200" w:type="dxa"/>
            <w:vAlign w:val="bottom"/>
          </w:tcPr>
          <w:p>
            <w:pPr>
              <w:spacing w:after="0"/>
              <w:rPr>
                <w:sz w:val="18"/>
                <w:szCs w:val="18"/>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ulated</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Shareho</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12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Redeema</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onal</w:t>
            </w:r>
          </w:p>
        </w:tc>
        <w:tc>
          <w:tcPr>
            <w:tcW w:w="200" w:type="dxa"/>
            <w:vAlign w:val="bottom"/>
          </w:tcPr>
          <w:p>
            <w:pPr>
              <w:spacing w:after="0"/>
              <w:rPr>
                <w:sz w:val="18"/>
                <w:szCs w:val="18"/>
                <w:color w:val="auto"/>
              </w:rPr>
            </w:pP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lders'</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5"/>
              </w:rPr>
              <w:t>ble</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Paid-</w:t>
            </w:r>
          </w:p>
        </w:tc>
        <w:tc>
          <w:tcPr>
            <w:tcW w:w="200" w:type="dxa"/>
            <w:vAlign w:val="bottom"/>
          </w:tcPr>
          <w:p>
            <w:pPr>
              <w:spacing w:after="0"/>
              <w:rPr>
                <w:sz w:val="18"/>
                <w:szCs w:val="18"/>
                <w:color w:val="auto"/>
              </w:rPr>
            </w:pPr>
          </w:p>
        </w:tc>
        <w:tc>
          <w:tcPr>
            <w:tcW w:w="8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Comp</w:t>
            </w: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Accu</w:t>
            </w:r>
          </w:p>
        </w:tc>
        <w:tc>
          <w:tcPr>
            <w:tcW w:w="7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Deficit /</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12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Noncontr</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w:t>
            </w:r>
          </w:p>
        </w:tc>
        <w:tc>
          <w:tcPr>
            <w:tcW w:w="200" w:type="dxa"/>
            <w:vAlign w:val="bottom"/>
          </w:tcPr>
          <w:p>
            <w:pPr>
              <w:spacing w:after="0"/>
              <w:rPr>
                <w:sz w:val="18"/>
                <w:szCs w:val="18"/>
                <w:color w:val="auto"/>
              </w:rPr>
            </w:pP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rehens</w:t>
            </w: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mulat</w:t>
            </w:r>
          </w:p>
        </w:tc>
        <w:tc>
          <w:tcPr>
            <w:tcW w:w="7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Membe</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7"/>
              </w:rPr>
              <w:t>olling</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w:t>
            </w:r>
          </w:p>
        </w:tc>
        <w:tc>
          <w:tcPr>
            <w:tcW w:w="220" w:type="dxa"/>
            <w:vAlign w:val="bottom"/>
          </w:tcPr>
          <w:p>
            <w:pPr>
              <w:spacing w:after="0"/>
              <w:rPr>
                <w:sz w:val="18"/>
                <w:szCs w:val="18"/>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Capita</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ive</w:t>
            </w: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ed</w:t>
            </w:r>
          </w:p>
        </w:tc>
        <w:tc>
          <w:tcPr>
            <w:tcW w:w="100" w:type="dxa"/>
            <w:vAlign w:val="bottom"/>
          </w:tcPr>
          <w:p>
            <w:pPr>
              <w:spacing w:after="0"/>
              <w:rPr>
                <w:sz w:val="18"/>
                <w:szCs w:val="18"/>
                <w:color w:val="auto"/>
              </w:rPr>
            </w:pPr>
          </w:p>
        </w:tc>
        <w:tc>
          <w:tcPr>
            <w:tcW w:w="6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rs'</w:t>
            </w:r>
          </w:p>
        </w:tc>
        <w:tc>
          <w:tcPr>
            <w:tcW w:w="0" w:type="dxa"/>
            <w:vAlign w:val="bottom"/>
          </w:tcPr>
          <w:p>
            <w:pPr>
              <w:spacing w:after="0"/>
              <w:rPr>
                <w:sz w:val="1"/>
                <w:szCs w:val="1"/>
                <w:color w:val="auto"/>
              </w:rPr>
            </w:pPr>
          </w:p>
        </w:tc>
      </w:tr>
      <w:tr>
        <w:trPr>
          <w:trHeight w:val="245"/>
        </w:trPr>
        <w:tc>
          <w:tcPr>
            <w:tcW w:w="3240" w:type="dxa"/>
            <w:vAlign w:val="bottom"/>
          </w:tcPr>
          <w:p>
            <w:pPr>
              <w:spacing w:after="0"/>
              <w:rPr>
                <w:sz w:val="21"/>
                <w:szCs w:val="21"/>
                <w:color w:val="auto"/>
              </w:rPr>
            </w:pPr>
          </w:p>
        </w:tc>
        <w:tc>
          <w:tcPr>
            <w:tcW w:w="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Interest</w:t>
            </w:r>
          </w:p>
        </w:tc>
        <w:tc>
          <w:tcPr>
            <w:tcW w:w="340" w:type="dxa"/>
            <w:vAlign w:val="bottom"/>
            <w:gridSpan w:val="2"/>
          </w:tcPr>
          <w:p>
            <w:pPr>
              <w:spacing w:after="0"/>
              <w:rPr>
                <w:sz w:val="21"/>
                <w:szCs w:val="21"/>
                <w:color w:val="auto"/>
              </w:rPr>
            </w:pP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nt</w:t>
            </w:r>
          </w:p>
        </w:tc>
        <w:tc>
          <w:tcPr>
            <w:tcW w:w="220" w:type="dxa"/>
            <w:vAlign w:val="bottom"/>
          </w:tcPr>
          <w:p>
            <w:pPr>
              <w:spacing w:after="0"/>
              <w:rPr>
                <w:sz w:val="21"/>
                <w:szCs w:val="21"/>
                <w:color w:val="auto"/>
              </w:rPr>
            </w:pP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nt</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l</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220" w:type="dxa"/>
            <w:vAlign w:val="bottom"/>
          </w:tcPr>
          <w:p>
            <w:pPr>
              <w:spacing w:after="0"/>
              <w:rPr>
                <w:sz w:val="21"/>
                <w:szCs w:val="21"/>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200" w:type="dxa"/>
            <w:vAlign w:val="bottom"/>
          </w:tcPr>
          <w:p>
            <w:pPr>
              <w:spacing w:after="0"/>
              <w:rPr>
                <w:sz w:val="21"/>
                <w:szCs w:val="21"/>
                <w:color w:val="auto"/>
              </w:rPr>
            </w:pPr>
          </w:p>
        </w:tc>
        <w:tc>
          <w:tcPr>
            <w:tcW w:w="6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April 1, 2023</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2,082,48</w:t>
            </w:r>
          </w:p>
        </w:tc>
        <w:tc>
          <w:tcPr>
            <w:tcW w:w="24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61,54</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21,79</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360" w:type="dxa"/>
            <w:vAlign w:val="bottom"/>
            <w:gridSpan w:val="2"/>
            <w:shd w:val="clear" w:color="auto" w:fill="CFF0FC"/>
          </w:tcPr>
          <w:p>
            <w:pPr>
              <w:ind w:left="3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0,231</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(19 )</w:t>
            </w: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2"/>
              </w:rPr>
              <w:t>$ 3,307 )</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510 )</w:t>
            </w:r>
          </w:p>
        </w:tc>
        <w:tc>
          <w:tcPr>
            <w:tcW w:w="0" w:type="dxa"/>
            <w:vAlign w:val="bottom"/>
          </w:tcPr>
          <w:p>
            <w:pPr>
              <w:spacing w:after="0"/>
              <w:rPr>
                <w:sz w:val="1"/>
                <w:szCs w:val="1"/>
                <w:color w:val="auto"/>
              </w:rPr>
            </w:pPr>
          </w:p>
        </w:tc>
      </w:tr>
      <w:tr>
        <w:trPr>
          <w:trHeight w:val="239"/>
        </w:trPr>
        <w:tc>
          <w:tcPr>
            <w:tcW w:w="3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Equity-based compensation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8,440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360" w:type="dxa"/>
            <w:vAlign w:val="bottom"/>
            <w:gridSpan w:val="2"/>
            <w:vMerge w:val="restart"/>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Issuance of Class A ordinary shares</w:t>
            </w:r>
          </w:p>
        </w:tc>
        <w:tc>
          <w:tcPr>
            <w:tcW w:w="66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3360" w:type="dxa"/>
            <w:vAlign w:val="bottom"/>
            <w:gridSpan w:val="2"/>
            <w:vMerge w:val="continue"/>
            <w:shd w:val="clear" w:color="auto" w:fill="CFF0FC"/>
          </w:tcPr>
          <w:p>
            <w:pPr>
              <w:spacing w:after="0"/>
              <w:rPr>
                <w:sz w:val="10"/>
                <w:szCs w:val="10"/>
                <w:color w:val="auto"/>
              </w:rPr>
            </w:pPr>
          </w:p>
        </w:tc>
        <w:tc>
          <w:tcPr>
            <w:tcW w:w="900" w:type="dxa"/>
            <w:vAlign w:val="bottom"/>
            <w:tcBorders>
              <w:right w:val="single" w:sz="8" w:color="auto"/>
            </w:tcBorders>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0"/>
                <w:szCs w:val="10"/>
                <w:color w:val="auto"/>
              </w:rPr>
            </w:pPr>
          </w:p>
        </w:tc>
        <w:tc>
          <w:tcPr>
            <w:tcW w:w="66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2"/>
        </w:trPr>
        <w:tc>
          <w:tcPr>
            <w:tcW w:w="3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tcBorders>
              <w:right w:val="single" w:sz="8" w:color="auto"/>
            </w:tcBorders>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38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6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38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40" w:type="dxa"/>
            <w:vAlign w:val="bottom"/>
            <w:vMerge w:val="continue"/>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gridSpan w:val="2"/>
            <w:vMerge w:val="continue"/>
            <w:shd w:val="clear" w:color="auto" w:fill="CFF0FC"/>
          </w:tcPr>
          <w:p>
            <w:pPr>
              <w:spacing w:after="0"/>
              <w:rPr>
                <w:sz w:val="10"/>
                <w:szCs w:val="10"/>
                <w:color w:val="auto"/>
              </w:rPr>
            </w:pPr>
          </w:p>
        </w:tc>
        <w:tc>
          <w:tcPr>
            <w:tcW w:w="74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3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Vesting of Class B restricted stock</w:t>
            </w:r>
          </w:p>
        </w:tc>
        <w:tc>
          <w:tcPr>
            <w:tcW w:w="6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rights</w:t>
            </w:r>
          </w:p>
        </w:tc>
        <w:tc>
          <w:tcPr>
            <w:tcW w:w="90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33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Impact of equity transactions on</w:t>
            </w:r>
          </w:p>
        </w:tc>
        <w:tc>
          <w:tcPr>
            <w:tcW w:w="66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3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900" w:type="dxa"/>
            <w:vAlign w:val="bottom"/>
            <w:tcBorders>
              <w:right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(725 )</w:t>
            </w:r>
          </w:p>
        </w:tc>
        <w:tc>
          <w:tcPr>
            <w:tcW w:w="1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9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(305 )</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(108 )</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(108 )</w:t>
            </w:r>
          </w:p>
        </w:tc>
        <w:tc>
          <w:tcPr>
            <w:tcW w:w="0" w:type="dxa"/>
            <w:vAlign w:val="bottom"/>
          </w:tcPr>
          <w:p>
            <w:pPr>
              <w:spacing w:after="0"/>
              <w:rPr>
                <w:sz w:val="1"/>
                <w:szCs w:val="1"/>
                <w:color w:val="auto"/>
              </w:rPr>
            </w:pPr>
          </w:p>
        </w:tc>
      </w:tr>
      <w:tr>
        <w:trPr>
          <w:trHeight w:val="215"/>
        </w:trPr>
        <w:tc>
          <w:tcPr>
            <w:tcW w:w="3360" w:type="dxa"/>
            <w:vAlign w:val="bottom"/>
            <w:gridSpan w:val="2"/>
            <w:vMerge w:val="restart"/>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66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3360" w:type="dxa"/>
            <w:vAlign w:val="bottom"/>
            <w:gridSpan w:val="2"/>
            <w:vMerge w:val="continue"/>
            <w:shd w:val="clear" w:color="auto" w:fill="CFF0FC"/>
          </w:tcPr>
          <w:p>
            <w:pPr>
              <w:spacing w:after="0"/>
              <w:rPr>
                <w:sz w:val="10"/>
                <w:szCs w:val="10"/>
                <w:color w:val="auto"/>
              </w:rPr>
            </w:pPr>
          </w:p>
        </w:tc>
        <w:tc>
          <w:tcPr>
            <w:tcW w:w="900" w:type="dxa"/>
            <w:vAlign w:val="bottom"/>
            <w:tcBorders>
              <w:right w:val="single" w:sz="8" w:color="auto"/>
            </w:tcBorders>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(25,705 )</w:t>
            </w:r>
          </w:p>
        </w:tc>
        <w:tc>
          <w:tcPr>
            <w:tcW w:w="10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shd w:val="clear" w:color="auto" w:fill="CFF0FC"/>
          </w:tcPr>
          <w:p>
            <w:pPr>
              <w:spacing w:after="0"/>
              <w:rPr>
                <w:sz w:val="10"/>
                <w:szCs w:val="10"/>
                <w:color w:val="auto"/>
              </w:rPr>
            </w:pPr>
          </w:p>
        </w:tc>
        <w:tc>
          <w:tcPr>
            <w:tcW w:w="66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(9,118 )</w:t>
            </w:r>
          </w:p>
        </w:tc>
        <w:tc>
          <w:tcPr>
            <w:tcW w:w="0" w:type="dxa"/>
            <w:vAlign w:val="bottom"/>
          </w:tcPr>
          <w:p>
            <w:pPr>
              <w:spacing w:after="0"/>
              <w:rPr>
                <w:sz w:val="1"/>
                <w:szCs w:val="1"/>
                <w:color w:val="auto"/>
              </w:rPr>
            </w:pPr>
          </w:p>
        </w:tc>
      </w:tr>
      <w:tr>
        <w:trPr>
          <w:trHeight w:val="121"/>
        </w:trPr>
        <w:tc>
          <w:tcPr>
            <w:tcW w:w="3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tcBorders>
              <w:right w:val="single" w:sz="8" w:color="auto"/>
            </w:tcBorders>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38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6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38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40" w:type="dxa"/>
            <w:vAlign w:val="bottom"/>
            <w:vMerge w:val="continue"/>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gridSpan w:val="2"/>
            <w:vMerge w:val="continue"/>
            <w:shd w:val="clear" w:color="auto" w:fill="CFF0FC"/>
          </w:tcPr>
          <w:p>
            <w:pPr>
              <w:spacing w:after="0"/>
              <w:rPr>
                <w:sz w:val="10"/>
                <w:szCs w:val="10"/>
                <w:color w:val="auto"/>
              </w:rPr>
            </w:pPr>
          </w:p>
        </w:tc>
        <w:tc>
          <w:tcPr>
            <w:tcW w:w="74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3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Change in redemption value of</w:t>
            </w:r>
          </w:p>
        </w:tc>
        <w:tc>
          <w:tcPr>
            <w:tcW w:w="6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noncontrolling interest</w:t>
            </w:r>
          </w:p>
        </w:tc>
        <w:tc>
          <w:tcPr>
            <w:tcW w:w="120" w:type="dxa"/>
            <w:vAlign w:val="bottom"/>
          </w:tcPr>
          <w:p>
            <w:pPr>
              <w:spacing w:after="0"/>
              <w:rPr>
                <w:sz w:val="20"/>
                <w:szCs w:val="20"/>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5"/>
              </w:rPr>
              <w:t>(279,317 )</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June 30, 2023</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1,779,19</w:t>
            </w:r>
          </w:p>
        </w:tc>
        <w:tc>
          <w:tcPr>
            <w:tcW w:w="24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61,59</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63,42</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30,95</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32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Borders>
              <w:right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0,231</w:t>
            </w: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FF0FC"/>
          </w:tcPr>
          <w:p>
            <w:pPr>
              <w:spacing w:after="0"/>
              <w:rPr>
                <w:sz w:val="22"/>
                <w:szCs w:val="2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(127 )</w:t>
            </w: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2"/>
              </w:rPr>
              <w:t>$ 3,108 )</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254 )</w:t>
            </w:r>
          </w:p>
        </w:tc>
        <w:tc>
          <w:tcPr>
            <w:tcW w:w="0" w:type="dxa"/>
            <w:vAlign w:val="bottom"/>
          </w:tcPr>
          <w:p>
            <w:pPr>
              <w:spacing w:after="0"/>
              <w:rPr>
                <w:sz w:val="1"/>
                <w:szCs w:val="1"/>
                <w:color w:val="auto"/>
              </w:rPr>
            </w:pPr>
          </w:p>
        </w:tc>
      </w:tr>
      <w:tr>
        <w:trPr>
          <w:trHeight w:val="20"/>
        </w:trPr>
        <w:tc>
          <w:tcPr>
            <w:tcW w:w="3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2557780</wp:posOffset>
            </wp:positionH>
            <wp:positionV relativeFrom="paragraph">
              <wp:posOffset>-24765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2557780</wp:posOffset>
            </wp:positionH>
            <wp:positionV relativeFrom="paragraph">
              <wp:posOffset>-8255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3123565</wp:posOffset>
            </wp:positionH>
            <wp:positionV relativeFrom="paragraph">
              <wp:posOffset>-24765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3123565</wp:posOffset>
            </wp:positionH>
            <wp:positionV relativeFrom="paragraph">
              <wp:posOffset>-8255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3620770</wp:posOffset>
            </wp:positionH>
            <wp:positionV relativeFrom="paragraph">
              <wp:posOffset>-24765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3620770</wp:posOffset>
            </wp:positionH>
            <wp:positionV relativeFrom="paragraph">
              <wp:posOffset>-8255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4117975</wp:posOffset>
            </wp:positionH>
            <wp:positionV relativeFrom="paragraph">
              <wp:posOffset>-24765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4117975</wp:posOffset>
            </wp:positionH>
            <wp:positionV relativeFrom="paragraph">
              <wp:posOffset>-8255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4615180</wp:posOffset>
            </wp:positionH>
            <wp:positionV relativeFrom="paragraph">
              <wp:posOffset>-24765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4615180</wp:posOffset>
            </wp:positionH>
            <wp:positionV relativeFrom="paragraph">
              <wp:posOffset>-8255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5112385</wp:posOffset>
            </wp:positionH>
            <wp:positionV relativeFrom="paragraph">
              <wp:posOffset>-24765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5112385</wp:posOffset>
            </wp:positionH>
            <wp:positionV relativeFrom="paragraph">
              <wp:posOffset>-8255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5609590</wp:posOffset>
            </wp:positionH>
            <wp:positionV relativeFrom="paragraph">
              <wp:posOffset>-24765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5609590</wp:posOffset>
            </wp:positionH>
            <wp:positionV relativeFrom="paragraph">
              <wp:posOffset>-8255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6098540</wp:posOffset>
            </wp:positionH>
            <wp:positionV relativeFrom="paragraph">
              <wp:posOffset>-24765</wp:posOffset>
            </wp:positionV>
            <wp:extent cx="596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6098540</wp:posOffset>
            </wp:positionH>
            <wp:positionV relativeFrom="paragraph">
              <wp:posOffset>-8255</wp:posOffset>
            </wp:positionV>
            <wp:extent cx="5969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6647180</wp:posOffset>
            </wp:positionH>
            <wp:positionV relativeFrom="paragraph">
              <wp:posOffset>-24765</wp:posOffset>
            </wp:positionV>
            <wp:extent cx="596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6647180</wp:posOffset>
            </wp:positionH>
            <wp:positionV relativeFrom="paragraph">
              <wp:posOffset>-8255</wp:posOffset>
            </wp:positionV>
            <wp:extent cx="596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660" w:top="981" w:right="67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Redeemable Noncontrolling Interest and Shareholders’ Deficit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400" w:type="dxa"/>
            <w:vAlign w:val="bottom"/>
            <w:tcBorders>
              <w:bottom w:val="single" w:sz="8" w:color="auto"/>
            </w:tcBorders>
            <w:gridSpan w:val="11"/>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2024</w:t>
            </w:r>
          </w:p>
        </w:tc>
        <w:tc>
          <w:tcPr>
            <w:tcW w:w="4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0"/>
        </w:trPr>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Class A Ordinary</w:t>
            </w:r>
          </w:p>
        </w:tc>
        <w:tc>
          <w:tcPr>
            <w:tcW w:w="220" w:type="dxa"/>
            <w:vAlign w:val="bottom"/>
          </w:tcPr>
          <w:p>
            <w:pPr>
              <w:spacing w:after="0"/>
              <w:rPr>
                <w:sz w:val="24"/>
                <w:szCs w:val="24"/>
                <w:color w:val="auto"/>
              </w:rPr>
            </w:pPr>
          </w:p>
        </w:tc>
        <w:tc>
          <w:tcPr>
            <w:tcW w:w="174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Class B Ordinary</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Borders>
              <w:bottom w:val="single" w:sz="8" w:color="auto"/>
            </w:tcBorders>
            <w:gridSpan w:val="3"/>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4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580" w:type="dxa"/>
            <w:vAlign w:val="bottom"/>
          </w:tcPr>
          <w:p>
            <w:pPr>
              <w:spacing w:after="0"/>
              <w:rPr>
                <w:sz w:val="18"/>
                <w:szCs w:val="18"/>
                <w:color w:val="auto"/>
              </w:rPr>
            </w:pPr>
          </w:p>
        </w:tc>
        <w:tc>
          <w:tcPr>
            <w:tcW w:w="800" w:type="dxa"/>
            <w:vAlign w:val="bottom"/>
            <w:tcBorders>
              <w:right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Redee</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800" w:type="dxa"/>
            <w:vAlign w:val="bottom"/>
            <w:tcBorders>
              <w:right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mable</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Accum</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800" w:type="dxa"/>
            <w:vAlign w:val="bottom"/>
            <w:tcBorders>
              <w:right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Nonco</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ulated</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800" w:type="dxa"/>
            <w:vAlign w:val="bottom"/>
            <w:tcBorders>
              <w:right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ntrolli</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Additio</w:t>
            </w:r>
          </w:p>
        </w:tc>
        <w:tc>
          <w:tcPr>
            <w:tcW w:w="8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right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4"/>
              </w:rPr>
              <w:t>ng</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nal</w:t>
            </w:r>
          </w:p>
        </w:tc>
        <w:tc>
          <w:tcPr>
            <w:tcW w:w="8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Compr</w:t>
            </w: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Accum</w:t>
            </w:r>
          </w:p>
        </w:tc>
        <w:tc>
          <w:tcPr>
            <w:tcW w:w="7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Shareh</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800" w:type="dxa"/>
            <w:vAlign w:val="bottom"/>
            <w:tcBorders>
              <w:right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Interes</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Amoun</w:t>
            </w:r>
          </w:p>
        </w:tc>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8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ehensiv</w:t>
            </w:r>
          </w:p>
        </w:tc>
        <w:tc>
          <w:tcPr>
            <w:tcW w:w="8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ulated</w:t>
            </w: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olders'</w:t>
            </w:r>
          </w:p>
        </w:tc>
        <w:tc>
          <w:tcPr>
            <w:tcW w:w="0" w:type="dxa"/>
            <w:vAlign w:val="bottom"/>
          </w:tcPr>
          <w:p>
            <w:pPr>
              <w:spacing w:after="0"/>
              <w:rPr>
                <w:sz w:val="1"/>
                <w:szCs w:val="1"/>
                <w:color w:val="auto"/>
              </w:rPr>
            </w:pPr>
          </w:p>
        </w:tc>
      </w:tr>
      <w:tr>
        <w:trPr>
          <w:trHeight w:val="245"/>
        </w:trPr>
        <w:tc>
          <w:tcPr>
            <w:tcW w:w="35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t</w:t>
            </w:r>
          </w:p>
        </w:tc>
        <w:tc>
          <w:tcPr>
            <w:tcW w:w="2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nt</w:t>
            </w:r>
          </w:p>
        </w:tc>
        <w:tc>
          <w:tcPr>
            <w:tcW w:w="220" w:type="dxa"/>
            <w:vAlign w:val="bottom"/>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w:t>
            </w:r>
          </w:p>
        </w:tc>
        <w:tc>
          <w:tcPr>
            <w:tcW w:w="220" w:type="dxa"/>
            <w:vAlign w:val="bottom"/>
          </w:tcPr>
          <w:p>
            <w:pPr>
              <w:spacing w:after="0"/>
              <w:rPr>
                <w:sz w:val="21"/>
                <w:szCs w:val="21"/>
                <w:color w:val="auto"/>
              </w:rPr>
            </w:pPr>
          </w:p>
        </w:tc>
        <w:tc>
          <w:tcPr>
            <w:tcW w:w="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21"/>
                <w:szCs w:val="21"/>
                <w:color w:val="auto"/>
              </w:rPr>
            </w:pPr>
          </w:p>
        </w:tc>
        <w:tc>
          <w:tcPr>
            <w:tcW w:w="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e Loss</w:t>
            </w:r>
          </w:p>
        </w:tc>
        <w:tc>
          <w:tcPr>
            <w:tcW w:w="200" w:type="dxa"/>
            <w:vAlign w:val="bottom"/>
          </w:tcPr>
          <w:p>
            <w:pPr>
              <w:spacing w:after="0"/>
              <w:rPr>
                <w:sz w:val="21"/>
                <w:szCs w:val="21"/>
                <w:color w:val="auto"/>
              </w:rPr>
            </w:pPr>
          </w:p>
        </w:tc>
        <w:tc>
          <w:tcPr>
            <w:tcW w:w="6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21"/>
                <w:szCs w:val="21"/>
                <w:color w:val="auto"/>
              </w:rPr>
            </w:pPr>
          </w:p>
        </w:tc>
        <w:tc>
          <w:tcPr>
            <w:tcW w:w="6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5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1,494</w:t>
            </w:r>
          </w:p>
        </w:tc>
        <w:tc>
          <w:tcPr>
            <w:tcW w:w="24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59,880,</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168,29</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(1,139</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3580" w:type="dxa"/>
            <w:vAlign w:val="bottom"/>
            <w:vMerge w:val="continue"/>
            <w:shd w:val="clear" w:color="auto" w:fill="CFF0FC"/>
          </w:tcPr>
          <w:p>
            <w:pPr>
              <w:spacing w:after="0"/>
              <w:rPr>
                <w:sz w:val="10"/>
                <w:szCs w:val="10"/>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24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4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7,916</w:t>
            </w:r>
          </w:p>
        </w:tc>
        <w:tc>
          <w:tcPr>
            <w:tcW w:w="220" w:type="dxa"/>
            <w:vAlign w:val="bottom"/>
            <w:shd w:val="clear" w:color="auto" w:fill="CFF0FC"/>
          </w:tcPr>
          <w:p>
            <w:pPr>
              <w:spacing w:after="0"/>
              <w:rPr>
                <w:sz w:val="10"/>
                <w:szCs w:val="10"/>
                <w:color w:val="auto"/>
              </w:rPr>
            </w:pPr>
          </w:p>
        </w:tc>
        <w:tc>
          <w:tcPr>
            <w:tcW w:w="2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FF0FC"/>
          </w:tcPr>
          <w:p>
            <w:pPr>
              <w:spacing w:after="0"/>
              <w:rPr>
                <w:sz w:val="10"/>
                <w:szCs w:val="10"/>
                <w:color w:val="auto"/>
              </w:rPr>
            </w:pPr>
          </w:p>
        </w:tc>
        <w:tc>
          <w:tcPr>
            <w:tcW w:w="1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FF0FC"/>
          </w:tcPr>
          <w:p>
            <w:pPr>
              <w:spacing w:after="0"/>
              <w:rPr>
                <w:sz w:val="10"/>
                <w:szCs w:val="10"/>
                <w:color w:val="auto"/>
              </w:rPr>
            </w:pP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0" w:type="dxa"/>
            <w:vAlign w:val="bottom"/>
            <w:shd w:val="clear" w:color="auto" w:fill="CFF0FC"/>
          </w:tcPr>
          <w:p>
            <w:pPr>
              <w:spacing w:after="0"/>
              <w:rPr>
                <w:sz w:val="10"/>
                <w:szCs w:val="10"/>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,663 )</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396 )</w:t>
            </w:r>
          </w:p>
        </w:tc>
        <w:tc>
          <w:tcPr>
            <w:tcW w:w="0" w:type="dxa"/>
            <w:vAlign w:val="bottom"/>
          </w:tcPr>
          <w:p>
            <w:pPr>
              <w:spacing w:after="0"/>
              <w:rPr>
                <w:sz w:val="1"/>
                <w:szCs w:val="1"/>
                <w:color w:val="auto"/>
              </w:rPr>
            </w:pPr>
          </w:p>
        </w:tc>
      </w:tr>
      <w:tr>
        <w:trPr>
          <w:trHeight w:val="122"/>
        </w:trPr>
        <w:tc>
          <w:tcPr>
            <w:tcW w:w="3580" w:type="dxa"/>
            <w:vAlign w:val="bottom"/>
            <w:shd w:val="clear" w:color="auto" w:fill="CFF0FC"/>
          </w:tcPr>
          <w:p>
            <w:pPr>
              <w:spacing w:after="0"/>
              <w:rPr>
                <w:sz w:val="10"/>
                <w:szCs w:val="10"/>
                <w:color w:val="auto"/>
              </w:rPr>
            </w:pPr>
          </w:p>
        </w:tc>
        <w:tc>
          <w:tcPr>
            <w:tcW w:w="120" w:type="dxa"/>
            <w:vAlign w:val="bottom"/>
            <w:vMerge w:val="continue"/>
            <w:shd w:val="clear" w:color="auto" w:fill="CFF0FC"/>
          </w:tcPr>
          <w:p>
            <w:pPr>
              <w:spacing w:after="0"/>
              <w:rPr>
                <w:sz w:val="10"/>
                <w:szCs w:val="10"/>
                <w:color w:val="auto"/>
              </w:rPr>
            </w:pPr>
          </w:p>
        </w:tc>
        <w:tc>
          <w:tcPr>
            <w:tcW w:w="440" w:type="dxa"/>
            <w:vAlign w:val="bottom"/>
            <w:vMerge w:val="continue"/>
            <w:shd w:val="clear" w:color="auto" w:fill="CFF0FC"/>
          </w:tcPr>
          <w:p>
            <w:pPr>
              <w:spacing w:after="0"/>
              <w:rPr>
                <w:sz w:val="10"/>
                <w:szCs w:val="10"/>
                <w:color w:val="auto"/>
              </w:rPr>
            </w:pPr>
          </w:p>
        </w:tc>
        <w:tc>
          <w:tcPr>
            <w:tcW w:w="24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vMerge w:val="continue"/>
            <w:shd w:val="clear" w:color="auto" w:fill="CFF0FC"/>
          </w:tcPr>
          <w:p>
            <w:pPr>
              <w:spacing w:after="0"/>
              <w:rPr>
                <w:sz w:val="10"/>
                <w:szCs w:val="10"/>
                <w:color w:val="auto"/>
              </w:rPr>
            </w:pPr>
          </w:p>
        </w:tc>
        <w:tc>
          <w:tcPr>
            <w:tcW w:w="400" w:type="dxa"/>
            <w:vAlign w:val="bottom"/>
            <w:gridSpan w:val="2"/>
            <w:vMerge w:val="continue"/>
            <w:shd w:val="clear" w:color="auto" w:fill="CFF0FC"/>
          </w:tcPr>
          <w:p>
            <w:pPr>
              <w:spacing w:after="0"/>
              <w:rPr>
                <w:sz w:val="10"/>
                <w:szCs w:val="10"/>
                <w:color w:val="auto"/>
              </w:rPr>
            </w:pPr>
          </w:p>
        </w:tc>
        <w:tc>
          <w:tcPr>
            <w:tcW w:w="420" w:type="dxa"/>
            <w:vAlign w:val="bottom"/>
            <w:vMerge w:val="continue"/>
            <w:shd w:val="clear" w:color="auto" w:fill="CFF0FC"/>
          </w:tcPr>
          <w:p>
            <w:pPr>
              <w:spacing w:after="0"/>
              <w:rPr>
                <w:sz w:val="10"/>
                <w:szCs w:val="10"/>
                <w:color w:val="auto"/>
              </w:rPr>
            </w:pPr>
          </w:p>
        </w:tc>
        <w:tc>
          <w:tcPr>
            <w:tcW w:w="900" w:type="dxa"/>
            <w:vAlign w:val="bottom"/>
            <w:gridSpan w:val="2"/>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vMerge w:val="continue"/>
            <w:shd w:val="clear" w:color="auto" w:fill="CFF0FC"/>
          </w:tcPr>
          <w:p>
            <w:pPr>
              <w:spacing w:after="0"/>
              <w:rPr>
                <w:sz w:val="10"/>
                <w:szCs w:val="10"/>
                <w:color w:val="auto"/>
              </w:rPr>
            </w:pPr>
          </w:p>
        </w:tc>
        <w:tc>
          <w:tcPr>
            <w:tcW w:w="42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vMerge w:val="continue"/>
            <w:shd w:val="clear" w:color="auto" w:fill="CFF0FC"/>
          </w:tcPr>
          <w:p>
            <w:pPr>
              <w:spacing w:after="0"/>
              <w:rPr>
                <w:sz w:val="10"/>
                <w:szCs w:val="10"/>
                <w:color w:val="auto"/>
              </w:rPr>
            </w:pPr>
          </w:p>
        </w:tc>
        <w:tc>
          <w:tcPr>
            <w:tcW w:w="500" w:type="dxa"/>
            <w:vAlign w:val="bottom"/>
            <w:vMerge w:val="continue"/>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0" w:type="dxa"/>
            <w:vAlign w:val="bottom"/>
            <w:vMerge w:val="continue"/>
            <w:shd w:val="clear" w:color="auto" w:fill="CFF0FC"/>
          </w:tcPr>
          <w:p>
            <w:pPr>
              <w:spacing w:after="0"/>
              <w:rPr>
                <w:sz w:val="10"/>
                <w:szCs w:val="10"/>
                <w:color w:val="auto"/>
              </w:rPr>
            </w:pPr>
          </w:p>
        </w:tc>
        <w:tc>
          <w:tcPr>
            <w:tcW w:w="440" w:type="dxa"/>
            <w:vAlign w:val="bottom"/>
            <w:vMerge w:val="continue"/>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vMerge w:val="continue"/>
            <w:shd w:val="clear" w:color="auto" w:fill="CFF0FC"/>
          </w:tcPr>
          <w:p>
            <w:pPr>
              <w:spacing w:after="0"/>
              <w:rPr>
                <w:sz w:val="10"/>
                <w:szCs w:val="10"/>
                <w:color w:val="auto"/>
              </w:rPr>
            </w:pPr>
          </w:p>
        </w:tc>
        <w:tc>
          <w:tcPr>
            <w:tcW w:w="700" w:type="dxa"/>
            <w:vAlign w:val="bottom"/>
            <w:gridSpan w:val="2"/>
            <w:vMerge w:val="continue"/>
            <w:shd w:val="clear" w:color="auto" w:fill="CFF0FC"/>
          </w:tcPr>
          <w:p>
            <w:pPr>
              <w:spacing w:after="0"/>
              <w:rPr>
                <w:sz w:val="10"/>
                <w:szCs w:val="10"/>
                <w:color w:val="auto"/>
              </w:rPr>
            </w:pPr>
          </w:p>
        </w:tc>
        <w:tc>
          <w:tcPr>
            <w:tcW w:w="100" w:type="dxa"/>
            <w:vAlign w:val="bottom"/>
            <w:vMerge w:val="continue"/>
            <w:shd w:val="clear" w:color="auto" w:fill="CFF0FC"/>
          </w:tcPr>
          <w:p>
            <w:pPr>
              <w:spacing w:after="0"/>
              <w:rPr>
                <w:sz w:val="10"/>
                <w:szCs w:val="10"/>
                <w:color w:val="auto"/>
              </w:rPr>
            </w:pPr>
          </w:p>
        </w:tc>
        <w:tc>
          <w:tcPr>
            <w:tcW w:w="66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35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35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8"/>
              </w:rPr>
              <w:t>3,014</w:t>
            </w:r>
          </w:p>
        </w:tc>
        <w:tc>
          <w:tcPr>
            <w:tcW w:w="2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0"/>
                <w:szCs w:val="10"/>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0"/>
                <w:szCs w:val="10"/>
                <w:color w:val="auto"/>
              </w:rPr>
            </w:pPr>
          </w:p>
        </w:tc>
        <w:tc>
          <w:tcPr>
            <w:tcW w:w="6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0"/>
                <w:szCs w:val="10"/>
                <w:color w:val="auto"/>
              </w:rPr>
            </w:pPr>
          </w:p>
        </w:tc>
        <w:tc>
          <w:tcPr>
            <w:tcW w:w="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12,475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3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Issuance of Class A ordinary shares, net of</w:t>
            </w: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60,218,</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offering costs</w:t>
            </w:r>
          </w:p>
        </w:tc>
        <w:tc>
          <w:tcPr>
            <w:tcW w:w="120" w:type="dxa"/>
            <w:vAlign w:val="bottom"/>
            <w:shd w:val="clear" w:color="auto" w:fill="CFF0FC"/>
          </w:tcPr>
          <w:p>
            <w:pPr>
              <w:spacing w:after="0"/>
              <w:rPr>
                <w:sz w:val="21"/>
                <w:szCs w:val="21"/>
                <w:color w:val="auto"/>
              </w:rPr>
            </w:pPr>
          </w:p>
        </w:tc>
        <w:tc>
          <w:tcPr>
            <w:tcW w:w="680" w:type="dxa"/>
            <w:vAlign w:val="bottom"/>
            <w:tcBorders>
              <w:right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5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Vesting of Class B restricted stock rights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1,277,3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35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Borders>
              <w:right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0"/>
                <w:szCs w:val="10"/>
                <w:color w:val="auto"/>
              </w:rPr>
            </w:pPr>
          </w:p>
        </w:tc>
        <w:tc>
          <w:tcPr>
            <w:tcW w:w="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0"/>
                <w:szCs w:val="10"/>
                <w:color w:val="auto"/>
              </w:rPr>
            </w:pPr>
          </w:p>
        </w:tc>
        <w:tc>
          <w:tcPr>
            <w:tcW w:w="6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0"/>
                <w:szCs w:val="10"/>
                <w:color w:val="auto"/>
              </w:rPr>
            </w:pPr>
          </w:p>
        </w:tc>
        <w:tc>
          <w:tcPr>
            <w:tcW w:w="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5"/>
        </w:trPr>
        <w:tc>
          <w:tcPr>
            <w:tcW w:w="3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right w:val="single" w:sz="8" w:color="auto"/>
            </w:tcBorders>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3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Exchange of Class B ordinary shares for</w:t>
            </w: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4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5,757,3</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(5,757,</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Class A ordinary shares</w:t>
            </w:r>
          </w:p>
        </w:tc>
        <w:tc>
          <w:tcPr>
            <w:tcW w:w="120" w:type="dxa"/>
            <w:vAlign w:val="bottom"/>
            <w:shd w:val="clear" w:color="auto" w:fill="CFF0FC"/>
          </w:tcPr>
          <w:p>
            <w:pPr>
              <w:spacing w:after="0"/>
              <w:rPr>
                <w:sz w:val="21"/>
                <w:szCs w:val="21"/>
                <w:color w:val="auto"/>
              </w:rPr>
            </w:pPr>
          </w:p>
        </w:tc>
        <w:tc>
          <w:tcPr>
            <w:tcW w:w="680" w:type="dxa"/>
            <w:vAlign w:val="bottom"/>
            <w:tcBorders>
              <w:right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323 )</w:t>
            </w:r>
          </w:p>
        </w:tc>
        <w:tc>
          <w:tcPr>
            <w:tcW w:w="20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14,902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0" w:type="dxa"/>
            <w:vAlign w:val="bottom"/>
          </w:tcPr>
          <w:p>
            <w:pPr>
              <w:spacing w:after="0"/>
              <w:rPr>
                <w:sz w:val="20"/>
                <w:szCs w:val="20"/>
                <w:color w:val="auto"/>
              </w:rPr>
            </w:pPr>
          </w:p>
        </w:tc>
        <w:tc>
          <w:tcPr>
            <w:tcW w:w="68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3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Impact of equity transactions on redeemable</w:t>
            </w: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14,07</w:t>
            </w:r>
          </w:p>
        </w:tc>
        <w:tc>
          <w:tcPr>
            <w:tcW w:w="24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(14,07</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noncontrolling interest</w:t>
            </w:r>
          </w:p>
        </w:tc>
        <w:tc>
          <w:tcPr>
            <w:tcW w:w="12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right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20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9"/>
        </w:trPr>
        <w:tc>
          <w:tcPr>
            <w:tcW w:w="3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120" w:type="dxa"/>
            <w:vAlign w:val="bottom"/>
          </w:tcPr>
          <w:p>
            <w:pPr>
              <w:spacing w:after="0"/>
              <w:rPr>
                <w:sz w:val="20"/>
                <w:szCs w:val="20"/>
                <w:color w:val="auto"/>
              </w:rPr>
            </w:pPr>
          </w:p>
        </w:tc>
        <w:tc>
          <w:tcPr>
            <w:tcW w:w="6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(379 )</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(136 )</w:t>
            </w:r>
          </w:p>
        </w:tc>
        <w:tc>
          <w:tcPr>
            <w:tcW w:w="14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(136 )</w:t>
            </w:r>
          </w:p>
        </w:tc>
        <w:tc>
          <w:tcPr>
            <w:tcW w:w="0" w:type="dxa"/>
            <w:vAlign w:val="bottom"/>
          </w:tcPr>
          <w:p>
            <w:pPr>
              <w:spacing w:after="0"/>
              <w:rPr>
                <w:sz w:val="1"/>
                <w:szCs w:val="1"/>
                <w:color w:val="auto"/>
              </w:rPr>
            </w:pPr>
          </w:p>
        </w:tc>
      </w:tr>
      <w:tr>
        <w:trPr>
          <w:trHeight w:val="215"/>
        </w:trPr>
        <w:tc>
          <w:tcPr>
            <w:tcW w:w="3580" w:type="dxa"/>
            <w:vAlign w:val="bottom"/>
            <w:vMerge w:val="restart"/>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4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(21,99</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358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tcBorders>
              <w:right w:val="single" w:sz="8" w:color="auto"/>
            </w:tcBorders>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0"/>
                <w:szCs w:val="10"/>
                <w:color w:val="auto"/>
              </w:rPr>
            </w:pPr>
          </w:p>
        </w:tc>
        <w:tc>
          <w:tcPr>
            <w:tcW w:w="9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0"/>
                <w:szCs w:val="10"/>
                <w:color w:val="auto"/>
              </w:rPr>
            </w:pPr>
          </w:p>
        </w:tc>
        <w:tc>
          <w:tcPr>
            <w:tcW w:w="6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0"/>
                <w:szCs w:val="10"/>
                <w:color w:val="auto"/>
              </w:rPr>
            </w:pPr>
          </w:p>
        </w:tc>
        <w:tc>
          <w:tcPr>
            <w:tcW w:w="7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0"/>
                <w:szCs w:val="10"/>
                <w:color w:val="auto"/>
              </w:rPr>
            </w:pPr>
          </w:p>
        </w:tc>
        <w:tc>
          <w:tcPr>
            <w:tcW w:w="6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0"/>
                <w:szCs w:val="10"/>
                <w:color w:val="auto"/>
              </w:rPr>
            </w:pPr>
          </w:p>
        </w:tc>
        <w:tc>
          <w:tcPr>
            <w:tcW w:w="7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shd w:val="clear" w:color="auto" w:fill="CFF0FC"/>
          </w:tcPr>
          <w:p>
            <w:pPr>
              <w:spacing w:after="0"/>
              <w:rPr>
                <w:sz w:val="10"/>
                <w:szCs w:val="10"/>
                <w:color w:val="auto"/>
              </w:rPr>
            </w:pPr>
          </w:p>
        </w:tc>
        <w:tc>
          <w:tcPr>
            <w:tcW w:w="6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121"/>
        </w:trPr>
        <w:tc>
          <w:tcPr>
            <w:tcW w:w="3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tcBorders>
              <w:right w:val="single" w:sz="8" w:color="auto"/>
            </w:tcBorders>
            <w:gridSpan w:val="2"/>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vMerge w:val="continue"/>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42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00" w:type="dxa"/>
            <w:vAlign w:val="bottom"/>
            <w:gridSpan w:val="2"/>
            <w:vMerge w:val="continue"/>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40" w:type="dxa"/>
            <w:vAlign w:val="bottom"/>
            <w:gridSpan w:val="2"/>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gridSpan w:val="2"/>
            <w:vMerge w:val="continue"/>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40" w:type="dxa"/>
            <w:vAlign w:val="bottom"/>
            <w:gridSpan w:val="2"/>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0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3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redemption value of</w:t>
            </w:r>
          </w:p>
        </w:tc>
        <w:tc>
          <w:tcPr>
            <w:tcW w:w="120" w:type="dxa"/>
            <w:vAlign w:val="bottom"/>
          </w:tcPr>
          <w:p>
            <w:pPr>
              <w:spacing w:after="0"/>
              <w:rPr>
                <w:sz w:val="18"/>
                <w:szCs w:val="18"/>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vMerge w:val="restart"/>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noncontrolling interest</w:t>
            </w:r>
          </w:p>
        </w:tc>
        <w:tc>
          <w:tcPr>
            <w:tcW w:w="1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vMerge w:val="continue"/>
          </w:tcPr>
          <w:p>
            <w:pPr>
              <w:spacing w:after="0"/>
              <w:rPr>
                <w:sz w:val="20"/>
                <w:szCs w:val="20"/>
                <w:color w:val="auto"/>
              </w:rPr>
            </w:pPr>
          </w:p>
        </w:tc>
        <w:tc>
          <w:tcPr>
            <w:tcW w:w="24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5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w w:val="98"/>
              </w:rPr>
              <w:t>1,444</w:t>
            </w:r>
          </w:p>
        </w:tc>
        <w:tc>
          <w:tcPr>
            <w:tcW w:w="24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125,85</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163,81</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189,2</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w w:val="98"/>
              </w:rPr>
              <w:t>(1,161</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(972,3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3580" w:type="dxa"/>
            <w:vAlign w:val="bottom"/>
            <w:vMerge w:val="continue"/>
            <w:shd w:val="clear" w:color="auto" w:fill="CFF0FC"/>
          </w:tcPr>
          <w:p>
            <w:pPr>
              <w:spacing w:after="0"/>
              <w:rPr>
                <w:sz w:val="12"/>
                <w:szCs w:val="12"/>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24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6,877</w:t>
            </w:r>
          </w:p>
        </w:tc>
        <w:tc>
          <w:tcPr>
            <w:tcW w:w="240" w:type="dxa"/>
            <w:vAlign w:val="bottom"/>
            <w:vMerge w:val="restart"/>
            <w:shd w:val="clear" w:color="auto" w:fill="CFF0FC"/>
          </w:tcPr>
          <w:p>
            <w:pPr>
              <w:spacing w:after="0"/>
              <w:rPr>
                <w:sz w:val="12"/>
                <w:szCs w:val="12"/>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vMerge w:val="restart"/>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7,953</w:t>
            </w:r>
          </w:p>
        </w:tc>
        <w:tc>
          <w:tcPr>
            <w:tcW w:w="220" w:type="dxa"/>
            <w:vAlign w:val="bottom"/>
            <w:shd w:val="clear" w:color="auto" w:fill="CFF0FC"/>
          </w:tcPr>
          <w:p>
            <w:pPr>
              <w:spacing w:after="0"/>
              <w:rPr>
                <w:sz w:val="12"/>
                <w:szCs w:val="12"/>
                <w:color w:val="auto"/>
              </w:rPr>
            </w:pPr>
          </w:p>
        </w:tc>
        <w:tc>
          <w:tcPr>
            <w:tcW w:w="2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FF0FC"/>
          </w:tcPr>
          <w:p>
            <w:pPr>
              <w:spacing w:after="0"/>
              <w:rPr>
                <w:sz w:val="12"/>
                <w:szCs w:val="12"/>
                <w:color w:val="auto"/>
              </w:rPr>
            </w:pPr>
          </w:p>
        </w:tc>
        <w:tc>
          <w:tcPr>
            <w:tcW w:w="1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shd w:val="clear" w:color="auto" w:fill="CFF0FC"/>
          </w:tcPr>
          <w:p>
            <w:pPr>
              <w:spacing w:after="0"/>
              <w:rPr>
                <w:sz w:val="12"/>
                <w:szCs w:val="12"/>
                <w:color w:val="auto"/>
              </w:rPr>
            </w:pP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(6 )</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,661 )</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122"/>
        </w:trPr>
        <w:tc>
          <w:tcPr>
            <w:tcW w:w="3580" w:type="dxa"/>
            <w:vAlign w:val="bottom"/>
            <w:shd w:val="clear" w:color="auto" w:fill="CFF0FC"/>
          </w:tcPr>
          <w:p>
            <w:pPr>
              <w:spacing w:after="0"/>
              <w:rPr>
                <w:sz w:val="10"/>
                <w:szCs w:val="10"/>
                <w:color w:val="auto"/>
              </w:rPr>
            </w:pPr>
          </w:p>
        </w:tc>
        <w:tc>
          <w:tcPr>
            <w:tcW w:w="120" w:type="dxa"/>
            <w:vAlign w:val="bottom"/>
            <w:vMerge w:val="continue"/>
            <w:shd w:val="clear" w:color="auto" w:fill="CFF0FC"/>
          </w:tcPr>
          <w:p>
            <w:pPr>
              <w:spacing w:after="0"/>
              <w:rPr>
                <w:sz w:val="10"/>
                <w:szCs w:val="10"/>
                <w:color w:val="auto"/>
              </w:rPr>
            </w:pPr>
          </w:p>
        </w:tc>
        <w:tc>
          <w:tcPr>
            <w:tcW w:w="440" w:type="dxa"/>
            <w:vAlign w:val="bottom"/>
            <w:vMerge w:val="continue"/>
            <w:shd w:val="clear" w:color="auto" w:fill="CFF0FC"/>
          </w:tcPr>
          <w:p>
            <w:pPr>
              <w:spacing w:after="0"/>
              <w:rPr>
                <w:sz w:val="10"/>
                <w:szCs w:val="10"/>
                <w:color w:val="auto"/>
              </w:rPr>
            </w:pPr>
          </w:p>
        </w:tc>
        <w:tc>
          <w:tcPr>
            <w:tcW w:w="24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vMerge w:val="continue"/>
            <w:shd w:val="clear" w:color="auto" w:fill="CFF0FC"/>
          </w:tcPr>
          <w:p>
            <w:pPr>
              <w:spacing w:after="0"/>
              <w:rPr>
                <w:sz w:val="10"/>
                <w:szCs w:val="10"/>
                <w:color w:val="auto"/>
              </w:rPr>
            </w:pPr>
          </w:p>
        </w:tc>
        <w:tc>
          <w:tcPr>
            <w:tcW w:w="240" w:type="dxa"/>
            <w:vAlign w:val="bottom"/>
            <w:vMerge w:val="continue"/>
            <w:shd w:val="clear" w:color="auto" w:fill="CFF0FC"/>
          </w:tcPr>
          <w:p>
            <w:pPr>
              <w:spacing w:after="0"/>
              <w:rPr>
                <w:sz w:val="10"/>
                <w:szCs w:val="10"/>
                <w:color w:val="auto"/>
              </w:rPr>
            </w:pPr>
          </w:p>
        </w:tc>
        <w:tc>
          <w:tcPr>
            <w:tcW w:w="160" w:type="dxa"/>
            <w:vAlign w:val="bottom"/>
            <w:vMerge w:val="continue"/>
            <w:shd w:val="clear" w:color="auto" w:fill="CFF0FC"/>
          </w:tcPr>
          <w:p>
            <w:pPr>
              <w:spacing w:after="0"/>
              <w:rPr>
                <w:sz w:val="10"/>
                <w:szCs w:val="10"/>
                <w:color w:val="auto"/>
              </w:rPr>
            </w:pPr>
          </w:p>
        </w:tc>
        <w:tc>
          <w:tcPr>
            <w:tcW w:w="420" w:type="dxa"/>
            <w:vAlign w:val="bottom"/>
            <w:vMerge w:val="continue"/>
            <w:shd w:val="clear" w:color="auto" w:fill="CFF0FC"/>
          </w:tcPr>
          <w:p>
            <w:pPr>
              <w:spacing w:after="0"/>
              <w:rPr>
                <w:sz w:val="10"/>
                <w:szCs w:val="10"/>
                <w:color w:val="auto"/>
              </w:rPr>
            </w:pPr>
          </w:p>
        </w:tc>
        <w:tc>
          <w:tcPr>
            <w:tcW w:w="220" w:type="dxa"/>
            <w:vAlign w:val="bottom"/>
            <w:vMerge w:val="continue"/>
            <w:shd w:val="clear" w:color="auto" w:fill="CFF0FC"/>
          </w:tcPr>
          <w:p>
            <w:pPr>
              <w:spacing w:after="0"/>
              <w:rPr>
                <w:sz w:val="10"/>
                <w:szCs w:val="10"/>
                <w:color w:val="auto"/>
              </w:rPr>
            </w:pPr>
          </w:p>
        </w:tc>
        <w:tc>
          <w:tcPr>
            <w:tcW w:w="68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vMerge w:val="continue"/>
            <w:shd w:val="clear" w:color="auto" w:fill="CFF0FC"/>
          </w:tcPr>
          <w:p>
            <w:pPr>
              <w:spacing w:after="0"/>
              <w:rPr>
                <w:sz w:val="10"/>
                <w:szCs w:val="10"/>
                <w:color w:val="auto"/>
              </w:rPr>
            </w:pPr>
          </w:p>
        </w:tc>
        <w:tc>
          <w:tcPr>
            <w:tcW w:w="42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vMerge w:val="continue"/>
            <w:shd w:val="clear" w:color="auto" w:fill="CFF0FC"/>
          </w:tcPr>
          <w:p>
            <w:pPr>
              <w:spacing w:after="0"/>
              <w:rPr>
                <w:sz w:val="10"/>
                <w:szCs w:val="10"/>
                <w:color w:val="auto"/>
              </w:rPr>
            </w:pPr>
          </w:p>
        </w:tc>
        <w:tc>
          <w:tcPr>
            <w:tcW w:w="500" w:type="dxa"/>
            <w:vAlign w:val="bottom"/>
            <w:vMerge w:val="continue"/>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0" w:type="dxa"/>
            <w:vAlign w:val="bottom"/>
            <w:vMerge w:val="continue"/>
            <w:shd w:val="clear" w:color="auto" w:fill="CFF0FC"/>
          </w:tcPr>
          <w:p>
            <w:pPr>
              <w:spacing w:after="0"/>
              <w:rPr>
                <w:sz w:val="10"/>
                <w:szCs w:val="10"/>
                <w:color w:val="auto"/>
              </w:rPr>
            </w:pPr>
          </w:p>
        </w:tc>
        <w:tc>
          <w:tcPr>
            <w:tcW w:w="640" w:type="dxa"/>
            <w:vAlign w:val="bottom"/>
            <w:gridSpan w:val="2"/>
            <w:vMerge w:val="continue"/>
            <w:shd w:val="clear" w:color="auto" w:fill="CFF0FC"/>
          </w:tcPr>
          <w:p>
            <w:pPr>
              <w:spacing w:after="0"/>
              <w:rPr>
                <w:sz w:val="10"/>
                <w:szCs w:val="10"/>
                <w:color w:val="auto"/>
              </w:rPr>
            </w:pPr>
          </w:p>
        </w:tc>
        <w:tc>
          <w:tcPr>
            <w:tcW w:w="140" w:type="dxa"/>
            <w:vAlign w:val="bottom"/>
            <w:vMerge w:val="continue"/>
            <w:shd w:val="clear" w:color="auto" w:fill="CFF0FC"/>
          </w:tcPr>
          <w:p>
            <w:pPr>
              <w:spacing w:after="0"/>
              <w:rPr>
                <w:sz w:val="10"/>
                <w:szCs w:val="10"/>
                <w:color w:val="auto"/>
              </w:rPr>
            </w:pPr>
          </w:p>
        </w:tc>
        <w:tc>
          <w:tcPr>
            <w:tcW w:w="700" w:type="dxa"/>
            <w:vAlign w:val="bottom"/>
            <w:gridSpan w:val="2"/>
            <w:vMerge w:val="continue"/>
            <w:shd w:val="clear" w:color="auto" w:fill="CFF0FC"/>
          </w:tcPr>
          <w:p>
            <w:pPr>
              <w:spacing w:after="0"/>
              <w:rPr>
                <w:sz w:val="10"/>
                <w:szCs w:val="10"/>
                <w:color w:val="auto"/>
              </w:rPr>
            </w:pPr>
          </w:p>
        </w:tc>
        <w:tc>
          <w:tcPr>
            <w:tcW w:w="100" w:type="dxa"/>
            <w:vAlign w:val="bottom"/>
            <w:vMerge w:val="continue"/>
            <w:shd w:val="clear" w:color="auto" w:fill="CFF0FC"/>
          </w:tcPr>
          <w:p>
            <w:pPr>
              <w:spacing w:after="0"/>
              <w:rPr>
                <w:sz w:val="10"/>
                <w:szCs w:val="10"/>
                <w:color w:val="auto"/>
              </w:rPr>
            </w:pPr>
          </w:p>
        </w:tc>
        <w:tc>
          <w:tcPr>
            <w:tcW w:w="66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-24765</wp:posOffset>
            </wp:positionV>
            <wp:extent cx="768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-7620</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-24765</wp:posOffset>
            </wp:positionV>
            <wp:extent cx="774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-7620</wp:posOffset>
            </wp:positionV>
            <wp:extent cx="774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-24765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-24765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-24765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-24765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-24765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Redeemable Noncontrolling Interest and Shareholders’ Deficit - Unaudited</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2023</w:t>
      </w:r>
    </w:p>
    <w:p>
      <w:pPr>
        <w:sectPr>
          <w:pgSz w:w="11900" w:h="16838" w:orient="portrait"/>
          <w:cols w:equalWidth="0" w:num="1">
            <w:col w:w="11180"/>
          </w:cols>
          <w:pgMar w:left="340" w:top="98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as of January 1, 2023</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Equity-based compensation</w:t>
      </w:r>
    </w:p>
    <w:p>
      <w:pPr>
        <w:spacing w:after="0" w:line="1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Issuance of Class A ordinary shares</w:t>
      </w:r>
    </w:p>
    <w:p>
      <w:pPr>
        <w:spacing w:after="0" w:line="1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Vesting of Class B restricted stock rights</w:t>
      </w:r>
    </w:p>
    <w:p>
      <w:pPr>
        <w:spacing w:after="0" w:line="156" w:lineRule="exact"/>
        <w:rPr>
          <w:sz w:val="20"/>
          <w:szCs w:val="20"/>
          <w:color w:val="auto"/>
        </w:rPr>
      </w:pPr>
    </w:p>
    <w:p>
      <w:pPr>
        <w:ind w:left="180" w:right="440"/>
        <w:spacing w:after="0" w:line="281" w:lineRule="auto"/>
        <w:rPr>
          <w:sz w:val="20"/>
          <w:szCs w:val="20"/>
          <w:color w:val="auto"/>
        </w:rPr>
      </w:pPr>
      <w:r>
        <w:rPr>
          <w:rFonts w:ascii="Times New Roman" w:cs="Times New Roman" w:eastAsia="Times New Roman" w:hAnsi="Times New Roman"/>
          <w:sz w:val="17"/>
          <w:szCs w:val="17"/>
          <w:color w:val="auto"/>
        </w:rPr>
        <w:t>Impact of equity transactions on redeemable noncontrolling interest</w:t>
      </w:r>
    </w:p>
    <w:p>
      <w:pPr>
        <w:spacing w:after="0" w:line="1" w:lineRule="exact"/>
        <w:rPr>
          <w:sz w:val="20"/>
          <w:szCs w:val="20"/>
          <w:color w:val="auto"/>
        </w:rPr>
      </w:pPr>
    </w:p>
    <w:p>
      <w:pPr>
        <w:ind w:left="180" w:right="40"/>
        <w:spacing w:after="0" w:line="406" w:lineRule="auto"/>
        <w:rPr>
          <w:sz w:val="20"/>
          <w:szCs w:val="20"/>
          <w:color w:val="auto"/>
        </w:rPr>
      </w:pPr>
      <w:r>
        <w:rPr>
          <w:rFonts w:ascii="Times New Roman" w:cs="Times New Roman" w:eastAsia="Times New Roman" w:hAnsi="Times New Roman"/>
          <w:sz w:val="18"/>
          <w:szCs w:val="18"/>
          <w:color w:val="auto"/>
        </w:rPr>
        <w:t>Unrealized loss on marketable securities Net loss</w:t>
      </w:r>
    </w:p>
    <w:p>
      <w:pPr>
        <w:spacing w:after="0" w:line="2" w:lineRule="exact"/>
        <w:rPr>
          <w:sz w:val="20"/>
          <w:szCs w:val="20"/>
          <w:color w:val="auto"/>
        </w:rPr>
      </w:pPr>
    </w:p>
    <w:p>
      <w:pPr>
        <w:ind w:left="180" w:right="700"/>
        <w:spacing w:after="0" w:line="282" w:lineRule="auto"/>
        <w:rPr>
          <w:sz w:val="20"/>
          <w:szCs w:val="20"/>
          <w:color w:val="auto"/>
        </w:rPr>
      </w:pPr>
      <w:r>
        <w:rPr>
          <w:rFonts w:ascii="Times New Roman" w:cs="Times New Roman" w:eastAsia="Times New Roman" w:hAnsi="Times New Roman"/>
          <w:sz w:val="18"/>
          <w:szCs w:val="18"/>
          <w:color w:val="auto"/>
        </w:rPr>
        <w:t>Change in redemption value of noncontrolling interest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as of June 30, 2023</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Class A Ordinary</w:t>
            </w: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Class B Ordinary</w:t>
            </w: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1"/>
        </w:trPr>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Accum</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Additi</w:t>
            </w:r>
          </w:p>
        </w:tc>
        <w:tc>
          <w:tcPr>
            <w:tcW w:w="220" w:type="dxa"/>
            <w:vAlign w:val="bottom"/>
          </w:tcPr>
          <w:p>
            <w:pPr>
              <w:spacing w:after="0"/>
              <w:rPr>
                <w:sz w:val="18"/>
                <w:szCs w:val="18"/>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ulated</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12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Redeema</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onal</w:t>
            </w:r>
          </w:p>
        </w:tc>
        <w:tc>
          <w:tcPr>
            <w:tcW w:w="220" w:type="dxa"/>
            <w:vAlign w:val="bottom"/>
          </w:tcPr>
          <w:p>
            <w:pPr>
              <w:spacing w:after="0"/>
              <w:rPr>
                <w:sz w:val="18"/>
                <w:szCs w:val="18"/>
                <w:color w:val="auto"/>
              </w:rPr>
            </w:pP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100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ble</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Paid-</w:t>
            </w:r>
          </w:p>
        </w:tc>
        <w:tc>
          <w:tcPr>
            <w:tcW w:w="220" w:type="dxa"/>
            <w:vAlign w:val="bottom"/>
          </w:tcPr>
          <w:p>
            <w:pPr>
              <w:spacing w:after="0"/>
              <w:rPr>
                <w:sz w:val="18"/>
                <w:szCs w:val="18"/>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Compr</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16"/>
        </w:trPr>
        <w:tc>
          <w:tcPr>
            <w:tcW w:w="112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Noncontr</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2"/>
              </w:rPr>
              <w:t>in</w:t>
            </w:r>
          </w:p>
        </w:tc>
        <w:tc>
          <w:tcPr>
            <w:tcW w:w="220" w:type="dxa"/>
            <w:vAlign w:val="bottom"/>
          </w:tcPr>
          <w:p>
            <w:pPr>
              <w:spacing w:after="0"/>
              <w:rPr>
                <w:sz w:val="18"/>
                <w:szCs w:val="18"/>
                <w:color w:val="auto"/>
              </w:rPr>
            </w:pPr>
          </w:p>
        </w:tc>
        <w:tc>
          <w:tcPr>
            <w:tcW w:w="8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ehensi</w:t>
            </w: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Accum</w:t>
            </w: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w:t>
            </w:r>
          </w:p>
        </w:tc>
      </w:tr>
      <w:tr>
        <w:trPr>
          <w:trHeight w:val="216"/>
        </w:trPr>
        <w:tc>
          <w:tcPr>
            <w:tcW w:w="120" w:type="dxa"/>
            <w:vAlign w:val="bottom"/>
          </w:tcPr>
          <w:p>
            <w:pPr>
              <w:spacing w:after="0"/>
              <w:rPr>
                <w:sz w:val="18"/>
                <w:szCs w:val="18"/>
                <w:color w:val="auto"/>
              </w:rPr>
            </w:pPr>
          </w:p>
        </w:tc>
        <w:tc>
          <w:tcPr>
            <w:tcW w:w="100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olling</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w:t>
            </w:r>
          </w:p>
        </w:tc>
        <w:tc>
          <w:tcPr>
            <w:tcW w:w="220" w:type="dxa"/>
            <w:vAlign w:val="bottom"/>
          </w:tcPr>
          <w:p>
            <w:pPr>
              <w:spacing w:after="0"/>
              <w:rPr>
                <w:sz w:val="18"/>
                <w:szCs w:val="18"/>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Capita</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ve</w:t>
            </w: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ulated</w:t>
            </w:r>
          </w:p>
        </w:tc>
        <w:tc>
          <w:tcPr>
            <w:tcW w:w="12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ers'</w:t>
            </w:r>
          </w:p>
        </w:tc>
      </w:tr>
      <w:tr>
        <w:trPr>
          <w:trHeight w:val="245"/>
        </w:trPr>
        <w:tc>
          <w:tcPr>
            <w:tcW w:w="112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nt</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78"/>
              </w:rPr>
              <w:t>l</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20" w:type="dxa"/>
            <w:vAlign w:val="bottom"/>
          </w:tcPr>
          <w:p>
            <w:pPr>
              <w:spacing w:after="0"/>
              <w:rPr>
                <w:sz w:val="21"/>
                <w:szCs w:val="21"/>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Deficit</w:t>
            </w:r>
          </w:p>
        </w:tc>
      </w:tr>
      <w:tr>
        <w:trPr>
          <w:trHeight w:val="211"/>
        </w:trPr>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1,601,5</w:t>
            </w:r>
          </w:p>
        </w:tc>
        <w:tc>
          <w:tcPr>
            <w:tcW w:w="2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61,540</w:t>
            </w: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171,57</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(1,096,61</w:t>
            </w:r>
          </w:p>
        </w:tc>
        <w:tc>
          <w:tcPr>
            <w:tcW w:w="60" w:type="dxa"/>
            <w:vAlign w:val="bottom"/>
          </w:tcPr>
          <w:p>
            <w:pPr>
              <w:spacing w:after="0"/>
              <w:rPr>
                <w:sz w:val="18"/>
                <w:szCs w:val="18"/>
                <w:color w:val="auto"/>
              </w:rPr>
            </w:pPr>
          </w:p>
        </w:tc>
      </w:tr>
      <w:tr>
        <w:trPr>
          <w:trHeight w:val="234"/>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8,320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7,476</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$ 4,116 )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25"/>
        </w:trPr>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5,219</w:t>
            </w:r>
          </w:p>
        </w:tc>
        <w:tc>
          <w:tcPr>
            <w:tcW w:w="2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19,003</w:t>
            </w:r>
          </w:p>
        </w:tc>
        <w:tc>
          <w:tcPr>
            <w:tcW w:w="60" w:type="dxa"/>
            <w:vAlign w:val="bottom"/>
          </w:tcPr>
          <w:p>
            <w:pPr>
              <w:spacing w:after="0"/>
              <w:rPr>
                <w:sz w:val="20"/>
                <w:szCs w:val="20"/>
                <w:color w:val="auto"/>
              </w:rPr>
            </w:pPr>
          </w:p>
        </w:tc>
      </w:tr>
      <w:tr>
        <w:trPr>
          <w:trHeight w:val="243"/>
        </w:trPr>
        <w:tc>
          <w:tcPr>
            <w:tcW w:w="120" w:type="dxa"/>
            <w:vAlign w:val="bottom"/>
          </w:tcPr>
          <w:p>
            <w:pPr>
              <w:spacing w:after="0"/>
              <w:rPr>
                <w:sz w:val="21"/>
                <w:szCs w:val="21"/>
                <w:color w:val="auto"/>
              </w:rPr>
            </w:pPr>
          </w:p>
        </w:tc>
        <w:tc>
          <w:tcPr>
            <w:tcW w:w="88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120" w:type="dxa"/>
            <w:vAlign w:val="bottom"/>
          </w:tcPr>
          <w:p>
            <w:pPr>
              <w:spacing w:after="0"/>
              <w:rPr>
                <w:sz w:val="20"/>
                <w:szCs w:val="20"/>
                <w:color w:val="auto"/>
              </w:rPr>
            </w:pPr>
          </w:p>
        </w:tc>
        <w:tc>
          <w:tcPr>
            <w:tcW w:w="88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459"/>
        </w:trPr>
        <w:tc>
          <w:tcPr>
            <w:tcW w:w="120" w:type="dxa"/>
            <w:vAlign w:val="bottom"/>
          </w:tcPr>
          <w:p>
            <w:pPr>
              <w:spacing w:after="0"/>
              <w:rPr>
                <w:sz w:val="24"/>
                <w:szCs w:val="24"/>
                <w:color w:val="auto"/>
              </w:rPr>
            </w:pPr>
          </w:p>
        </w:tc>
        <w:tc>
          <w:tcPr>
            <w:tcW w:w="8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(4,478 )</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4,478</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4,478</w:t>
            </w:r>
          </w:p>
        </w:tc>
        <w:tc>
          <w:tcPr>
            <w:tcW w:w="60" w:type="dxa"/>
            <w:vAlign w:val="bottom"/>
          </w:tcPr>
          <w:p>
            <w:pPr>
              <w:spacing w:after="0"/>
              <w:rPr>
                <w:sz w:val="24"/>
                <w:szCs w:val="24"/>
                <w:color w:val="auto"/>
              </w:rPr>
            </w:pPr>
          </w:p>
        </w:tc>
      </w:tr>
      <w:tr>
        <w:trPr>
          <w:trHeight w:val="243"/>
        </w:trPr>
        <w:tc>
          <w:tcPr>
            <w:tcW w:w="120" w:type="dxa"/>
            <w:vAlign w:val="bottom"/>
          </w:tcPr>
          <w:p>
            <w:pPr>
              <w:spacing w:after="0"/>
              <w:rPr>
                <w:sz w:val="21"/>
                <w:szCs w:val="21"/>
                <w:color w:val="auto"/>
              </w:rPr>
            </w:pPr>
          </w:p>
        </w:tc>
        <w:tc>
          <w:tcPr>
            <w:tcW w:w="8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(358 )</w:t>
            </w: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(127 )</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(127 )</w:t>
            </w:r>
          </w:p>
        </w:tc>
      </w:tr>
      <w:tr>
        <w:trPr>
          <w:trHeight w:val="225"/>
        </w:trPr>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120" w:type="dxa"/>
            <w:vAlign w:val="bottom"/>
          </w:tcPr>
          <w:p>
            <w:pPr>
              <w:spacing w:after="0"/>
              <w:rPr>
                <w:sz w:val="20"/>
                <w:szCs w:val="20"/>
                <w:color w:val="auto"/>
              </w:rPr>
            </w:pPr>
          </w:p>
        </w:tc>
        <w:tc>
          <w:tcPr>
            <w:tcW w:w="8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(52,949 )</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83 )</w:t>
            </w:r>
          </w:p>
        </w:tc>
        <w:tc>
          <w:tcPr>
            <w:tcW w:w="12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(18,783 )</w:t>
            </w:r>
          </w:p>
        </w:tc>
      </w:tr>
      <w:tr>
        <w:trPr>
          <w:trHeight w:val="225"/>
        </w:trPr>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1"/>
        </w:trPr>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230,209</w:t>
            </w:r>
          </w:p>
        </w:tc>
        <w:tc>
          <w:tcPr>
            <w:tcW w:w="2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209 )</w:t>
            </w:r>
          </w:p>
        </w:tc>
        <w:tc>
          <w:tcPr>
            <w:tcW w:w="12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(230,209 )</w:t>
            </w:r>
          </w:p>
        </w:tc>
      </w:tr>
      <w:tr>
        <w:trPr>
          <w:trHeight w:val="211"/>
        </w:trPr>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1,779,1</w:t>
            </w:r>
          </w:p>
        </w:tc>
        <w:tc>
          <w:tcPr>
            <w:tcW w:w="2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61,590</w:t>
            </w: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173,66</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(1,322,25</w:t>
            </w:r>
          </w:p>
        </w:tc>
        <w:tc>
          <w:tcPr>
            <w:tcW w:w="60" w:type="dxa"/>
            <w:vAlign w:val="bottom"/>
          </w:tcPr>
          <w:p>
            <w:pPr>
              <w:spacing w:after="0"/>
              <w:rPr>
                <w:sz w:val="18"/>
                <w:szCs w:val="18"/>
                <w:color w:val="auto"/>
              </w:rPr>
            </w:pPr>
          </w:p>
        </w:tc>
      </w:tr>
      <w:tr>
        <w:trPr>
          <w:trHeight w:val="241"/>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(127 )</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$ 3,108 )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-2382520</wp:posOffset>
            </wp:positionV>
            <wp:extent cx="7132320" cy="2914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-1799590</wp:posOffset>
            </wp:positionV>
            <wp:extent cx="7132320" cy="1543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-1353820</wp:posOffset>
            </wp:positionV>
            <wp:extent cx="7132320" cy="2914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-908050</wp:posOffset>
            </wp:positionV>
            <wp:extent cx="7132320" cy="291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-316230</wp:posOffset>
            </wp:positionV>
            <wp:extent cx="7132320" cy="3168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120" w:space="280"/>
            <w:col w:w="7780"/>
          </w:cols>
          <w:pgMar w:left="340" w:top="981" w:right="37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981" w:right="37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20" w:type="dxa"/>
            <w:vAlign w:val="bottom"/>
          </w:tcPr>
          <w:p>
            <w:pPr>
              <w:spacing w:after="0"/>
              <w:rPr>
                <w:sz w:val="20"/>
                <w:szCs w:val="20"/>
                <w:color w:val="auto"/>
              </w:rPr>
            </w:pPr>
          </w:p>
        </w:tc>
        <w:tc>
          <w:tcPr>
            <w:tcW w:w="362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50"/>
        </w:trPr>
        <w:tc>
          <w:tcPr>
            <w:tcW w:w="7620" w:type="dxa"/>
            <w:vAlign w:val="bottom"/>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before noncontrolling interest</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(73,799 )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(71,732 )</w:t>
            </w:r>
          </w:p>
        </w:tc>
        <w:tc>
          <w:tcPr>
            <w:tcW w:w="0" w:type="dxa"/>
            <w:vAlign w:val="bottom"/>
          </w:tcPr>
          <w:p>
            <w:pPr>
              <w:spacing w:after="0"/>
              <w:rPr>
                <w:sz w:val="1"/>
                <w:szCs w:val="1"/>
                <w:color w:val="auto"/>
              </w:rPr>
            </w:pPr>
          </w:p>
        </w:tc>
      </w:tr>
      <w:tr>
        <w:trPr>
          <w:trHeight w:val="215"/>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before noncontrolling interest to net cash flows used</w:t>
            </w: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 operating activities:</w:t>
            </w:r>
          </w:p>
        </w:tc>
        <w:tc>
          <w:tcPr>
            <w:tcW w:w="10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0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15,489</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24,222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Gain on marketable securities, net</w:t>
            </w:r>
          </w:p>
        </w:tc>
        <w:tc>
          <w:tcPr>
            <w:tcW w:w="10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(3,802 )</w:t>
            </w:r>
          </w:p>
        </w:tc>
        <w:tc>
          <w:tcPr>
            <w:tcW w:w="36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(1,981 )</w:t>
            </w:r>
          </w:p>
        </w:tc>
        <w:tc>
          <w:tcPr>
            <w:tcW w:w="0" w:type="dxa"/>
            <w:vAlign w:val="bottom"/>
          </w:tcPr>
          <w:p>
            <w:pPr>
              <w:spacing w:after="0"/>
              <w:rPr>
                <w:sz w:val="1"/>
                <w:szCs w:val="1"/>
                <w:color w:val="auto"/>
              </w:rPr>
            </w:pPr>
          </w:p>
        </w:tc>
      </w:tr>
      <w:tr>
        <w:trPr>
          <w:trHeight w:val="247"/>
        </w:trPr>
        <w:tc>
          <w:tcPr>
            <w:tcW w:w="7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Loss on disposal of equipment</w:t>
            </w:r>
          </w:p>
        </w:tc>
        <w:tc>
          <w:tcPr>
            <w:tcW w:w="10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Interest receivable</w:t>
            </w:r>
          </w:p>
        </w:tc>
        <w:tc>
          <w:tcPr>
            <w:tcW w:w="10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(1,373 )</w:t>
            </w:r>
          </w:p>
        </w:tc>
        <w:tc>
          <w:tcPr>
            <w:tcW w:w="3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(8,090 )</w:t>
            </w:r>
          </w:p>
        </w:tc>
        <w:tc>
          <w:tcPr>
            <w:tcW w:w="0" w:type="dxa"/>
            <w:vAlign w:val="bottom"/>
          </w:tcPr>
          <w:p>
            <w:pPr>
              <w:spacing w:after="0"/>
              <w:rPr>
                <w:sz w:val="1"/>
                <w:szCs w:val="1"/>
                <w:color w:val="auto"/>
              </w:rPr>
            </w:pPr>
          </w:p>
        </w:tc>
      </w:tr>
      <w:tr>
        <w:trPr>
          <w:trHeight w:val="239"/>
        </w:trPr>
        <w:tc>
          <w:tcPr>
            <w:tcW w:w="76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Prepaid and other assets</w:t>
            </w:r>
          </w:p>
        </w:tc>
        <w:tc>
          <w:tcPr>
            <w:tcW w:w="10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(6,162 )</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(5,838 )</w:t>
            </w: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Income taxes payable</w:t>
            </w:r>
          </w:p>
        </w:tc>
        <w:tc>
          <w:tcPr>
            <w:tcW w:w="10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10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(72,939 )</w:t>
            </w:r>
          </w:p>
        </w:tc>
        <w:tc>
          <w:tcPr>
            <w:tcW w:w="3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(40,908 )</w:t>
            </w:r>
          </w:p>
        </w:tc>
        <w:tc>
          <w:tcPr>
            <w:tcW w:w="0" w:type="dxa"/>
            <w:vAlign w:val="bottom"/>
          </w:tcPr>
          <w:p>
            <w:pPr>
              <w:spacing w:after="0"/>
              <w:rPr>
                <w:sz w:val="1"/>
                <w:szCs w:val="1"/>
                <w:color w:val="auto"/>
              </w:rPr>
            </w:pPr>
          </w:p>
        </w:tc>
      </w:tr>
      <w:tr>
        <w:trPr>
          <w:trHeight w:val="479"/>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0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(82,880 )</w:t>
            </w:r>
          </w:p>
        </w:tc>
        <w:tc>
          <w:tcPr>
            <w:tcW w:w="3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(261,847 )</w:t>
            </w:r>
          </w:p>
        </w:tc>
        <w:tc>
          <w:tcPr>
            <w:tcW w:w="0" w:type="dxa"/>
            <w:vAlign w:val="bottom"/>
          </w:tcPr>
          <w:p>
            <w:pPr>
              <w:spacing w:after="0"/>
              <w:rPr>
                <w:sz w:val="1"/>
                <w:szCs w:val="1"/>
                <w:color w:val="auto"/>
              </w:rPr>
            </w:pPr>
          </w:p>
        </w:tc>
      </w:tr>
      <w:tr>
        <w:trPr>
          <w:trHeight w:val="239"/>
        </w:trPr>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and maturities of marketable securities</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171,445</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 of equipment and facility expansion</w:t>
            </w:r>
          </w:p>
        </w:tc>
        <w:tc>
          <w:tcPr>
            <w:tcW w:w="10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(1,596 )</w:t>
            </w:r>
          </w:p>
        </w:tc>
        <w:tc>
          <w:tcPr>
            <w:tcW w:w="3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(4,686 )</w:t>
            </w:r>
          </w:p>
        </w:tc>
        <w:tc>
          <w:tcPr>
            <w:tcW w:w="0" w:type="dxa"/>
            <w:vAlign w:val="bottom"/>
          </w:tcPr>
          <w:p>
            <w:pPr>
              <w:spacing w:after="0"/>
              <w:rPr>
                <w:sz w:val="1"/>
                <w:szCs w:val="1"/>
                <w:color w:val="auto"/>
              </w:rPr>
            </w:pPr>
          </w:p>
        </w:tc>
      </w:tr>
      <w:tr>
        <w:trPr>
          <w:trHeight w:val="20"/>
        </w:trPr>
        <w:tc>
          <w:tcPr>
            <w:tcW w:w="76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flows provided by (used in) investing activities</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86,969</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(205,765 )</w:t>
            </w:r>
          </w:p>
        </w:tc>
        <w:tc>
          <w:tcPr>
            <w:tcW w:w="0" w:type="dxa"/>
            <w:vAlign w:val="bottom"/>
          </w:tcPr>
          <w:p>
            <w:pPr>
              <w:spacing w:after="0"/>
              <w:rPr>
                <w:sz w:val="1"/>
                <w:szCs w:val="1"/>
                <w:color w:val="auto"/>
              </w:rPr>
            </w:pPr>
          </w:p>
        </w:tc>
      </w:tr>
      <w:tr>
        <w:trPr>
          <w:trHeight w:val="252"/>
        </w:trPr>
        <w:tc>
          <w:tcPr>
            <w:tcW w:w="76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sales of Class A ordinary shares, net of offering costs</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139,855</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 on finance leases</w:t>
            </w:r>
          </w:p>
        </w:tc>
        <w:tc>
          <w:tcPr>
            <w:tcW w:w="10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(26 )</w:t>
            </w:r>
          </w:p>
        </w:tc>
        <w:tc>
          <w:tcPr>
            <w:tcW w:w="3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0"/>
        </w:trPr>
        <w:tc>
          <w:tcPr>
            <w:tcW w:w="76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flows provided by (used in) financing activities</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139,829</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52"/>
        </w:trPr>
        <w:tc>
          <w:tcPr>
            <w:tcW w:w="76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0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153,859</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(246,699 )</w:t>
            </w:r>
          </w:p>
        </w:tc>
        <w:tc>
          <w:tcPr>
            <w:tcW w:w="0" w:type="dxa"/>
            <w:vAlign w:val="bottom"/>
          </w:tcPr>
          <w:p>
            <w:pPr>
              <w:spacing w:after="0"/>
              <w:rPr>
                <w:sz w:val="1"/>
                <w:szCs w:val="1"/>
                <w:color w:val="auto"/>
              </w:rPr>
            </w:pPr>
          </w:p>
        </w:tc>
      </w:tr>
      <w:tr>
        <w:trPr>
          <w:trHeight w:val="239"/>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beginning of period</w:t>
            </w:r>
          </w:p>
        </w:tc>
        <w:tc>
          <w:tcPr>
            <w:tcW w:w="10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60,649</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490,252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end of period</w:t>
            </w:r>
          </w:p>
        </w:tc>
        <w:tc>
          <w:tcPr>
            <w:tcW w:w="1000" w:type="dxa"/>
            <w:vAlign w:val="bottom"/>
            <w:tcBorders>
              <w:bottom w:val="single" w:sz="8" w:color="auto"/>
            </w:tcBorders>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214,508</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243,553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Right of use assets obtained in exchange for lease obligations</w:t>
            </w:r>
          </w:p>
        </w:tc>
        <w:tc>
          <w:tcPr>
            <w:tcW w:w="1000" w:type="dxa"/>
            <w:vAlign w:val="bottom"/>
            <w:tcBorders>
              <w:bottom w:val="single" w:sz="8" w:color="auto"/>
            </w:tcBorders>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Exchange of Class B ordinary shares</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14,902</w:t>
            </w:r>
          </w:p>
        </w:tc>
        <w:tc>
          <w:tcPr>
            <w:tcW w:w="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Impact of equity transactions and compensation on redeemable noncontrolling interest</w:t>
            </w:r>
          </w:p>
        </w:tc>
        <w:tc>
          <w:tcPr>
            <w:tcW w:w="1000" w:type="dxa"/>
            <w:vAlign w:val="bottom"/>
            <w:tcBorders>
              <w:bottom w:val="single" w:sz="8" w:color="auto"/>
            </w:tcBorders>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16,708</w:t>
            </w:r>
          </w:p>
        </w:tc>
        <w:tc>
          <w:tcPr>
            <w:tcW w:w="2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redemption value of noncontrolling interest</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20" w:type="dxa"/>
            <w:vAlign w:val="bottom"/>
            <w:shd w:val="clear" w:color="auto" w:fill="CFF0FC"/>
          </w:tcPr>
          <w:p>
            <w:pPr>
              <w:ind w:left="200"/>
              <w:spacing w:after="0" w:line="196" w:lineRule="exact"/>
              <w:rPr>
                <w:sz w:val="20"/>
                <w:szCs w:val="20"/>
                <w:color w:val="auto"/>
              </w:rPr>
            </w:pPr>
            <w:r>
              <w:rPr>
                <w:rFonts w:ascii="Times New Roman" w:cs="Times New Roman" w:eastAsia="Times New Roman" w:hAnsi="Times New Roman"/>
                <w:sz w:val="18"/>
                <w:szCs w:val="18"/>
                <w:color w:val="auto"/>
              </w:rPr>
              <w:t>Equipment and facility expansion included in accounts payable and</w:t>
            </w:r>
          </w:p>
        </w:tc>
        <w:tc>
          <w:tcPr>
            <w:tcW w:w="1000" w:type="dxa"/>
            <w:vAlign w:val="bottom"/>
            <w:vMerge w:val="restart"/>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80" w:type="dxa"/>
            <w:vAlign w:val="bottom"/>
            <w:shd w:val="clear" w:color="auto" w:fill="CFF0FC"/>
          </w:tcPr>
          <w:p>
            <w:pPr>
              <w:spacing w:after="0"/>
              <w:rPr>
                <w:sz w:val="17"/>
                <w:szCs w:val="17"/>
                <w:color w:val="auto"/>
              </w:rPr>
            </w:pPr>
          </w:p>
        </w:tc>
        <w:tc>
          <w:tcPr>
            <w:tcW w:w="360" w:type="dxa"/>
            <w:vAlign w:val="bottom"/>
            <w:vMerge w:val="restart"/>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762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1000" w:type="dxa"/>
            <w:vAlign w:val="bottom"/>
            <w:tcBorders>
              <w:bottom w:val="single" w:sz="8" w:color="auto"/>
            </w:tcBorders>
            <w:vMerge w:val="continue"/>
            <w:shd w:val="clear" w:color="auto" w:fill="CFF0FC"/>
          </w:tcPr>
          <w:p>
            <w:pPr>
              <w:spacing w:after="0"/>
              <w:rPr>
                <w:sz w:val="21"/>
                <w:szCs w:val="21"/>
                <w:color w:val="auto"/>
              </w:rPr>
            </w:pPr>
          </w:p>
        </w:tc>
        <w:tc>
          <w:tcPr>
            <w:tcW w:w="620" w:type="dxa"/>
            <w:vAlign w:val="bottom"/>
            <w:tcBorders>
              <w:bottom w:val="single" w:sz="8" w:color="auto"/>
            </w:tcBorders>
            <w:vMerge w:val="continue"/>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vMerge w:val="continue"/>
            <w:shd w:val="clear" w:color="auto" w:fill="CFF0FC"/>
          </w:tcPr>
          <w:p>
            <w:pPr>
              <w:spacing w:after="0"/>
              <w:rPr>
                <w:sz w:val="21"/>
                <w:szCs w:val="21"/>
                <w:color w:val="auto"/>
              </w:rPr>
            </w:pPr>
          </w:p>
        </w:tc>
        <w:tc>
          <w:tcPr>
            <w:tcW w:w="126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-2914015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-2914015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-2133600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-1344930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-1327785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-1344930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-1327785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-856615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-839470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-839470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-496570</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-479425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Description of Business and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right="160" w:firstLine="524"/>
        <w:spacing w:after="0" w:line="266" w:lineRule="auto"/>
        <w:rPr>
          <w:sz w:val="20"/>
          <w:szCs w:val="20"/>
          <w:color w:val="auto"/>
        </w:rPr>
      </w:pPr>
      <w:r>
        <w:rPr>
          <w:rFonts w:ascii="Times New Roman" w:cs="Times New Roman" w:eastAsia="Times New Roman" w:hAnsi="Times New Roman"/>
          <w:sz w:val="18"/>
          <w:szCs w:val="18"/>
          <w:color w:val="auto"/>
        </w:rPr>
        <w:t>ProKidney Corp. (the “Company” or “ProKidney”) was originally incorporated as Social Capital Suvretta Holdings Corp. III (“SCS”). SCS was a blank check company incorporated as a Cayman Islands exempted company on February 25, 2021. SCS was incorporated for the purpose of effecting a merger, share exchange, asset acquisition, share purchase, reorganization or similar business combination with one or more businesses.</w:t>
      </w:r>
    </w:p>
    <w:p>
      <w:pPr>
        <w:spacing w:after="0" w:line="68" w:lineRule="exact"/>
        <w:rPr>
          <w:sz w:val="20"/>
          <w:szCs w:val="20"/>
          <w:color w:val="auto"/>
        </w:rPr>
      </w:pPr>
    </w:p>
    <w:p>
      <w:pPr>
        <w:ind w:right="40" w:firstLine="524"/>
        <w:spacing w:after="0" w:line="256" w:lineRule="auto"/>
        <w:rPr>
          <w:sz w:val="20"/>
          <w:szCs w:val="20"/>
          <w:color w:val="auto"/>
        </w:rPr>
      </w:pPr>
      <w:r>
        <w:rPr>
          <w:rFonts w:ascii="Times New Roman" w:cs="Times New Roman" w:eastAsia="Times New Roman" w:hAnsi="Times New Roman"/>
          <w:sz w:val="18"/>
          <w:szCs w:val="18"/>
          <w:color w:val="auto"/>
        </w:rPr>
        <w:t>On January 18, 2022, SCS executed a definitive business combination agreement (the “Business Combination Agreement”), with ProKidney LP (“PKLP”), a limited partnership under the laws and regulations of Ireland. Pursuant to the terms of the Business Combination Agreement, PKLP became a subsidiary of SCS and was organized in an umbrella partnership corporation (“Up-C”) structure, which would provide potential future tax benefits for SCS when the equity holders ultimately exchanged their pass-through interests for Class A ordinary shares. The business combination between SCS and PKLP (the “Business Combination”) closed (the “Closing”) on July 11, 2022 (the “Closing Date”). Upon consummation of the transaction, SCS changed its name to ProKidney Corp.</w:t>
      </w:r>
    </w:p>
    <w:p>
      <w:pPr>
        <w:spacing w:after="0" w:line="79" w:lineRule="exact"/>
        <w:rPr>
          <w:sz w:val="20"/>
          <w:szCs w:val="20"/>
          <w:color w:val="auto"/>
        </w:rPr>
      </w:pPr>
    </w:p>
    <w:p>
      <w:pPr>
        <w:ind w:right="20" w:firstLine="524"/>
        <w:spacing w:after="0" w:line="266"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transaction between entities under common control, through which PKLP was considered the accounting acquiror and predecessor entity. The Business Combination was reflected as the equivalent of PKLP issuing stock for the net assets of SCS accompanied by a recapitalization with no goodwill or intangible assets recognized.</w:t>
      </w:r>
    </w:p>
    <w:p>
      <w:pPr>
        <w:spacing w:after="0" w:line="68" w:lineRule="exact"/>
        <w:rPr>
          <w:sz w:val="20"/>
          <w:szCs w:val="20"/>
          <w:color w:val="auto"/>
        </w:rPr>
      </w:pPr>
    </w:p>
    <w:p>
      <w:pPr>
        <w:jc w:val="both"/>
        <w:ind w:right="200" w:firstLine="524"/>
        <w:spacing w:after="0" w:line="261" w:lineRule="auto"/>
        <w:rPr>
          <w:sz w:val="20"/>
          <w:szCs w:val="20"/>
          <w:color w:val="auto"/>
        </w:rPr>
      </w:pPr>
      <w:r>
        <w:rPr>
          <w:rFonts w:ascii="Times New Roman" w:cs="Times New Roman" w:eastAsia="Times New Roman" w:hAnsi="Times New Roman"/>
          <w:sz w:val="18"/>
          <w:szCs w:val="18"/>
          <w:color w:val="auto"/>
        </w:rPr>
        <w:t>ProKidney Corp., through its operating subsidiaries, ProKidney, which is incorporated under the Cayman Islands Companies Act (as amended) as an exempted company (“ProKidney-KY”) and ProKidney LLC, a limited liability company under the laws of Delaware (“ProKidney-US”) is focused on the development of rilparencel, which has the potential to preserve kidney function in patients with chronic kidney disease or delay or eliminate the need for dialysis and organ transplantation.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firstLine="524"/>
        <w:spacing w:after="0" w:line="253" w:lineRule="auto"/>
        <w:rPr>
          <w:sz w:val="20"/>
          <w:szCs w:val="20"/>
          <w:color w:val="auto"/>
        </w:rPr>
      </w:pPr>
      <w:r>
        <w:rPr>
          <w:rFonts w:ascii="Times New Roman" w:cs="Times New Roman" w:eastAsia="Times New Roman" w:hAnsi="Times New Roman"/>
          <w:sz w:val="18"/>
          <w:szCs w:val="18"/>
          <w:color w:val="auto"/>
        </w:rPr>
        <w:t>ProKidney is a holding company, and its principal asset is a controlling equity interest in PKLP and its wholly-owned operating subsidiaries ProKidney-KY and ProKidney-US. The Company has determined that PKLP is a variable-interest entity for accounting purposes and that ProKidney is the primary beneficiary of PKLP because (through its managing member interest in PKLP and the fact that the senior management of ProKidney is also the senior management of PKLP) it has the power and benefits to direct all of the activities of PKLP, which include those that most significantly impact PKLP’s economic performance. The Company has therefore consolidated PKLP’s results pursuant to Accounting Standards Codification Topic 810, “Consolidation” in its Condensed Consolidated Financial Statements. As of June 30, 2024, various holders own non-voting interests in PKLP, representing a 56.6% economic interest in PKLP, effectively restricting ProKidney’s interest to 43.4% of PKLP’s economic results, subject to increase in the future, should ProKidney purchase additional non-voting common units (“PKLP Units”) of PKLP, or should the holders of PKLP Units decide to exchange such units (together with shares of Class B ordinary shares) for Class A ordinary shares (or cash) pursuant to the Exchange Agreement (as defined in Note 6). The Company will not be required to provide financial or other support for PKLP. However, ProKidney will control its business and other activities through its managing member interest in PKLP, and its management is the management of PKLP. Nevertheless, because ProKidney will have no material assets other than its interests in PKLP and its subsidiaries, any financial difficulties at PKLP could result in ProKidney recognizing a loss.</w:t>
      </w:r>
    </w:p>
    <w:p>
      <w:pPr>
        <w:spacing w:after="0" w:line="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All intercompany transactions and balances have been eliminated.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Financial Statements</w:t>
      </w:r>
    </w:p>
    <w:p>
      <w:pPr>
        <w:spacing w:after="0" w:line="121" w:lineRule="exact"/>
        <w:rPr>
          <w:sz w:val="20"/>
          <w:szCs w:val="20"/>
          <w:color w:val="auto"/>
        </w:rPr>
      </w:pPr>
    </w:p>
    <w:p>
      <w:pPr>
        <w:ind w:right="240" w:firstLine="524"/>
        <w:spacing w:after="0" w:line="253"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accounting principles generally accepted in the United States of America (“GAAP”). The accompanying Condensed Consolidated Balance Sheet as of June 30, 2024, Condensed Consolidated Statements of Operations for the three and six months ended June 30, 2024 and 2023, Condensed Consolidated Statements of Comprehensive Loss for the three and six months ended June 30, 2024 and 2023, Condensed Consolidated Statement of Changes in Redeemable Noncontrolling Interest and Shareholders’ Deficit for the three and six months ended June 30, 2024 and 2023 and Condensed Consolidated Statements of Cash Flows for the six months ended June 30, 2024 and 2023 are unaudited. These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 w:name="page12"/>
    <w:bookmarkEnd w:id="11"/>
    <w:p>
      <w:pPr>
        <w:ind w:right="140"/>
        <w:spacing w:after="0" w:line="266" w:lineRule="auto"/>
        <w:rPr>
          <w:sz w:val="20"/>
          <w:szCs w:val="20"/>
          <w:color w:val="auto"/>
        </w:rPr>
      </w:pPr>
      <w:r>
        <w:rPr>
          <w:rFonts w:ascii="Times New Roman" w:cs="Times New Roman" w:eastAsia="Times New Roman" w:hAnsi="Times New Roman"/>
          <w:sz w:val="18"/>
          <w:szCs w:val="18"/>
          <w:color w:val="auto"/>
        </w:rPr>
        <w:t>unaudited financial statements have been prepared in accordance with the rules and regulations of the United States Securities and Exchange Commission (the “SEC”) for interim financial information. Accordingly, they do not include all of the information and footnotes required by GAAP for complete financial statements.</w:t>
      </w:r>
    </w:p>
    <w:p>
      <w:pPr>
        <w:spacing w:after="0" w:line="68" w:lineRule="exact"/>
        <w:rPr>
          <w:sz w:val="20"/>
          <w:szCs w:val="20"/>
          <w:color w:val="auto"/>
        </w:rPr>
      </w:pPr>
    </w:p>
    <w:p>
      <w:pPr>
        <w:ind w:right="20" w:firstLine="524"/>
        <w:spacing w:after="0" w:line="255" w:lineRule="auto"/>
        <w:rPr>
          <w:sz w:val="20"/>
          <w:szCs w:val="20"/>
          <w:color w:val="auto"/>
        </w:rPr>
      </w:pPr>
      <w:r>
        <w:rPr>
          <w:rFonts w:ascii="Times New Roman" w:cs="Times New Roman" w:eastAsia="Times New Roman" w:hAnsi="Times New Roman"/>
          <w:sz w:val="18"/>
          <w:szCs w:val="18"/>
          <w:color w:val="auto"/>
        </w:rPr>
        <w:t>The unaudited interim financial statements have been prepared on the same basis as the annual financial statements and, in the opinion of management, reflect all adjustments (consisting of normal recurring adjustments) necessary to state fairly the Company’s financial position as of June 30, 2024, the results of operations for the three and six months ended June 30, 2024 and 2023 and cash flows for the six months ended June 30, 2024 and 2023. Certain prior year amounts have been reclassified to conform to the current year presentation. The December 31, 2023 Condensed Consolidated Balance Sheet included herein was derived from the audited financial statements but does not include all disclosures or notes required by GAAP for complete financial statements. These financial statements should be read in conjunction with the audited financial statements and the accompanying notes for the year ended December 31, 2023, contained in the Company’s Annual Report on Form 10-K filed with the SEC on March 22, 2024.</w:t>
      </w:r>
    </w:p>
    <w:p>
      <w:pPr>
        <w:spacing w:after="0" w:line="81" w:lineRule="exact"/>
        <w:rPr>
          <w:sz w:val="20"/>
          <w:szCs w:val="20"/>
          <w:color w:val="auto"/>
        </w:rPr>
      </w:pPr>
    </w:p>
    <w:p>
      <w:pPr>
        <w:jc w:val="both"/>
        <w:ind w:right="360" w:firstLine="524"/>
        <w:spacing w:after="0" w:line="266" w:lineRule="auto"/>
        <w:rPr>
          <w:sz w:val="20"/>
          <w:szCs w:val="20"/>
          <w:color w:val="auto"/>
        </w:rPr>
      </w:pPr>
      <w:r>
        <w:rPr>
          <w:rFonts w:ascii="Times New Roman" w:cs="Times New Roman" w:eastAsia="Times New Roman" w:hAnsi="Times New Roman"/>
          <w:sz w:val="18"/>
          <w:szCs w:val="18"/>
          <w:color w:val="auto"/>
        </w:rPr>
        <w:t>Any reference in these notes to applicable guidance is meant to refer to GAAP as found in the Accounting Standards Codification (“ASC”) and Accounting Standards Update (“ASU”) of the Financial Accounting Standards Board (“FASB”). These unaudited consolidated financial statements are presented in U.S. Dollars.</w:t>
      </w:r>
    </w:p>
    <w:p>
      <w:pPr>
        <w:spacing w:after="0" w:line="6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Interim results are not necessarily indicative of results for an entire year.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firstLine="524"/>
        <w:spacing w:after="0" w:line="255" w:lineRule="auto"/>
        <w:rPr>
          <w:sz w:val="20"/>
          <w:szCs w:val="20"/>
          <w:color w:val="auto"/>
        </w:rPr>
      </w:pPr>
      <w:r>
        <w:rPr>
          <w:rFonts w:ascii="Times New Roman" w:cs="Times New Roman" w:eastAsia="Times New Roman" w:hAnsi="Times New Roman"/>
          <w:sz w:val="18"/>
          <w:szCs w:val="18"/>
          <w:color w:val="auto"/>
        </w:rPr>
        <w:t>The preparation of unaudited condensed consolidated financial statements, in accordance with GAAP, requires management to make certain estimates and assumptions that affect the reported amounts of assets and liabilities and disclosure of contingent liabilities at the date of the condensed consolidated financial statements, and the amounts of expenses during the reported periods. Certain estimates in these condensed consolidated financial statements have been made in connection with the calculation of research and development expenses, equity-based compensation expense and the provision for or benefit from income taxes. The Company bases its estimates on historical experience and various other assumptions, including in certain circumstances future projections, which management believes to be reasonable under the circumstances. Actual results could differ from those estimates. Changes in estimates are reflected in reported results in the period in which they become known.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Equivalents and Marketable Securities</w:t>
      </w:r>
    </w:p>
    <w:p>
      <w:pPr>
        <w:spacing w:after="0" w:line="121" w:lineRule="exact"/>
        <w:rPr>
          <w:sz w:val="20"/>
          <w:szCs w:val="20"/>
          <w:color w:val="auto"/>
        </w:rPr>
      </w:pPr>
    </w:p>
    <w:p>
      <w:pPr>
        <w:ind w:firstLine="524"/>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90 days or less on the date of purchase to be cash equivalents. The carrying value of cash and cash equivalents approximates fair value due to the short-term nature of these items.</w:t>
      </w:r>
    </w:p>
    <w:p>
      <w:pPr>
        <w:spacing w:after="0" w:line="54" w:lineRule="exact"/>
        <w:rPr>
          <w:sz w:val="20"/>
          <w:szCs w:val="20"/>
          <w:color w:val="auto"/>
        </w:rPr>
      </w:pPr>
    </w:p>
    <w:p>
      <w:pPr>
        <w:jc w:val="both"/>
        <w:ind w:right="200" w:firstLine="524"/>
        <w:spacing w:after="0" w:line="266" w:lineRule="auto"/>
        <w:rPr>
          <w:sz w:val="20"/>
          <w:szCs w:val="20"/>
          <w:color w:val="auto"/>
        </w:rPr>
      </w:pPr>
      <w:r>
        <w:rPr>
          <w:rFonts w:ascii="Times New Roman" w:cs="Times New Roman" w:eastAsia="Times New Roman" w:hAnsi="Times New Roman"/>
          <w:sz w:val="18"/>
          <w:szCs w:val="18"/>
          <w:color w:val="auto"/>
        </w:rPr>
        <w:t>The Company’s investments in marketable debt securities have been classified and accounted for as available-for-sale. The Company classifies its marketable debt securities as short-term due to its availability for use in its current operations. The cost of securities sold is determined using the specific identification method.</w:t>
      </w:r>
    </w:p>
    <w:p>
      <w:pPr>
        <w:spacing w:after="0" w:line="6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Company considers all available evidence to evaluate if a credit loss exists, and if so, recognizes an allowance for credit loss.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121" w:lineRule="exact"/>
        <w:rPr>
          <w:sz w:val="20"/>
          <w:szCs w:val="20"/>
          <w:color w:val="auto"/>
        </w:rPr>
      </w:pPr>
    </w:p>
    <w:p>
      <w:pPr>
        <w:ind w:right="320" w:firstLine="524"/>
        <w:spacing w:after="0" w:line="261" w:lineRule="auto"/>
        <w:rPr>
          <w:sz w:val="20"/>
          <w:szCs w:val="20"/>
          <w:color w:val="auto"/>
        </w:rPr>
      </w:pPr>
      <w:r>
        <w:rPr>
          <w:rFonts w:ascii="Times New Roman" w:cs="Times New Roman" w:eastAsia="Times New Roman" w:hAnsi="Times New Roman"/>
          <w:sz w:val="18"/>
          <w:szCs w:val="18"/>
          <w:color w:val="auto"/>
        </w:rPr>
        <w:t>Cash and equivalents are the primary financial instruments held by the Company that are potentially subject to concentrations of credit risk. The Company’s cash and equivalents are deposited in accounts at large financial institutions, and such amounts may exceed federally insured limits.</w:t>
      </w: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Accrued Expenses</w:t>
      </w:r>
    </w:p>
    <w:p>
      <w:pPr>
        <w:spacing w:after="0" w:line="121" w:lineRule="exact"/>
        <w:rPr>
          <w:sz w:val="20"/>
          <w:szCs w:val="20"/>
          <w:color w:val="auto"/>
        </w:rPr>
      </w:pPr>
    </w:p>
    <w:p>
      <w:pPr>
        <w:ind w:right="660" w:firstLine="524"/>
        <w:spacing w:after="0" w:line="282" w:lineRule="auto"/>
        <w:rPr>
          <w:sz w:val="20"/>
          <w:szCs w:val="20"/>
          <w:color w:val="auto"/>
        </w:rPr>
      </w:pPr>
      <w:r>
        <w:rPr>
          <w:rFonts w:ascii="Times New Roman" w:cs="Times New Roman" w:eastAsia="Times New Roman" w:hAnsi="Times New Roman"/>
          <w:sz w:val="18"/>
          <w:szCs w:val="18"/>
          <w:color w:val="auto"/>
        </w:rPr>
        <w:t>Accrued expenses as presented in the Condensed Consolidated Balance Sheets as of June 30, 2024 and December 31, 2023 consisted of the following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6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300" w:type="dxa"/>
            <w:vAlign w:val="bottom"/>
          </w:tcPr>
          <w:p>
            <w:pPr>
              <w:spacing w:after="0"/>
              <w:rPr>
                <w:sz w:val="21"/>
                <w:szCs w:val="21"/>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1"/>
                <w:szCs w:val="21"/>
                <w:color w:val="auto"/>
              </w:rPr>
            </w:pPr>
          </w:p>
        </w:tc>
      </w:tr>
      <w:tr>
        <w:trPr>
          <w:trHeight w:val="243"/>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5,981</w:t>
            </w:r>
          </w:p>
        </w:tc>
        <w:tc>
          <w:tcPr>
            <w:tcW w:w="880" w:type="dxa"/>
            <w:vAlign w:val="bottom"/>
            <w:gridSpan w:val="2"/>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Clinical study related costs</w:t>
            </w:r>
          </w:p>
        </w:tc>
        <w:tc>
          <w:tcPr>
            <w:tcW w:w="2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3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Facility related costs</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legal costs</w:t>
            </w:r>
          </w:p>
        </w:tc>
        <w:tc>
          <w:tcPr>
            <w:tcW w:w="2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3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Manufacturing improvement costs</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consulting and professional fees</w:t>
            </w:r>
          </w:p>
        </w:tc>
        <w:tc>
          <w:tcPr>
            <w:tcW w:w="2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3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3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tcPr>
          <w:p>
            <w:pPr>
              <w:spacing w:after="0"/>
              <w:rPr>
                <w:sz w:val="20"/>
                <w:szCs w:val="20"/>
                <w:color w:val="auto"/>
              </w:rPr>
            </w:pPr>
          </w:p>
        </w:tc>
      </w:tr>
      <w:tr>
        <w:trPr>
          <w:trHeight w:val="281"/>
        </w:trPr>
        <w:tc>
          <w:tcPr>
            <w:tcW w:w="76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accrued expenses and other</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15,109</w:t>
            </w:r>
          </w:p>
        </w:tc>
        <w:tc>
          <w:tcPr>
            <w:tcW w:w="30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17,665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-25400</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21" w:lineRule="exact"/>
        <w:rPr>
          <w:sz w:val="20"/>
          <w:szCs w:val="20"/>
          <w:color w:val="auto"/>
        </w:rPr>
      </w:pPr>
    </w:p>
    <w:p>
      <w:pPr>
        <w:ind w:right="480" w:firstLine="524"/>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are comprised of costs incurred in performing research and development activities, including salaries, benefits, third party license fees, and external costs of outside vendors engaged to conduct manufacturing and preclinical development activities and clinical trials.</w:t>
      </w:r>
    </w:p>
    <w:p>
      <w:pPr>
        <w:spacing w:after="0" w:line="68" w:lineRule="exact"/>
        <w:rPr>
          <w:sz w:val="20"/>
          <w:szCs w:val="20"/>
          <w:color w:val="auto"/>
        </w:rPr>
      </w:pPr>
    </w:p>
    <w:p>
      <w:pPr>
        <w:ind w:right="20" w:firstLine="524"/>
        <w:spacing w:after="0" w:line="255" w:lineRule="auto"/>
        <w:rPr>
          <w:sz w:val="20"/>
          <w:szCs w:val="20"/>
          <w:color w:val="auto"/>
        </w:rPr>
      </w:pPr>
      <w:r>
        <w:rPr>
          <w:rFonts w:ascii="Times New Roman" w:cs="Times New Roman" w:eastAsia="Times New Roman" w:hAnsi="Times New Roman"/>
          <w:sz w:val="18"/>
          <w:szCs w:val="18"/>
          <w:color w:val="auto"/>
        </w:rPr>
        <w:t>The Company records accruals based on estimates of services received, efforts expended, and amounts owed pursuant to contracts with numerous contract research organizations. In the normal course of business, the Company contracts with third parties to perform various clinical study activities in the ongoing development of potential products. The financial terms of these agreements are subject to negotiation and variation from contract to contract and may result in uneven payment flows. Payments under the contracts depend on factors such as the achievement of certain events and the completion of portions of the clinical study or similar conditions. The objective of the Company’s accrual policy is to match the recording of expenses in its financial statements to the actual services received and efforts expended. As such, expense accruals related to clinical studies are recognized based on the company’s estimate of the degree of completion of the event or events specified in the specific clinical study.</w:t>
      </w:r>
    </w:p>
    <w:p>
      <w:pPr>
        <w:spacing w:after="0" w:line="81" w:lineRule="exact"/>
        <w:rPr>
          <w:sz w:val="20"/>
          <w:szCs w:val="20"/>
          <w:color w:val="auto"/>
        </w:rPr>
      </w:pPr>
    </w:p>
    <w:p>
      <w:pPr>
        <w:ind w:right="80" w:firstLine="524"/>
        <w:spacing w:after="0" w:line="266" w:lineRule="auto"/>
        <w:rPr>
          <w:sz w:val="20"/>
          <w:szCs w:val="20"/>
          <w:color w:val="auto"/>
        </w:rPr>
      </w:pPr>
      <w:r>
        <w:rPr>
          <w:rFonts w:ascii="Times New Roman" w:cs="Times New Roman" w:eastAsia="Times New Roman" w:hAnsi="Times New Roman"/>
          <w:sz w:val="18"/>
          <w:szCs w:val="18"/>
          <w:color w:val="auto"/>
        </w:rPr>
        <w:t>The Company records nonrefundable advance payments it makes for future research and development activities as prepaid expenses. Prepaid expenses are recognized as expense in the Condensed Consolidated Statement of Operations and Comprehensive Loss as the Company receives the related goods or services.</w:t>
      </w:r>
    </w:p>
    <w:p>
      <w:pPr>
        <w:spacing w:after="0" w:line="68" w:lineRule="exact"/>
        <w:rPr>
          <w:sz w:val="20"/>
          <w:szCs w:val="20"/>
          <w:color w:val="auto"/>
        </w:rPr>
      </w:pPr>
    </w:p>
    <w:p>
      <w:pPr>
        <w:ind w:firstLine="524"/>
        <w:spacing w:after="0" w:line="282" w:lineRule="auto"/>
        <w:rPr>
          <w:sz w:val="20"/>
          <w:szCs w:val="20"/>
          <w:color w:val="auto"/>
        </w:rPr>
      </w:pPr>
      <w:r>
        <w:rPr>
          <w:rFonts w:ascii="Times New Roman" w:cs="Times New Roman" w:eastAsia="Times New Roman" w:hAnsi="Times New Roman"/>
          <w:sz w:val="18"/>
          <w:szCs w:val="18"/>
          <w:color w:val="auto"/>
        </w:rPr>
        <w:t>Costs incurred in obtaining technology licenses are charged to research and development expense as purchased in-process research and development if the technology licensed has not reached technological feasibility and has no alternative future use.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Fixed Assets</w:t>
      </w:r>
    </w:p>
    <w:p>
      <w:pPr>
        <w:spacing w:after="0" w:line="121" w:lineRule="exact"/>
        <w:rPr>
          <w:sz w:val="20"/>
          <w:szCs w:val="20"/>
          <w:color w:val="auto"/>
        </w:rPr>
      </w:pPr>
    </w:p>
    <w:p>
      <w:pPr>
        <w:ind w:firstLine="524"/>
        <w:spacing w:after="0" w:line="261" w:lineRule="auto"/>
        <w:rPr>
          <w:sz w:val="20"/>
          <w:szCs w:val="20"/>
          <w:color w:val="auto"/>
        </w:rPr>
      </w:pPr>
      <w:r>
        <w:rPr>
          <w:rFonts w:ascii="Times New Roman" w:cs="Times New Roman" w:eastAsia="Times New Roman" w:hAnsi="Times New Roman"/>
          <w:sz w:val="18"/>
          <w:szCs w:val="18"/>
          <w:color w:val="auto"/>
        </w:rPr>
        <w:t>Fixed assets are stated at cost, less accumulated depreciation. Generally, expenditures for maintenance and repairs are charged to expense and major improvements or replacements are capitalized. The Company computes depreciation and amortization using the straight-line method over the estimated useful life of the asset. Leasehold improvements are amortized over the lesser of the life of the lease or the estimated useful life of the leasehold improvement. The estimated useful lives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700" w:type="dxa"/>
            <w:vAlign w:val="bottom"/>
          </w:tcPr>
          <w:p>
            <w:pPr>
              <w:spacing w:after="0"/>
              <w:rPr>
                <w:sz w:val="21"/>
                <w:szCs w:val="21"/>
                <w:color w:val="auto"/>
              </w:rPr>
            </w:pPr>
          </w:p>
        </w:tc>
        <w:tc>
          <w:tcPr>
            <w:tcW w:w="3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Buildings</w:t>
            </w:r>
          </w:p>
        </w:tc>
        <w:tc>
          <w:tcPr>
            <w:tcW w:w="4640" w:type="dxa"/>
            <w:vAlign w:val="bottom"/>
            <w:shd w:val="clear" w:color="auto" w:fill="CFF0FC"/>
          </w:tcPr>
          <w:p>
            <w:pPr>
              <w:ind w:left="1500"/>
              <w:spacing w:after="0"/>
              <w:rPr>
                <w:sz w:val="20"/>
                <w:szCs w:val="20"/>
                <w:color w:val="auto"/>
              </w:rPr>
            </w:pPr>
            <w:r>
              <w:rPr>
                <w:rFonts w:ascii="Times New Roman" w:cs="Times New Roman" w:eastAsia="Times New Roman" w:hAnsi="Times New Roman"/>
                <w:sz w:val="18"/>
                <w:szCs w:val="18"/>
                <w:color w:val="auto"/>
              </w:rPr>
              <w:t>25-30 years</w:t>
            </w:r>
          </w:p>
        </w:tc>
        <w:tc>
          <w:tcPr>
            <w:tcW w:w="1680" w:type="dxa"/>
            <w:vAlign w:val="bottom"/>
          </w:tcPr>
          <w:p>
            <w:pPr>
              <w:spacing w:after="0"/>
              <w:rPr>
                <w:sz w:val="21"/>
                <w:szCs w:val="21"/>
                <w:color w:val="auto"/>
              </w:rPr>
            </w:pPr>
          </w:p>
        </w:tc>
      </w:tr>
      <w:tr>
        <w:trPr>
          <w:trHeight w:val="239"/>
        </w:trPr>
        <w:tc>
          <w:tcPr>
            <w:tcW w:w="1700" w:type="dxa"/>
            <w:vAlign w:val="bottom"/>
          </w:tcPr>
          <w:p>
            <w:pPr>
              <w:spacing w:after="0"/>
              <w:rPr>
                <w:sz w:val="20"/>
                <w:szCs w:val="20"/>
                <w:color w:val="auto"/>
              </w:rPr>
            </w:pPr>
          </w:p>
        </w:tc>
        <w:tc>
          <w:tcPr>
            <w:tcW w:w="3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464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3-5 years</w:t>
            </w:r>
          </w:p>
        </w:tc>
        <w:tc>
          <w:tcPr>
            <w:tcW w:w="1680" w:type="dxa"/>
            <w:vAlign w:val="bottom"/>
          </w:tcPr>
          <w:p>
            <w:pPr>
              <w:spacing w:after="0"/>
              <w:rPr>
                <w:sz w:val="20"/>
                <w:szCs w:val="20"/>
                <w:color w:val="auto"/>
              </w:rPr>
            </w:pPr>
          </w:p>
        </w:tc>
      </w:tr>
      <w:tr>
        <w:trPr>
          <w:trHeight w:val="247"/>
        </w:trPr>
        <w:tc>
          <w:tcPr>
            <w:tcW w:w="1700" w:type="dxa"/>
            <w:vAlign w:val="bottom"/>
          </w:tcPr>
          <w:p>
            <w:pPr>
              <w:spacing w:after="0"/>
              <w:rPr>
                <w:sz w:val="21"/>
                <w:szCs w:val="21"/>
                <w:color w:val="auto"/>
              </w:rPr>
            </w:pPr>
          </w:p>
        </w:tc>
        <w:tc>
          <w:tcPr>
            <w:tcW w:w="3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Furniture and equipment</w:t>
            </w:r>
          </w:p>
        </w:tc>
        <w:tc>
          <w:tcPr>
            <w:tcW w:w="4640" w:type="dxa"/>
            <w:vAlign w:val="bottom"/>
            <w:shd w:val="clear" w:color="auto" w:fill="CFF0FC"/>
          </w:tcPr>
          <w:p>
            <w:pPr>
              <w:ind w:left="1500"/>
              <w:spacing w:after="0"/>
              <w:rPr>
                <w:sz w:val="20"/>
                <w:szCs w:val="20"/>
                <w:color w:val="auto"/>
              </w:rPr>
            </w:pPr>
            <w:r>
              <w:rPr>
                <w:rFonts w:ascii="Times New Roman" w:cs="Times New Roman" w:eastAsia="Times New Roman" w:hAnsi="Times New Roman"/>
                <w:sz w:val="18"/>
                <w:szCs w:val="18"/>
                <w:color w:val="auto"/>
              </w:rPr>
              <w:t>5-7 years</w:t>
            </w:r>
          </w:p>
        </w:tc>
        <w:tc>
          <w:tcPr>
            <w:tcW w:w="1680" w:type="dxa"/>
            <w:vAlign w:val="bottom"/>
          </w:tcPr>
          <w:p>
            <w:pPr>
              <w:spacing w:after="0"/>
              <w:rPr>
                <w:sz w:val="21"/>
                <w:szCs w:val="21"/>
                <w:color w:val="auto"/>
              </w:rPr>
            </w:pPr>
          </w:p>
        </w:tc>
      </w:tr>
      <w:tr>
        <w:trPr>
          <w:trHeight w:val="234"/>
        </w:trPr>
        <w:tc>
          <w:tcPr>
            <w:tcW w:w="1700" w:type="dxa"/>
            <w:vAlign w:val="bottom"/>
          </w:tcPr>
          <w:p>
            <w:pPr>
              <w:spacing w:after="0"/>
              <w:rPr>
                <w:sz w:val="20"/>
                <w:szCs w:val="20"/>
                <w:color w:val="auto"/>
              </w:rPr>
            </w:pPr>
          </w:p>
        </w:tc>
        <w:tc>
          <w:tcPr>
            <w:tcW w:w="3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Leasehold improvements</w:t>
            </w:r>
          </w:p>
        </w:tc>
        <w:tc>
          <w:tcPr>
            <w:tcW w:w="464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remainder of lease term</w:t>
            </w:r>
          </w:p>
        </w:tc>
        <w:tc>
          <w:tcPr>
            <w:tcW w:w="1680" w:type="dxa"/>
            <w:vAlign w:val="bottom"/>
          </w:tcPr>
          <w:p>
            <w:pPr>
              <w:spacing w:after="0"/>
              <w:rPr>
                <w:sz w:val="20"/>
                <w:szCs w:val="20"/>
                <w:color w:val="auto"/>
              </w:rPr>
            </w:pPr>
          </w:p>
        </w:tc>
      </w:tr>
      <w:tr>
        <w:trPr>
          <w:trHeight w:val="441"/>
        </w:trPr>
        <w:tc>
          <w:tcPr>
            <w:tcW w:w="17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6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12</w:t>
            </w:r>
          </w:p>
        </w:tc>
        <w:tc>
          <w:tcPr>
            <w:tcW w:w="1680" w:type="dxa"/>
            <w:vAlign w:val="bottom"/>
          </w:tcPr>
          <w:p>
            <w:pPr>
              <w:spacing w:after="0"/>
              <w:rPr>
                <w:sz w:val="24"/>
                <w:szCs w:val="24"/>
                <w:color w:val="auto"/>
              </w:rPr>
            </w:pPr>
          </w:p>
        </w:tc>
      </w:tr>
      <w:tr>
        <w:trPr>
          <w:trHeight w:val="749"/>
        </w:trPr>
        <w:tc>
          <w:tcPr>
            <w:tcW w:w="170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76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Fixed assets consisted of the following (in thousands):</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7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6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43"/>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300" w:type="dxa"/>
            <w:vAlign w:val="bottom"/>
            <w:shd w:val="clear" w:color="auto" w:fill="CFF0FC"/>
          </w:tcPr>
          <w:p>
            <w:pPr>
              <w:spacing w:after="0"/>
              <w:rPr>
                <w:sz w:val="21"/>
                <w:szCs w:val="21"/>
                <w:color w:val="auto"/>
              </w:rPr>
            </w:pPr>
          </w:p>
        </w:tc>
        <w:tc>
          <w:tcPr>
            <w:tcW w:w="580" w:type="dxa"/>
            <w:vAlign w:val="bottom"/>
            <w:tcBorders>
              <w:top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22,490</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22,490</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18,967</w:t>
            </w:r>
          </w:p>
        </w:tc>
        <w:tc>
          <w:tcPr>
            <w:tcW w:w="3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10,950</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equipment</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5,344</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3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8,741</w:t>
            </w:r>
          </w:p>
        </w:tc>
        <w:tc>
          <w:tcPr>
            <w:tcW w:w="100" w:type="dxa"/>
            <w:vAlign w:val="bottom"/>
          </w:tcPr>
          <w:p>
            <w:pPr>
              <w:spacing w:after="0"/>
              <w:rPr>
                <w:sz w:val="20"/>
                <w:szCs w:val="20"/>
                <w:color w:val="auto"/>
              </w:rPr>
            </w:pPr>
          </w:p>
        </w:tc>
      </w:tr>
      <w:tr>
        <w:trPr>
          <w:trHeight w:val="243"/>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(9,399 )</w:t>
            </w:r>
          </w:p>
        </w:tc>
        <w:tc>
          <w:tcPr>
            <w:tcW w:w="5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(7,642 )</w:t>
            </w:r>
          </w:p>
        </w:tc>
      </w:tr>
      <w:tr>
        <w:trPr>
          <w:trHeight w:val="241"/>
        </w:trPr>
        <w:tc>
          <w:tcPr>
            <w:tcW w:w="76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fixed assets, net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42,567</w:t>
            </w:r>
          </w:p>
        </w:tc>
        <w:tc>
          <w:tcPr>
            <w:tcW w:w="300" w:type="dxa"/>
            <w:vAlign w:val="bottom"/>
            <w:tcBorders>
              <w:top w:val="single" w:sz="8" w:color="CFF0FC"/>
            </w:tcBorders>
          </w:tcPr>
          <w:p>
            <w:pPr>
              <w:spacing w:after="0"/>
              <w:rPr>
                <w:sz w:val="20"/>
                <w:szCs w:val="20"/>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42,143</w:t>
            </w:r>
          </w:p>
        </w:tc>
        <w:tc>
          <w:tcPr>
            <w:tcW w:w="100" w:type="dxa"/>
            <w:vAlign w:val="bottom"/>
            <w:tcBorders>
              <w:top w:val="single" w:sz="8" w:color="CFF0FC"/>
            </w:tcBorders>
          </w:tcPr>
          <w:p>
            <w:pPr>
              <w:spacing w:after="0"/>
              <w:rPr>
                <w:sz w:val="20"/>
                <w:szCs w:val="20"/>
                <w:color w:val="auto"/>
              </w:rPr>
            </w:pPr>
          </w:p>
        </w:tc>
      </w:tr>
      <w:tr>
        <w:trPr>
          <w:trHeight w:val="20"/>
        </w:trPr>
        <w:tc>
          <w:tcPr>
            <w:tcW w:w="7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-187960</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240" w:firstLine="524"/>
        <w:spacing w:after="0" w:line="282" w:lineRule="auto"/>
        <w:rPr>
          <w:sz w:val="20"/>
          <w:szCs w:val="20"/>
          <w:color w:val="auto"/>
        </w:rPr>
      </w:pPr>
      <w:r>
        <w:rPr>
          <w:rFonts w:ascii="Times New Roman" w:cs="Times New Roman" w:eastAsia="Times New Roman" w:hAnsi="Times New Roman"/>
          <w:sz w:val="18"/>
          <w:szCs w:val="18"/>
          <w:color w:val="auto"/>
        </w:rPr>
        <w:t>Depreciation expense for the three months ended June 30, 2024 and 2023 was $964,000 and $652,000, respectively. Depreciation expense for the six months ended June 30, 2024 and 2023 was $1,797,000 and $1,278,000,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21" w:lineRule="exact"/>
        <w:rPr>
          <w:sz w:val="20"/>
          <w:szCs w:val="20"/>
          <w:color w:val="auto"/>
        </w:rPr>
      </w:pPr>
    </w:p>
    <w:p>
      <w:pPr>
        <w:ind w:right="80" w:firstLine="524"/>
        <w:spacing w:after="0" w:line="258" w:lineRule="auto"/>
        <w:rPr>
          <w:sz w:val="20"/>
          <w:szCs w:val="20"/>
          <w:color w:val="auto"/>
        </w:rPr>
      </w:pPr>
      <w:r>
        <w:rPr>
          <w:rFonts w:ascii="Times New Roman" w:cs="Times New Roman" w:eastAsia="Times New Roman" w:hAnsi="Times New Roman"/>
          <w:sz w:val="18"/>
          <w:szCs w:val="18"/>
          <w:color w:val="auto"/>
        </w:rPr>
        <w:t>Long-lived assets such as fixed assets and intangible assets subject to amortization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for the amount by which the carrying amount of the asset exceeds the fair value of the asset. No impairment charges have been recorded for the three and six months ended June 30, 2024 and 2023.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firstLine="524"/>
        <w:spacing w:after="0" w:line="253" w:lineRule="auto"/>
        <w:rPr>
          <w:sz w:val="20"/>
          <w:szCs w:val="20"/>
          <w:color w:val="auto"/>
        </w:rPr>
      </w:pPr>
      <w:r>
        <w:rPr>
          <w:rFonts w:ascii="Times New Roman" w:cs="Times New Roman" w:eastAsia="Times New Roman" w:hAnsi="Times New Roman"/>
          <w:sz w:val="18"/>
          <w:szCs w:val="18"/>
          <w:color w:val="auto"/>
        </w:rPr>
        <w:t>The Company uses the liability method in accounting for income taxes as required by ASC Topic 740 — Income Taxes, under which deferred tax assets and liabilities are recorded for the future tax consequences attributable to the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unless it is more likely than not that such assets will be realized. The ultimate realization of deferred tax assets is dependent upon the generation of future taxable income during the periods in which those temporary differences become deductible. Management considers the scheduled reversal of deferred tax liabilities, available taxes in the carryback periods, projected future taxable income and tax planning strategies in making this assessment. Accordingly, the Company has provided a full valuation allowance to offset the net deferred tax assets at June 30, 2024 and December 31, 2023.</w:t>
      </w:r>
    </w:p>
    <w:p>
      <w:pPr>
        <w:spacing w:after="0" w:line="86" w:lineRule="exact"/>
        <w:rPr>
          <w:sz w:val="20"/>
          <w:szCs w:val="20"/>
          <w:color w:val="auto"/>
        </w:rPr>
      </w:pPr>
    </w:p>
    <w:p>
      <w:pPr>
        <w:jc w:val="both"/>
        <w:ind w:firstLine="524"/>
        <w:spacing w:after="0" w:line="266" w:lineRule="auto"/>
        <w:rPr>
          <w:sz w:val="20"/>
          <w:szCs w:val="20"/>
          <w:color w:val="auto"/>
        </w:rPr>
      </w:pPr>
      <w:r>
        <w:rPr>
          <w:rFonts w:ascii="Times New Roman" w:cs="Times New Roman" w:eastAsia="Times New Roman" w:hAnsi="Times New Roman"/>
          <w:sz w:val="18"/>
          <w:szCs w:val="18"/>
          <w:color w:val="auto"/>
        </w:rPr>
        <w:t>Interest and penalties related to income taxes are included in the expense for income taxes in the Company’s Condensed Consolidated Statements of Operations and Comprehensive Loss. The Company has not incurred any significant interest or penalties related to income taxes in any of the periods presented.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jc w:val="both"/>
        <w:ind w:firstLine="524"/>
        <w:spacing w:after="0" w:line="222" w:lineRule="exact"/>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the principal or most advantageous market for the asset or liability in an orderly transaction between market participants at the measurement date.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level fair value hierarchy that prioritizes the inputs used to measure fair value is described below. The three levels of inputs used to measure fair value are as follows:</w:t>
      </w:r>
    </w:p>
    <w:p>
      <w:pPr>
        <w:spacing w:after="0" w:line="199"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Unadjusted quoted prices in active markets for identical assets or liabilities</w:t>
      </w:r>
    </w:p>
    <w:p>
      <w:pPr>
        <w:spacing w:after="0" w:line="2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included within Level 1 that are either directly or indirectly observable through correlation with market data</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data, which require the reporting entity to develop its own assumptions</w:t>
      </w:r>
    </w:p>
    <w:p>
      <w:pPr>
        <w:spacing w:after="0" w:line="99" w:lineRule="exact"/>
        <w:rPr>
          <w:sz w:val="20"/>
          <w:szCs w:val="20"/>
          <w:color w:val="auto"/>
        </w:rPr>
      </w:pPr>
    </w:p>
    <w:p>
      <w:pPr>
        <w:jc w:val="both"/>
        <w:ind w:firstLine="524"/>
        <w:spacing w:after="0" w:line="254" w:lineRule="auto"/>
        <w:rPr>
          <w:sz w:val="20"/>
          <w:szCs w:val="20"/>
          <w:color w:val="auto"/>
        </w:rPr>
      </w:pPr>
      <w:r>
        <w:rPr>
          <w:rFonts w:ascii="Times New Roman" w:cs="Times New Roman" w:eastAsia="Times New Roman" w:hAnsi="Times New Roman"/>
          <w:sz w:val="18"/>
          <w:szCs w:val="18"/>
          <w:color w:val="auto"/>
        </w:rPr>
        <w:t>For assets and liabilities recorded at fair value, it is the Company’s policy to maximize the use of observable inputs and minimize the use of unobservable inputs when developing fair value measurements, in accordance with the fair value hierarchy. Fair value measurements for assets and liabilities where there exists limited or no observable market data are based primarily upon estimates and are often calculated based on the economic and competitive environment, the characteristics of the asset or liability and other factors. Therefore, fair value measurements cannot be determined with precision and may not be realized in an actual sale or immediate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 w:name="page15"/>
    <w:bookmarkEnd w:id="14"/>
    <w:p>
      <w:pPr>
        <w:jc w:val="both"/>
        <w:spacing w:after="0" w:line="266" w:lineRule="auto"/>
        <w:rPr>
          <w:sz w:val="20"/>
          <w:szCs w:val="20"/>
          <w:color w:val="auto"/>
        </w:rPr>
      </w:pPr>
      <w:r>
        <w:rPr>
          <w:rFonts w:ascii="Times New Roman" w:cs="Times New Roman" w:eastAsia="Times New Roman" w:hAnsi="Times New Roman"/>
          <w:sz w:val="18"/>
          <w:szCs w:val="18"/>
          <w:color w:val="auto"/>
        </w:rPr>
        <w:t>settlement of the asset or liability. Additionally, there may be inherent weaknesses in any calculation technique and changes in the underlying assumptions used, including discount rates and estimates of future cash flows, could significantly affect the calculated current or future fair values. The Company utilizes fair value measurements to record fair value adjustments to certain assets and liabilities and to determine fair value disclosures.</w:t>
      </w:r>
    </w:p>
    <w:p>
      <w:pPr>
        <w:spacing w:after="0" w:line="27" w:lineRule="exact"/>
        <w:rPr>
          <w:sz w:val="20"/>
          <w:szCs w:val="20"/>
          <w:color w:val="auto"/>
        </w:rPr>
      </w:pPr>
    </w:p>
    <w:p>
      <w:pPr>
        <w:jc w:val="both"/>
        <w:ind w:firstLine="524"/>
        <w:spacing w:after="0" w:line="245" w:lineRule="exact"/>
        <w:rPr>
          <w:sz w:val="20"/>
          <w:szCs w:val="20"/>
          <w:color w:val="auto"/>
        </w:rPr>
      </w:pPr>
      <w:r>
        <w:rPr>
          <w:rFonts w:ascii="Times New Roman" w:cs="Times New Roman" w:eastAsia="Times New Roman" w:hAnsi="Times New Roman"/>
          <w:sz w:val="18"/>
          <w:szCs w:val="18"/>
          <w:color w:val="auto"/>
        </w:rPr>
        <w:t>The carrying values of cash equivalents, accounts payable, and accrued liabilities approximate fair value due to the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nature of these instruments.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60" w:firstLine="567"/>
        <w:spacing w:after="0" w:line="254"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Balances recognized related to the Company’s operating and finance leases are included in right-of-use assets, net and lease liabilities in the Condensed Consolidated Balance Sheets. Right of use assets and lease liabilities are recognized based on the present value of the future minimum lease payments over the lease term at commencement date. Lease terms may include options to extend or terminate the lease if it is reasonably certain that the Company will exercise the option. As most of the Company’s leases do not provide an implicit rate, the Company uses its incremental borrowing rate based on the information available at the commencement date in determining the present value of future payments. The right of use asset also includes any lease payments made and excludes lease incentives and initial direct costs incurred. The Company has elected a practical expedient to not separate its lease and non-lease components and instead account for them as a single lease component. Leases with a term of 12 months or less are not recorded on the balance sheet.</w:t>
      </w:r>
    </w:p>
    <w:p>
      <w:pPr>
        <w:spacing w:after="0" w:line="84" w:lineRule="exact"/>
        <w:rPr>
          <w:sz w:val="20"/>
          <w:szCs w:val="20"/>
          <w:color w:val="auto"/>
        </w:rPr>
      </w:pPr>
    </w:p>
    <w:p>
      <w:pPr>
        <w:jc w:val="both"/>
        <w:ind w:firstLine="524"/>
        <w:spacing w:after="0" w:line="266" w:lineRule="auto"/>
        <w:rPr>
          <w:sz w:val="20"/>
          <w:szCs w:val="20"/>
          <w:color w:val="auto"/>
        </w:rPr>
      </w:pPr>
      <w:r>
        <w:rPr>
          <w:rFonts w:ascii="Times New Roman" w:cs="Times New Roman" w:eastAsia="Times New Roman" w:hAnsi="Times New Roman"/>
          <w:sz w:val="18"/>
          <w:szCs w:val="18"/>
          <w:color w:val="auto"/>
        </w:rPr>
        <w:t>Lease expense for minimum lease payments is recognized on a straight-line basis over the lease term. Lease payments for short-term leases are recorded to operating expense on a straight-line basis and variable lease payments are recorded in the period in which the obligation for those payments is incurred.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Liabilities</w:t>
      </w:r>
    </w:p>
    <w:p>
      <w:pPr>
        <w:spacing w:after="0" w:line="121" w:lineRule="exact"/>
        <w:rPr>
          <w:sz w:val="20"/>
          <w:szCs w:val="20"/>
          <w:color w:val="auto"/>
        </w:rPr>
      </w:pPr>
    </w:p>
    <w:p>
      <w:pPr>
        <w:ind w:right="320" w:firstLine="524"/>
        <w:spacing w:after="0" w:line="282" w:lineRule="auto"/>
        <w:rPr>
          <w:sz w:val="20"/>
          <w:szCs w:val="20"/>
          <w:color w:val="auto"/>
        </w:rPr>
      </w:pPr>
      <w:r>
        <w:rPr>
          <w:rFonts w:ascii="Times New Roman" w:cs="Times New Roman" w:eastAsia="Times New Roman" w:hAnsi="Times New Roman"/>
          <w:sz w:val="18"/>
          <w:szCs w:val="18"/>
          <w:color w:val="auto"/>
        </w:rPr>
        <w:t>The Company records reserves for contingent liabilities when it is probable that an asset has been impaired or a liability has been incurred at the date of the financial statements, and the amount of the loss can be reasonably estimated.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Compensation</w:t>
      </w:r>
    </w:p>
    <w:p>
      <w:pPr>
        <w:spacing w:after="0" w:line="121" w:lineRule="exact"/>
        <w:rPr>
          <w:sz w:val="20"/>
          <w:szCs w:val="20"/>
          <w:color w:val="auto"/>
        </w:rPr>
      </w:pPr>
    </w:p>
    <w:p>
      <w:pPr>
        <w:ind w:right="140" w:firstLine="524"/>
        <w:spacing w:after="0" w:line="261" w:lineRule="auto"/>
        <w:rPr>
          <w:sz w:val="20"/>
          <w:szCs w:val="20"/>
          <w:color w:val="auto"/>
        </w:rPr>
      </w:pPr>
      <w:r>
        <w:rPr>
          <w:rFonts w:ascii="Times New Roman" w:cs="Times New Roman" w:eastAsia="Times New Roman" w:hAnsi="Times New Roman"/>
          <w:sz w:val="18"/>
          <w:szCs w:val="18"/>
          <w:color w:val="auto"/>
        </w:rPr>
        <w:t>Compensation expense for equity-based compensation awards issued is based on the fair value of the award at the date of grant, and compensation expense is recognized for time-vested awards earned over the service period on a straight-line basis. The Company recognizes equity-based compensation for options containing performance-based vesting conditions over the requisite service period if it is probable that the performance conditions will be satisfied. The Company records forfeitures of equity-based compensation awards as they occur.</w:t>
      </w:r>
    </w:p>
    <w:p>
      <w:pPr>
        <w:spacing w:after="0" w:line="72" w:lineRule="exact"/>
        <w:rPr>
          <w:sz w:val="20"/>
          <w:szCs w:val="20"/>
          <w:color w:val="auto"/>
        </w:rPr>
      </w:pPr>
    </w:p>
    <w:p>
      <w:pPr>
        <w:ind w:right="60" w:firstLine="524"/>
        <w:spacing w:after="0" w:line="258" w:lineRule="auto"/>
        <w:rPr>
          <w:sz w:val="20"/>
          <w:szCs w:val="20"/>
          <w:color w:val="auto"/>
        </w:rPr>
      </w:pPr>
      <w:r>
        <w:rPr>
          <w:rFonts w:ascii="Times New Roman" w:cs="Times New Roman" w:eastAsia="Times New Roman" w:hAnsi="Times New Roman"/>
          <w:sz w:val="18"/>
          <w:szCs w:val="18"/>
          <w:color w:val="auto"/>
        </w:rPr>
        <w:t>The grant date fair value of time and performance-based stock option awards is estimated using the Black-Scholes option pricing formula. Due to the lack of sufficient historical trading information with respect to its own shares, the Company estimates expected volatility based on a portfolio of selected stocks of companies believed to have market and economic characteristics similar to its own. The risk-free rate is based on the U.S. Treasury yield curve in effect at the time of grant. Due to a lack of historical exercise data, the Company estimates the expected life of its outstanding stock options using the simplified method specified under Staff Accounting Bulletin Topic 14.D.2.</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Company operates in only one segment.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jc w:val="both"/>
        <w:ind w:firstLine="524"/>
        <w:spacing w:after="0" w:line="254" w:lineRule="auto"/>
        <w:rPr>
          <w:sz w:val="20"/>
          <w:szCs w:val="20"/>
          <w:color w:val="auto"/>
        </w:rPr>
      </w:pPr>
      <w:r>
        <w:rPr>
          <w:rFonts w:ascii="Times New Roman" w:cs="Times New Roman" w:eastAsia="Times New Roman" w:hAnsi="Times New Roman"/>
          <w:sz w:val="18"/>
          <w:szCs w:val="18"/>
          <w:color w:val="auto"/>
        </w:rPr>
        <w:t>In March 2024, the Financial Accounting Standards Board (“FASB”) issued a new standard that provides additional guidance for determining whether profits interests and similar awards should be accounted for in accordance with Topic 718, Compensation - Stock Compensation, of the Accounting Standards Codification. The standard will be effective for the Company beginning with our annual reporting for fiscal year 2025 and interim periods in that year, with early adoption permitted. We do not believe that the adoption of this standard will have an impact on the classification of the profits interests that were granted to participants prior to the Business Combination.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b w:val="1"/>
          <w:bCs w:val="1"/>
          <w:color w:val="auto"/>
        </w:rPr>
        <w:t>Note 3: Investments</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Cash equivalents and marketable securities are measured at fair value and within Level 2 in the fair value hierarchy, because we use quoted market prices to the extent available or alternative pricing sources and models utilizing market observable inputs to determine fair value.</w:t>
      </w:r>
    </w:p>
    <w:p>
      <w:pPr>
        <w:spacing w:after="0" w:line="54"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summarize our cash equivalents and marketable securities measured at fair value on a recurring basis as of June 30, 2024 (in thousands):</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Cash</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12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18"/>
                <w:szCs w:val="18"/>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240" w:type="dxa"/>
            <w:vAlign w:val="bottom"/>
          </w:tcPr>
          <w:p>
            <w:pPr>
              <w:spacing w:after="0"/>
              <w:rPr>
                <w:sz w:val="18"/>
                <w:szCs w:val="18"/>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240" w:type="dxa"/>
            <w:vAlign w:val="bottom"/>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Equivalent</w:t>
            </w:r>
          </w:p>
        </w:tc>
        <w:tc>
          <w:tcPr>
            <w:tcW w:w="200" w:type="dxa"/>
            <w:vAlign w:val="bottom"/>
          </w:tcPr>
          <w:p>
            <w:pPr>
              <w:spacing w:after="0"/>
              <w:rPr>
                <w:sz w:val="18"/>
                <w:szCs w:val="18"/>
                <w:color w:val="auto"/>
              </w:rPr>
            </w:pP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Marketabl</w:t>
            </w:r>
          </w:p>
        </w:tc>
      </w:tr>
      <w:tr>
        <w:trPr>
          <w:trHeight w:val="245"/>
        </w:trPr>
        <w:tc>
          <w:tcPr>
            <w:tcW w:w="2540" w:type="dxa"/>
            <w:vAlign w:val="bottom"/>
          </w:tcPr>
          <w:p>
            <w:pPr>
              <w:spacing w:after="0"/>
              <w:rPr>
                <w:sz w:val="21"/>
                <w:szCs w:val="21"/>
                <w:color w:val="auto"/>
              </w:rPr>
            </w:pPr>
          </w:p>
        </w:tc>
        <w:tc>
          <w:tcPr>
            <w:tcW w:w="12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Hierarchy</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40" w:type="dxa"/>
            <w:vAlign w:val="bottom"/>
          </w:tcPr>
          <w:p>
            <w:pPr>
              <w:spacing w:after="0"/>
              <w:rPr>
                <w:sz w:val="21"/>
                <w:szCs w:val="21"/>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w:t>
            </w:r>
          </w:p>
        </w:tc>
        <w:tc>
          <w:tcPr>
            <w:tcW w:w="200" w:type="dxa"/>
            <w:vAlign w:val="bottom"/>
          </w:tcPr>
          <w:p>
            <w:pPr>
              <w:spacing w:after="0"/>
              <w:rPr>
                <w:sz w:val="21"/>
                <w:szCs w:val="21"/>
                <w:color w:val="auto"/>
              </w:rPr>
            </w:pPr>
          </w:p>
        </w:tc>
        <w:tc>
          <w:tcPr>
            <w:tcW w:w="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e Securities</w:t>
            </w:r>
          </w:p>
        </w:tc>
        <w:tc>
          <w:tcPr>
            <w:tcW w:w="100" w:type="dxa"/>
            <w:vAlign w:val="bottom"/>
          </w:tcPr>
          <w:p>
            <w:pPr>
              <w:spacing w:after="0"/>
              <w:rPr>
                <w:sz w:val="21"/>
                <w:szCs w:val="21"/>
                <w:color w:val="auto"/>
              </w:rPr>
            </w:pPr>
          </w:p>
        </w:tc>
      </w:tr>
      <w:tr>
        <w:trPr>
          <w:trHeight w:val="243"/>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3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4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3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4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(2 )</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29,622</w:t>
            </w:r>
          </w:p>
        </w:tc>
        <w:tc>
          <w:tcPr>
            <w:tcW w:w="100" w:type="dxa"/>
            <w:vAlign w:val="bottom"/>
          </w:tcPr>
          <w:p>
            <w:pPr>
              <w:spacing w:after="0"/>
              <w:rPr>
                <w:sz w:val="20"/>
                <w:szCs w:val="20"/>
                <w:color w:val="auto"/>
              </w:rPr>
            </w:pPr>
          </w:p>
        </w:tc>
      </w:tr>
      <w:tr>
        <w:trPr>
          <w:trHeight w:val="247"/>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40,866</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(5 )</w:t>
            </w: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40,882</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40,882</w:t>
            </w:r>
          </w:p>
        </w:tc>
        <w:tc>
          <w:tcPr>
            <w:tcW w:w="100" w:type="dxa"/>
            <w:vAlign w:val="bottom"/>
            <w:shd w:val="clear" w:color="auto" w:fill="CFF0FC"/>
          </w:tcPr>
          <w:p>
            <w:pPr>
              <w:spacing w:after="0"/>
              <w:rPr>
                <w:sz w:val="21"/>
                <w:szCs w:val="21"/>
                <w:color w:val="auto"/>
              </w:rPr>
            </w:pPr>
          </w:p>
        </w:tc>
      </w:tr>
      <w:tr>
        <w:trPr>
          <w:trHeight w:val="239"/>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backed securities</w:t>
            </w: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(1 )</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100" w:type="dxa"/>
            <w:vAlign w:val="bottom"/>
          </w:tcPr>
          <w:p>
            <w:pPr>
              <w:spacing w:after="0"/>
              <w:rPr>
                <w:sz w:val="20"/>
                <w:szCs w:val="20"/>
                <w:color w:val="auto"/>
              </w:rPr>
            </w:pPr>
          </w:p>
        </w:tc>
      </w:tr>
      <w:tr>
        <w:trPr>
          <w:trHeight w:val="247"/>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Government bonds</w:t>
            </w:r>
          </w:p>
        </w:tc>
        <w:tc>
          <w:tcPr>
            <w:tcW w:w="1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37,835</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(41 )</w:t>
            </w: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37,794</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16,923</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20,871</w:t>
            </w:r>
          </w:p>
        </w:tc>
        <w:tc>
          <w:tcPr>
            <w:tcW w:w="100" w:type="dxa"/>
            <w:vAlign w:val="bottom"/>
            <w:shd w:val="clear" w:color="auto" w:fill="CFF0FC"/>
          </w:tcPr>
          <w:p>
            <w:pPr>
              <w:spacing w:after="0"/>
              <w:rPr>
                <w:sz w:val="21"/>
                <w:szCs w:val="21"/>
                <w:color w:val="auto"/>
              </w:rPr>
            </w:pPr>
          </w:p>
        </w:tc>
      </w:tr>
      <w:tr>
        <w:trPr>
          <w:trHeight w:val="239"/>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123,017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(88 )</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123,013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123,013</w:t>
            </w:r>
          </w:p>
        </w:tc>
        <w:tc>
          <w:tcPr>
            <w:tcW w:w="100" w:type="dxa"/>
            <w:vAlign w:val="bottom"/>
          </w:tcPr>
          <w:p>
            <w:pPr>
              <w:spacing w:after="0"/>
              <w:rPr>
                <w:sz w:val="20"/>
                <w:szCs w:val="20"/>
                <w:color w:val="auto"/>
              </w:rPr>
            </w:pPr>
          </w:p>
        </w:tc>
      </w:tr>
      <w:tr>
        <w:trPr>
          <w:trHeight w:val="20"/>
        </w:trPr>
        <w:tc>
          <w:tcPr>
            <w:tcW w:w="2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1"/>
        </w:trPr>
        <w:tc>
          <w:tcPr>
            <w:tcW w:w="25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236,283</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(137 )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236,267</w:t>
            </w:r>
          </w:p>
        </w:tc>
        <w:tc>
          <w:tcPr>
            <w:tcW w:w="3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19,244</w:t>
            </w:r>
          </w:p>
        </w:tc>
        <w:tc>
          <w:tcPr>
            <w:tcW w:w="4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217,023</w:t>
            </w:r>
          </w:p>
        </w:tc>
        <w:tc>
          <w:tcPr>
            <w:tcW w:w="100" w:type="dxa"/>
            <w:vAlign w:val="bottom"/>
            <w:shd w:val="clear" w:color="auto" w:fill="CFF0FC"/>
          </w:tcPr>
          <w:p>
            <w:pPr>
              <w:spacing w:after="0"/>
              <w:rPr>
                <w:sz w:val="22"/>
                <w:szCs w:val="22"/>
                <w:color w:val="auto"/>
              </w:rPr>
            </w:pPr>
          </w:p>
        </w:tc>
      </w:tr>
      <w:tr>
        <w:trPr>
          <w:trHeight w:val="20"/>
        </w:trPr>
        <w:tc>
          <w:tcPr>
            <w:tcW w:w="254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-24765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-24765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-7620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-24765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-7620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-24765</wp:posOffset>
            </wp:positionV>
            <wp:extent cx="603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wp:posOffset>
            </wp:positionV>
            <wp:extent cx="603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-24765</wp:posOffset>
            </wp:positionV>
            <wp:extent cx="596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wp:posOffset>
            </wp:positionV>
            <wp:extent cx="596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-24765</wp:posOffset>
            </wp:positionV>
            <wp:extent cx="596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-7620</wp:posOffset>
            </wp:positionV>
            <wp:extent cx="596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shows the fair value of the Company’s cash equivalents and marketable securities, by contractual maturity, as of June 30, 2024 (in thousands):</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45"/>
        </w:trPr>
        <w:tc>
          <w:tcPr>
            <w:tcW w:w="6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6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43"/>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Due in 1 year or less</w:t>
            </w:r>
          </w:p>
        </w:tc>
        <w:tc>
          <w:tcPr>
            <w:tcW w:w="720" w:type="dxa"/>
            <w:vAlign w:val="bottom"/>
            <w:tcBorders>
              <w:top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2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215,231</w:t>
            </w:r>
          </w:p>
        </w:tc>
        <w:tc>
          <w:tcPr>
            <w:tcW w:w="100" w:type="dxa"/>
            <w:vAlign w:val="bottom"/>
            <w:shd w:val="clear" w:color="auto" w:fill="CFF0FC"/>
          </w:tcPr>
          <w:p>
            <w:pPr>
              <w:spacing w:after="0"/>
              <w:rPr>
                <w:sz w:val="21"/>
                <w:szCs w:val="21"/>
                <w:color w:val="auto"/>
              </w:rPr>
            </w:pPr>
          </w:p>
        </w:tc>
      </w:tr>
      <w:tr>
        <w:trPr>
          <w:trHeight w:val="23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in 1 year through 5 years</w:t>
            </w:r>
          </w:p>
        </w:tc>
        <w:tc>
          <w:tcPr>
            <w:tcW w:w="7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21,036</w:t>
            </w:r>
          </w:p>
        </w:tc>
        <w:tc>
          <w:tcPr>
            <w:tcW w:w="100" w:type="dxa"/>
            <w:vAlign w:val="bottom"/>
          </w:tcPr>
          <w:p>
            <w:pPr>
              <w:spacing w:after="0"/>
              <w:rPr>
                <w:sz w:val="20"/>
                <w:szCs w:val="20"/>
                <w:color w:val="auto"/>
              </w:rPr>
            </w:pPr>
          </w:p>
        </w:tc>
      </w:tr>
      <w:tr>
        <w:trPr>
          <w:trHeight w:val="281"/>
        </w:trPr>
        <w:tc>
          <w:tcPr>
            <w:tcW w:w="67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2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236,267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6863080</wp:posOffset>
            </wp:positionH>
            <wp:positionV relativeFrom="paragraph">
              <wp:posOffset>-24765</wp:posOffset>
            </wp:positionV>
            <wp:extent cx="5969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-7620</wp:posOffset>
            </wp:positionV>
            <wp:extent cx="596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86"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shows fair values and gross unrealized losses recorded to accumulated other comprehensive income, aggregated by category and the length of time that individual securities have been in a continuous loss position as of June 30, 2024 (in thousands):</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45"/>
        </w:trPr>
        <w:tc>
          <w:tcPr>
            <w:tcW w:w="28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34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12 Months or Greater</w:t>
            </w:r>
          </w:p>
        </w:tc>
        <w:tc>
          <w:tcPr>
            <w:tcW w:w="1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00" w:type="dxa"/>
            <w:vAlign w:val="bottom"/>
          </w:tcPr>
          <w:p>
            <w:pPr>
              <w:spacing w:after="0"/>
              <w:rPr>
                <w:sz w:val="18"/>
                <w:szCs w:val="18"/>
                <w:color w:val="auto"/>
              </w:rPr>
            </w:pPr>
          </w:p>
        </w:tc>
      </w:tr>
      <w:tr>
        <w:trPr>
          <w:trHeight w:val="245"/>
        </w:trPr>
        <w:tc>
          <w:tcPr>
            <w:tcW w:w="28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Loss</w:t>
            </w:r>
          </w:p>
        </w:tc>
        <w:tc>
          <w:tcPr>
            <w:tcW w:w="34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Pr>
          <w:p>
            <w:pPr>
              <w:spacing w:after="0"/>
              <w:rPr>
                <w:sz w:val="21"/>
                <w:szCs w:val="21"/>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00" w:type="dxa"/>
            <w:vAlign w:val="bottom"/>
          </w:tcPr>
          <w:p>
            <w:pPr>
              <w:spacing w:after="0"/>
              <w:rPr>
                <w:sz w:val="21"/>
                <w:szCs w:val="21"/>
                <w:color w:val="auto"/>
              </w:rPr>
            </w:pPr>
          </w:p>
        </w:tc>
      </w:tr>
      <w:tr>
        <w:trPr>
          <w:trHeight w:val="243"/>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920" w:type="dxa"/>
            <w:vAlign w:val="bottom"/>
            <w:gridSpan w:val="2"/>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(2 )</w:t>
            </w:r>
          </w:p>
        </w:tc>
      </w:tr>
      <w:tr>
        <w:trPr>
          <w:trHeight w:val="239"/>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9,526</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Pr>
          <w:p>
            <w:pPr>
              <w:spacing w:after="0"/>
              <w:rPr>
                <w:sz w:val="20"/>
                <w:szCs w:val="20"/>
                <w:color w:val="auto"/>
              </w:rPr>
            </w:pPr>
          </w:p>
        </w:tc>
        <w:tc>
          <w:tcPr>
            <w:tcW w:w="94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(5 )</w:t>
            </w:r>
          </w:p>
        </w:tc>
      </w:tr>
      <w:tr>
        <w:trPr>
          <w:trHeight w:val="247"/>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 backed securities</w:t>
            </w: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2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r>
      <w:tr>
        <w:trPr>
          <w:trHeight w:val="239"/>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bonds</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26,868</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(41 )</w:t>
            </w:r>
          </w:p>
        </w:tc>
        <w:tc>
          <w:tcPr>
            <w:tcW w:w="120" w:type="dxa"/>
            <w:vAlign w:val="bottom"/>
          </w:tcPr>
          <w:p>
            <w:pPr>
              <w:spacing w:after="0"/>
              <w:rPr>
                <w:sz w:val="20"/>
                <w:szCs w:val="20"/>
                <w:color w:val="auto"/>
              </w:rPr>
            </w:pPr>
          </w:p>
        </w:tc>
        <w:tc>
          <w:tcPr>
            <w:tcW w:w="94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(41 )</w:t>
            </w:r>
          </w:p>
        </w:tc>
      </w:tr>
      <w:tr>
        <w:trPr>
          <w:trHeight w:val="243"/>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48,586</w:t>
            </w:r>
          </w:p>
        </w:tc>
        <w:tc>
          <w:tcPr>
            <w:tcW w:w="2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(88 )</w:t>
            </w: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48,586</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(88 )</w:t>
            </w:r>
          </w:p>
        </w:tc>
      </w:tr>
      <w:tr>
        <w:trPr>
          <w:trHeight w:val="20"/>
        </w:trPr>
        <w:tc>
          <w:tcPr>
            <w:tcW w:w="28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41"/>
        </w:trPr>
        <w:tc>
          <w:tcPr>
            <w:tcW w:w="2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90,674</w:t>
            </w:r>
          </w:p>
        </w:tc>
        <w:tc>
          <w:tcPr>
            <w:tcW w:w="220" w:type="dxa"/>
            <w:vAlign w:val="bottom"/>
          </w:tcPr>
          <w:p>
            <w:pPr>
              <w:spacing w:after="0"/>
              <w:rPr>
                <w:sz w:val="20"/>
                <w:szCs w:val="20"/>
                <w:color w:val="auto"/>
              </w:rPr>
            </w:pPr>
          </w:p>
        </w:tc>
        <w:tc>
          <w:tcPr>
            <w:tcW w:w="7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1"/>
              </w:rPr>
              <w:t>(137 )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90,674</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(137 )</w:t>
            </w:r>
          </w:p>
        </w:tc>
      </w:tr>
      <w:tr>
        <w:trPr>
          <w:trHeight w:val="20"/>
        </w:trPr>
        <w:tc>
          <w:tcPr>
            <w:tcW w:w="2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-187960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-187960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-187960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-187960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-187960</wp:posOffset>
            </wp:positionV>
            <wp:extent cx="596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-187960</wp:posOffset>
            </wp:positionV>
            <wp:extent cx="596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Company holds debt securities of companies with high credit quality and has determined that there was no material change in the credit risk of its debt securities during the three and six months ended June 30, 2024 and 2023. As such, the Company has not recognized an allowance for credit losses related to our marketable debt securities during the three and six months ended June 30, 2024 and 2023.</w:t>
      </w:r>
    </w:p>
    <w:p>
      <w:pPr>
        <w:spacing w:after="0" w:line="2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 Income Taxes</w:t>
      </w:r>
    </w:p>
    <w:p>
      <w:pPr>
        <w:spacing w:after="0" w:line="121" w:lineRule="exact"/>
        <w:rPr>
          <w:sz w:val="20"/>
          <w:szCs w:val="20"/>
          <w:color w:val="auto"/>
        </w:rPr>
      </w:pPr>
    </w:p>
    <w:p>
      <w:pPr>
        <w:jc w:val="both"/>
        <w:ind w:firstLine="524"/>
        <w:spacing w:after="0" w:line="282" w:lineRule="auto"/>
        <w:rPr>
          <w:sz w:val="20"/>
          <w:szCs w:val="20"/>
          <w:color w:val="auto"/>
        </w:rPr>
      </w:pPr>
      <w:r>
        <w:rPr>
          <w:rFonts w:ascii="Times New Roman" w:cs="Times New Roman" w:eastAsia="Times New Roman" w:hAnsi="Times New Roman"/>
          <w:sz w:val="18"/>
          <w:szCs w:val="18"/>
          <w:color w:val="auto"/>
        </w:rPr>
        <w:t>ProKidney is considered to be an exempted Cayman Islands company and is presently not subject to income taxes or income tax filing requirements in the Cayman Islands or the United States.</w:t>
      </w:r>
    </w:p>
    <w:p>
      <w:pPr>
        <w:spacing w:after="0" w:line="54" w:lineRule="exact"/>
        <w:rPr>
          <w:sz w:val="20"/>
          <w:szCs w:val="20"/>
          <w:color w:val="auto"/>
        </w:rPr>
      </w:pPr>
    </w:p>
    <w:p>
      <w:pPr>
        <w:jc w:val="both"/>
        <w:ind w:firstLine="524"/>
        <w:spacing w:after="0" w:line="266" w:lineRule="auto"/>
        <w:rPr>
          <w:sz w:val="20"/>
          <w:szCs w:val="20"/>
          <w:color w:val="auto"/>
        </w:rPr>
      </w:pPr>
      <w:r>
        <w:rPr>
          <w:rFonts w:ascii="Times New Roman" w:cs="Times New Roman" w:eastAsia="Times New Roman" w:hAnsi="Times New Roman"/>
          <w:sz w:val="18"/>
          <w:szCs w:val="18"/>
          <w:color w:val="auto"/>
        </w:rPr>
        <w:t>The Company’s subsidiary, PKLP, is organized as a limited partnership and is classified as a partnership for U.S. income tax purposes, and as such, only records a provision for federal and state income taxes on its subsidiaries organized as C corporations or which have elected to be treated as corporations for U.S. federal income tax purposes.</w:t>
      </w:r>
    </w:p>
    <w:p>
      <w:pPr>
        <w:spacing w:after="0" w:line="68" w:lineRule="exact"/>
        <w:rPr>
          <w:sz w:val="20"/>
          <w:szCs w:val="20"/>
          <w:color w:val="auto"/>
        </w:rPr>
      </w:pPr>
    </w:p>
    <w:p>
      <w:pPr>
        <w:jc w:val="both"/>
        <w:ind w:firstLine="524"/>
        <w:spacing w:after="0" w:line="257" w:lineRule="auto"/>
        <w:rPr>
          <w:sz w:val="20"/>
          <w:szCs w:val="20"/>
          <w:color w:val="auto"/>
        </w:rPr>
      </w:pPr>
      <w:r>
        <w:rPr>
          <w:rFonts w:ascii="Times New Roman" w:cs="Times New Roman" w:eastAsia="Times New Roman" w:hAnsi="Times New Roman"/>
          <w:sz w:val="18"/>
          <w:szCs w:val="18"/>
          <w:color w:val="auto"/>
        </w:rPr>
        <w:t>The Company’s subsidiary, ProKidney-US, is treated as a C corporation, and therefore a provision for federal and state taxes has been recorded. The difference between the Company’s effective tax rates and the U.S. statutory rate of 21% is primarily attributable to PKLP and ProKidney-KY being treated as partnerships for income tax purposes.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6" w:name="page17"/>
    <w:bookmarkEnd w:id="16"/>
    <w:p>
      <w:pPr>
        <w:jc w:val="both"/>
        <w:ind w:firstLine="524"/>
        <w:spacing w:after="0" w:line="261" w:lineRule="auto"/>
        <w:rPr>
          <w:sz w:val="20"/>
          <w:szCs w:val="20"/>
          <w:color w:val="auto"/>
        </w:rPr>
      </w:pPr>
      <w:r>
        <w:rPr>
          <w:rFonts w:ascii="Times New Roman" w:cs="Times New Roman" w:eastAsia="Times New Roman" w:hAnsi="Times New Roman"/>
          <w:sz w:val="18"/>
          <w:szCs w:val="18"/>
          <w:color w:val="auto"/>
        </w:rPr>
        <w:t>The Company’s subsidiary, ProKidney-KY, has been granted, by the Government in Council of the Cayman Islands, tax concessions under an undertaking certificate exempting it from any tax levied on profits, income, gains or appreciations in relation to its operations or in the nature of estate duty or inheritance tax for a period of twenty years from January 20, 2016. ProKidney-KY elected to be treated as an entity disregarded from its owner for U.S. tax purposes, and as a result, it has not recorded an income tax provision.</w:t>
      </w:r>
    </w:p>
    <w:p>
      <w:pPr>
        <w:spacing w:after="0" w:line="72" w:lineRule="exact"/>
        <w:rPr>
          <w:sz w:val="20"/>
          <w:szCs w:val="20"/>
          <w:color w:val="auto"/>
        </w:rPr>
      </w:pPr>
    </w:p>
    <w:p>
      <w:pPr>
        <w:jc w:val="both"/>
        <w:ind w:firstLine="524"/>
        <w:spacing w:after="0" w:line="258" w:lineRule="auto"/>
        <w:rPr>
          <w:sz w:val="20"/>
          <w:szCs w:val="20"/>
          <w:color w:val="auto"/>
        </w:rPr>
      </w:pPr>
      <w:r>
        <w:rPr>
          <w:rFonts w:ascii="Times New Roman" w:cs="Times New Roman" w:eastAsia="Times New Roman" w:hAnsi="Times New Roman"/>
          <w:sz w:val="18"/>
          <w:szCs w:val="18"/>
          <w:color w:val="auto"/>
        </w:rPr>
        <w:t>As discussed in Note 6, the Company is party to a tax receivable agreement with a related party which provides for the payment by the Company to holders of PKLP prior to the Closing (“Closing ProKidney Unitholders”) of 85% of the amount of cash savings, if any, in U.S. federal, state and local income tax or franchise tax that the Company actually realizes (or, in some circumstances, the Company is deemed to realize) as a result of certain transactions. As no transactions have occurred which would trigger a liability under this agreement, the Company has not recognized any liability related to this agreement as of June 30, 2024.</w:t>
      </w:r>
    </w:p>
    <w:p>
      <w:pPr>
        <w:spacing w:after="0" w:line="75" w:lineRule="exact"/>
        <w:rPr>
          <w:sz w:val="20"/>
          <w:szCs w:val="20"/>
          <w:color w:val="auto"/>
        </w:rPr>
      </w:pPr>
    </w:p>
    <w:p>
      <w:pPr>
        <w:jc w:val="both"/>
        <w:ind w:firstLine="524"/>
        <w:spacing w:after="0" w:line="261"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of the deferred tax assets will be realized. The ultimate realization of deferred tax assets is dependent upon the generation of future taxable income during the periods in which those temporary differences become deductible. Management considers the scheduled reversal of deferred tax liabilities, available taxes in the carryback periods, projected future taxable income and tax planning strategies in making this assessment.</w:t>
      </w:r>
    </w:p>
    <w:p>
      <w:pPr>
        <w:spacing w:after="0" w:line="72" w:lineRule="exact"/>
        <w:rPr>
          <w:sz w:val="20"/>
          <w:szCs w:val="20"/>
          <w:color w:val="auto"/>
        </w:rPr>
      </w:pPr>
    </w:p>
    <w:p>
      <w:pPr>
        <w:jc w:val="both"/>
        <w:ind w:firstLine="524"/>
        <w:spacing w:after="0" w:line="282" w:lineRule="auto"/>
        <w:rPr>
          <w:sz w:val="20"/>
          <w:szCs w:val="20"/>
          <w:color w:val="auto"/>
        </w:rPr>
      </w:pPr>
      <w:r>
        <w:rPr>
          <w:rFonts w:ascii="Times New Roman" w:cs="Times New Roman" w:eastAsia="Times New Roman" w:hAnsi="Times New Roman"/>
          <w:sz w:val="18"/>
          <w:szCs w:val="18"/>
          <w:color w:val="auto"/>
        </w:rPr>
        <w:t>There were no net unrecognized tax benefits as of June 30, 2024 which, if recognized, would affect our effective tax rate. We expect none of the gross unrecognized tax benefits will decrease within the next year.</w:t>
      </w:r>
    </w:p>
    <w:p>
      <w:pPr>
        <w:spacing w:after="0" w:line="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There were no significant changes in the Company’s uncertain tax positions during the three and six months ended June 30, 2024 and 2023.</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5:</w:t>
        <w:tab/>
        <w:t>Leases</w:t>
      </w:r>
    </w:p>
    <w:p>
      <w:pPr>
        <w:spacing w:after="0" w:line="121" w:lineRule="exact"/>
        <w:rPr>
          <w:sz w:val="20"/>
          <w:szCs w:val="20"/>
          <w:color w:val="auto"/>
        </w:rPr>
      </w:pPr>
    </w:p>
    <w:p>
      <w:pPr>
        <w:ind w:right="40" w:firstLine="524"/>
        <w:spacing w:after="0" w:line="261" w:lineRule="auto"/>
        <w:rPr>
          <w:sz w:val="20"/>
          <w:szCs w:val="20"/>
          <w:color w:val="auto"/>
        </w:rPr>
      </w:pPr>
      <w:r>
        <w:rPr>
          <w:rFonts w:ascii="Times New Roman" w:cs="Times New Roman" w:eastAsia="Times New Roman" w:hAnsi="Times New Roman"/>
          <w:sz w:val="18"/>
          <w:szCs w:val="18"/>
          <w:color w:val="auto"/>
        </w:rPr>
        <w:t>The Company has operating leases for real estate (primarily its operating facilities) and certain equipment with various expiration dates. The Company also has one finance lease for certain equipment. Rent expense was $513,000 and $248,000, for the three months ended June 30, 2024 and 2023, respectively. For the six months ended June 30, 2024 and 2023, the Company’s rent expense was $935,000 and $460,000, respectively. Cash paid for operating leases during the six months ended June 30, 2024, was $623,000.</w:t>
      </w:r>
    </w:p>
    <w:p>
      <w:pPr>
        <w:spacing w:after="0" w:line="72" w:lineRule="exact"/>
        <w:rPr>
          <w:sz w:val="20"/>
          <w:szCs w:val="20"/>
          <w:color w:val="auto"/>
        </w:rPr>
      </w:pPr>
    </w:p>
    <w:p>
      <w:pPr>
        <w:ind w:right="180" w:firstLine="5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classification of operating and finance lease assets and obligations in the Company's Condensed Consolidated Balance Sheets as of June 30, 2024 and December 31, 2023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8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3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assets</w:t>
            </w:r>
          </w:p>
        </w:tc>
        <w:tc>
          <w:tcPr>
            <w:tcW w:w="3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6,212</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8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5,554</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p>
        </w:tc>
        <w:tc>
          <w:tcPr>
            <w:tcW w:w="3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6,542</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4,257</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9"/>
        </w:trPr>
        <w:tc>
          <w:tcPr>
            <w:tcW w:w="580" w:type="dxa"/>
            <w:vAlign w:val="bottom"/>
          </w:tcPr>
          <w:p>
            <w:pPr>
              <w:spacing w:after="0"/>
              <w:rPr>
                <w:sz w:val="24"/>
                <w:szCs w:val="24"/>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3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 of use assets</w:t>
            </w:r>
          </w:p>
        </w:tc>
        <w:tc>
          <w:tcPr>
            <w:tcW w:w="3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9"/>
        </w:trPr>
        <w:tc>
          <w:tcPr>
            <w:tcW w:w="580" w:type="dxa"/>
            <w:vAlign w:val="bottom"/>
          </w:tcPr>
          <w:p>
            <w:pPr>
              <w:spacing w:after="0"/>
              <w:rPr>
                <w:sz w:val="24"/>
                <w:szCs w:val="24"/>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liabilities, current</w:t>
            </w:r>
          </w:p>
        </w:tc>
        <w:tc>
          <w:tcPr>
            <w:tcW w:w="3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80" w:type="dxa"/>
            <w:vAlign w:val="bottom"/>
          </w:tcPr>
          <w:p>
            <w:pPr>
              <w:spacing w:after="0"/>
              <w:rPr>
                <w:sz w:val="21"/>
                <w:szCs w:val="21"/>
                <w:color w:val="auto"/>
              </w:rPr>
            </w:pPr>
          </w:p>
        </w:tc>
        <w:tc>
          <w:tcPr>
            <w:tcW w:w="3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liabilities, noncurrent</w:t>
            </w:r>
          </w:p>
        </w:tc>
        <w:tc>
          <w:tcPr>
            <w:tcW w:w="3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3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100" w:type="dxa"/>
            <w:vAlign w:val="bottom"/>
            <w:vMerge w:val="restart"/>
          </w:tcPr>
          <w:p>
            <w:pPr>
              <w:jc w:val="right"/>
              <w:ind w:right="171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58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-951230</wp:posOffset>
            </wp:positionV>
            <wp:extent cx="6032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-951230</wp:posOffset>
            </wp:positionV>
            <wp:extent cx="6032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 w:name="page18"/>
    <w:bookmarkEnd w:id="17"/>
    <w:p>
      <w:pPr>
        <w:ind w:left="540"/>
        <w:spacing w:after="0"/>
        <w:rPr>
          <w:sz w:val="20"/>
          <w:szCs w:val="20"/>
          <w:color w:val="auto"/>
        </w:rPr>
      </w:pPr>
      <w:r>
        <w:rPr>
          <w:rFonts w:ascii="Times New Roman" w:cs="Times New Roman" w:eastAsia="Times New Roman" w:hAnsi="Times New Roman"/>
          <w:sz w:val="18"/>
          <w:szCs w:val="18"/>
          <w:color w:val="auto"/>
        </w:rPr>
        <w:t>Maturities of lease liabilities for the Company’s operating and finance leases are as follows as of June 30, 2024 (in thousands):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20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200" w:type="dxa"/>
            <w:vAlign w:val="bottom"/>
          </w:tcPr>
          <w:p>
            <w:pPr>
              <w:spacing w:after="0"/>
              <w:rPr>
                <w:sz w:val="21"/>
                <w:szCs w:val="21"/>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260" w:type="dxa"/>
            <w:vAlign w:val="bottom"/>
          </w:tcPr>
          <w:p>
            <w:pPr>
              <w:spacing w:after="0"/>
              <w:rPr>
                <w:sz w:val="21"/>
                <w:szCs w:val="21"/>
                <w:color w:val="auto"/>
              </w:rPr>
            </w:pP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3"/>
        </w:trPr>
        <w:tc>
          <w:tcPr>
            <w:tcW w:w="5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2024 (remaining six months)</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6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shd w:val="clear" w:color="auto" w:fill="CFF0FC"/>
          </w:tcPr>
          <w:p>
            <w:pPr>
              <w:spacing w:after="0"/>
              <w:rPr>
                <w:sz w:val="21"/>
                <w:szCs w:val="21"/>
                <w:color w:val="auto"/>
              </w:rPr>
            </w:pPr>
          </w:p>
        </w:tc>
      </w:tr>
      <w:tr>
        <w:trPr>
          <w:trHeight w:val="239"/>
        </w:trPr>
        <w:tc>
          <w:tcPr>
            <w:tcW w:w="5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100" w:type="dxa"/>
            <w:vAlign w:val="bottom"/>
          </w:tcPr>
          <w:p>
            <w:pPr>
              <w:spacing w:after="0"/>
              <w:rPr>
                <w:sz w:val="20"/>
                <w:szCs w:val="20"/>
                <w:color w:val="auto"/>
              </w:rPr>
            </w:pPr>
          </w:p>
        </w:tc>
      </w:tr>
      <w:tr>
        <w:trPr>
          <w:trHeight w:val="247"/>
        </w:trPr>
        <w:tc>
          <w:tcPr>
            <w:tcW w:w="5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00" w:type="dxa"/>
            <w:vAlign w:val="bottom"/>
            <w:shd w:val="clear" w:color="auto" w:fill="CFF0FC"/>
          </w:tcPr>
          <w:p>
            <w:pPr>
              <w:spacing w:after="0"/>
              <w:rPr>
                <w:sz w:val="21"/>
                <w:szCs w:val="21"/>
                <w:color w:val="auto"/>
              </w:rPr>
            </w:pPr>
          </w:p>
        </w:tc>
      </w:tr>
      <w:tr>
        <w:trPr>
          <w:trHeight w:val="239"/>
        </w:trPr>
        <w:tc>
          <w:tcPr>
            <w:tcW w:w="5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00" w:type="dxa"/>
            <w:vAlign w:val="bottom"/>
          </w:tcPr>
          <w:p>
            <w:pPr>
              <w:spacing w:after="0"/>
              <w:rPr>
                <w:sz w:val="20"/>
                <w:szCs w:val="20"/>
                <w:color w:val="auto"/>
              </w:rPr>
            </w:pPr>
          </w:p>
        </w:tc>
      </w:tr>
      <w:tr>
        <w:trPr>
          <w:trHeight w:val="247"/>
        </w:trPr>
        <w:tc>
          <w:tcPr>
            <w:tcW w:w="5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00" w:type="dxa"/>
            <w:vAlign w:val="bottom"/>
            <w:shd w:val="clear" w:color="auto" w:fill="CFF0FC"/>
          </w:tcPr>
          <w:p>
            <w:pPr>
              <w:spacing w:after="0"/>
              <w:rPr>
                <w:sz w:val="21"/>
                <w:szCs w:val="21"/>
                <w:color w:val="auto"/>
              </w:rPr>
            </w:pPr>
          </w:p>
        </w:tc>
      </w:tr>
      <w:tr>
        <w:trPr>
          <w:trHeight w:val="23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tcPr>
          <w:p>
            <w:pPr>
              <w:spacing w:after="0"/>
              <w:rPr>
                <w:sz w:val="20"/>
                <w:szCs w:val="20"/>
                <w:color w:val="auto"/>
              </w:rPr>
            </w:pPr>
          </w:p>
        </w:tc>
      </w:tr>
      <w:tr>
        <w:trPr>
          <w:trHeight w:val="241"/>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6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8,687</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8,838</w:t>
            </w:r>
          </w:p>
        </w:tc>
        <w:tc>
          <w:tcPr>
            <w:tcW w:w="100" w:type="dxa"/>
            <w:vAlign w:val="bottom"/>
            <w:shd w:val="clear" w:color="auto" w:fill="CFF0FC"/>
          </w:tcPr>
          <w:p>
            <w:pPr>
              <w:spacing w:after="0"/>
              <w:rPr>
                <w:sz w:val="20"/>
                <w:szCs w:val="20"/>
                <w:color w:val="auto"/>
              </w:rPr>
            </w:pPr>
          </w:p>
        </w:tc>
      </w:tr>
      <w:tr>
        <w:trPr>
          <w:trHeight w:val="23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(2,145 )</w:t>
            </w:r>
          </w:p>
        </w:tc>
        <w:tc>
          <w:tcPr>
            <w:tcW w:w="2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(21 )</w:t>
            </w:r>
          </w:p>
        </w:tc>
        <w:tc>
          <w:tcPr>
            <w:tcW w:w="26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(2,166 )</w:t>
            </w:r>
          </w:p>
        </w:tc>
      </w:tr>
      <w:tr>
        <w:trPr>
          <w:trHeight w:val="276"/>
        </w:trPr>
        <w:tc>
          <w:tcPr>
            <w:tcW w:w="5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6,542</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-25400</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-25400</wp:posOffset>
            </wp:positionV>
            <wp:extent cx="6032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603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firstLine="524"/>
        <w:spacing w:after="0" w:line="282" w:lineRule="auto"/>
        <w:rPr>
          <w:sz w:val="20"/>
          <w:szCs w:val="20"/>
          <w:color w:val="auto"/>
        </w:rPr>
      </w:pPr>
      <w:r>
        <w:rPr>
          <w:rFonts w:ascii="Times New Roman" w:cs="Times New Roman" w:eastAsia="Times New Roman" w:hAnsi="Times New Roman"/>
          <w:sz w:val="18"/>
          <w:szCs w:val="18"/>
          <w:color w:val="auto"/>
        </w:rPr>
        <w:t>The weighted average remaining lease term for operating leases is 4.8 years, and 4.4 years for finance leases. The weighted average discount rate for operating leases is 10.9% and 6.3% for finance leases.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Related Party Transactions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Agreement</w:t>
      </w:r>
    </w:p>
    <w:p>
      <w:pPr>
        <w:spacing w:after="0" w:line="119" w:lineRule="exact"/>
        <w:rPr>
          <w:sz w:val="20"/>
          <w:szCs w:val="20"/>
          <w:color w:val="auto"/>
        </w:rPr>
      </w:pPr>
    </w:p>
    <w:p>
      <w:pPr>
        <w:ind w:right="40" w:firstLine="524"/>
        <w:spacing w:after="0" w:line="253" w:lineRule="auto"/>
        <w:rPr>
          <w:sz w:val="20"/>
          <w:szCs w:val="20"/>
          <w:color w:val="auto"/>
        </w:rPr>
      </w:pPr>
      <w:r>
        <w:rPr>
          <w:rFonts w:ascii="Times New Roman" w:cs="Times New Roman" w:eastAsia="Times New Roman" w:hAnsi="Times New Roman"/>
          <w:sz w:val="18"/>
          <w:szCs w:val="18"/>
          <w:color w:val="auto"/>
        </w:rPr>
        <w:t>On the Closing Date, the Company entered into an exchange agreement with PKLP and certain Closing ProKidney Unitholders (the “Exchange Agreement”) pursuant to which, subject to the procedures and restrictions therein, from and after the waiver or expiration of any contractual lock-up period (including pursuant to the Lock-Up Agreement (as defined below)) the holders of Post-Combination ProKidney Common Units as defined in the Exchange Agreement (or certain permitted transferees thereof) have the right from time to time at and after 180 days following the Closing to exchange their Post-Combination ProKidney Common Units and an equal number of Class B ordinary shares of the Company on a one-for-one basis for Class A ordinary shares of the Company (the “Exchange”); provided, that, subject to certain exceptions, the Company, at its sole election, subject to certain restrictions, may, other than in the case of certain secondary offerings, instead settle all or a portion of the Exchange in cash based on a volume weighted average price (“VWAP”) of a Class A ordinary share. The Exchange Agreement provides that, as a general matter, a holder of Post-Combination ProKidney Common Units will not have the right to exchange Post-Combination ProKidney Common Units if the Company determines that such exchange would be prohibited by law or regulation or would violate other agreements with the Company and its subsidiaries to which the holder of Post-Combination ProKidney Common Units may be subject, including the Second Amended and Restated ProKidney Limited Partnership Agreement and the Exchange Agreement.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Lock-Up Agreement</w:t>
      </w:r>
    </w:p>
    <w:p>
      <w:pPr>
        <w:spacing w:after="0" w:line="119" w:lineRule="exact"/>
        <w:rPr>
          <w:sz w:val="20"/>
          <w:szCs w:val="20"/>
          <w:color w:val="auto"/>
        </w:rPr>
      </w:pPr>
    </w:p>
    <w:p>
      <w:pPr>
        <w:ind w:right="20" w:firstLine="524"/>
        <w:spacing w:after="0" w:line="254" w:lineRule="auto"/>
        <w:rPr>
          <w:sz w:val="20"/>
          <w:szCs w:val="20"/>
          <w:color w:val="auto"/>
        </w:rPr>
      </w:pPr>
      <w:r>
        <w:rPr>
          <w:rFonts w:ascii="Times New Roman" w:cs="Times New Roman" w:eastAsia="Times New Roman" w:hAnsi="Times New Roman"/>
          <w:sz w:val="18"/>
          <w:szCs w:val="18"/>
          <w:color w:val="auto"/>
        </w:rPr>
        <w:t>On the Closing Date, the Company, SCS Sponsor III LLC and certain Closing ProKidney Unitholders entered into a lock-up agreement (the “Lock-Up Agreement”). The Lock-Up Agreement contains certain restrictions on transfer with respect to the SCS Sponsor III LLC and the Closing ProKidney Unitholders party thereto. Such restrictions began at the Closing and end on the earlier of (i) the date that is 180 days after the Closing and (ii)(a) for 33% of the Lock-Up Shares (other than the Earnout Shares and the PIPE Shares), the date on which the last reported sale price of a Class A ordinary share of the Company equals or exceeds $12.50 per share for any 20 trading days within any 30-trading day period commencing at least 30 days after the Closing and</w:t>
      </w:r>
    </w:p>
    <w:p>
      <w:pPr>
        <w:spacing w:after="0" w:line="3" w:lineRule="exact"/>
        <w:rPr>
          <w:sz w:val="20"/>
          <w:szCs w:val="20"/>
          <w:color w:val="auto"/>
        </w:rPr>
      </w:pPr>
    </w:p>
    <w:p>
      <w:pPr>
        <w:ind w:firstLine="8"/>
        <w:spacing w:after="0" w:line="251"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additional 50% of the Lock-Up Shares (other than the Earnout Shares and the Private Placement Shares (as each such term is defined in the Lock-Up Agreement)), the date on which the last reported sale price of a Class A ordinary share of the Company equals or exceeds $15.00 per share for any 20 trading days within any 30-trading day period commencing at least 30 days after the Closing. Notwithstanding the above, (i) the lock-up period for any Earnout Shares will expire not earlier than 180 days after such Earnout Shares are issued; (ii) 50% of the Lock-Up Shares held by certain Closing ProKidney Unitholders and their affiliates will remain locked up until the earlier of four years following the Closing and the date that PKLP receives notice of any regulatory market authorization, including full or conditional authorization, to market its lead product candidate, rilparencel (but, in any event, not earlier than 180 days following the Closing or (in the case of Earnout Shares) the date of issuance); and (iii) the lock-up period for the Private Placement Shares expired 30 days after the Closing. The restrictions on transfer set forth in the Lockup Agreement are subject to customary exceptions.</w:t>
      </w:r>
    </w:p>
    <w:p>
      <w:pPr>
        <w:spacing w:after="0" w:line="86" w:lineRule="exact"/>
        <w:rPr>
          <w:sz w:val="20"/>
          <w:szCs w:val="20"/>
          <w:color w:val="auto"/>
        </w:rPr>
      </w:pPr>
    </w:p>
    <w:p>
      <w:pPr>
        <w:jc w:val="center"/>
        <w:ind w:left="760" w:right="100"/>
        <w:spacing w:after="0" w:line="282" w:lineRule="auto"/>
        <w:rPr>
          <w:sz w:val="20"/>
          <w:szCs w:val="20"/>
          <w:color w:val="auto"/>
        </w:rPr>
      </w:pPr>
      <w:r>
        <w:rPr>
          <w:rFonts w:ascii="Times New Roman" w:cs="Times New Roman" w:eastAsia="Times New Roman" w:hAnsi="Times New Roman"/>
          <w:sz w:val="18"/>
          <w:szCs w:val="18"/>
          <w:color w:val="auto"/>
        </w:rPr>
        <w:t>During January 2023, the lock-up period for 50% of the shares held by the Closing ProKidney Unitholders (other than the Earnout Shares) expired.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435610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Tax Receivable Agreement</w:t>
      </w:r>
    </w:p>
    <w:p>
      <w:pPr>
        <w:spacing w:after="0" w:line="119" w:lineRule="exact"/>
        <w:rPr>
          <w:sz w:val="20"/>
          <w:szCs w:val="20"/>
          <w:color w:val="auto"/>
        </w:rPr>
      </w:pPr>
    </w:p>
    <w:p>
      <w:pPr>
        <w:ind w:firstLine="524"/>
        <w:spacing w:after="0" w:line="258" w:lineRule="auto"/>
        <w:rPr>
          <w:sz w:val="20"/>
          <w:szCs w:val="20"/>
          <w:color w:val="auto"/>
        </w:rPr>
      </w:pPr>
      <w:r>
        <w:rPr>
          <w:rFonts w:ascii="Times New Roman" w:cs="Times New Roman" w:eastAsia="Times New Roman" w:hAnsi="Times New Roman"/>
          <w:sz w:val="18"/>
          <w:szCs w:val="18"/>
          <w:color w:val="auto"/>
        </w:rPr>
        <w:t>On the Closing Date, the Company entered into a tax receivable agreement (the “Tax Receivable Agreement”) with the Closing ProKidney Unitholders. Pursuant to the Tax Receivable Agreement, among other things, the Company will be required to pay the Closing ProKidney Unitholders party thereto 85% of certain tax savings recognized by the Company, if any, as a result of the increases in tax basis attributable to exchanges by the Closing ProKidney Unitholders of Post-Combination ProKidney Common Units for Class A ordinary shares of the Company or, subject to certain restrictions, cash, pursuant to the Exchange Agreement and certain other tax attributes of PKLP and tax benefits related to entering into the Tax Receivable Agreement.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Earnout Rights</w:t>
      </w:r>
    </w:p>
    <w:p>
      <w:pPr>
        <w:spacing w:after="0" w:line="119" w:lineRule="exact"/>
        <w:rPr>
          <w:sz w:val="20"/>
          <w:szCs w:val="20"/>
          <w:color w:val="auto"/>
        </w:rPr>
      </w:pPr>
    </w:p>
    <w:p>
      <w:pPr>
        <w:ind w:right="140" w:firstLine="524"/>
        <w:spacing w:after="0" w:line="258" w:lineRule="auto"/>
        <w:rPr>
          <w:sz w:val="20"/>
          <w:szCs w:val="20"/>
          <w:color w:val="auto"/>
        </w:rPr>
      </w:pPr>
      <w:r>
        <w:rPr>
          <w:rFonts w:ascii="Times New Roman" w:cs="Times New Roman" w:eastAsia="Times New Roman" w:hAnsi="Times New Roman"/>
          <w:sz w:val="18"/>
          <w:szCs w:val="18"/>
          <w:color w:val="auto"/>
        </w:rPr>
        <w:t>At the Closing, certain shareholders were issued an aggregate of 17,500,000 Earnout Restricted Common Units and 17,500,000 Earnout Restricted Stock Rights (collectively, the “Earnout Rights”). The Earnout Rights vest in three equal tranches if, during the five-year period after Closing, the VWAP of a Class A ordinary share reaches $15.00 per share, $20.00 per share and $25.00 per share. Likewise, the Earnout Rights will vest upon a change of control with a per share price exceeding those same VWAP thresholds within a five-year period immediately following the Closing. Upon vesting, the Earnout Rights will automatically convert into Post Combination ProKidney Common Units and Class B ordinary shares.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Consulting Services Agreement between ProKidney-KY and Nefro Health</w:t>
      </w:r>
    </w:p>
    <w:p>
      <w:pPr>
        <w:spacing w:after="0" w:line="335" w:lineRule="exact"/>
        <w:rPr>
          <w:sz w:val="20"/>
          <w:szCs w:val="20"/>
          <w:color w:val="auto"/>
        </w:rPr>
      </w:pPr>
    </w:p>
    <w:p>
      <w:pPr>
        <w:ind w:firstLine="524"/>
        <w:spacing w:after="0" w:line="252" w:lineRule="auto"/>
        <w:rPr>
          <w:sz w:val="20"/>
          <w:szCs w:val="20"/>
          <w:color w:val="auto"/>
        </w:rPr>
      </w:pPr>
      <w:r>
        <w:rPr>
          <w:rFonts w:ascii="Times New Roman" w:cs="Times New Roman" w:eastAsia="Times New Roman" w:hAnsi="Times New Roman"/>
          <w:sz w:val="18"/>
          <w:szCs w:val="18"/>
          <w:color w:val="auto"/>
        </w:rPr>
        <w:t>On January 1, 2020, ProKidney-KY (formerly known as inRegen) entered into a consulting services agreement with Nefro Health (“Nefro”), an Irish partnership controlled and majority-owned by Mr. Pablo Legorreta, a director of the Company, ProKidney GP Limited, a private limited company incorporated under the laws of Ireland (“Legacy GP”) and a holder of over 5% of Class A Units in PKLP, pursuant to which Nefro provides consulting services for the research and development of the Company’s product candidates, including the conduct of clinical trials in North America and the European Union, the design and manufacturing of ProKidney’s product candidates as well as pre-commercialization activities, which are primarily performed by Mr. Legorreta. Under the agreement, Nefro receives $25,000 per quarter and is reimbursed for any out-of-pocket expenses incurred in connection with activities Nefro conducted under the agreement. ProKidney-KY has paid Nefro an aggregate of $25,000 and $50,000 for the each of the three and six months ended June 30, 2024 and 2023, respectively. The initial term of the consulting services agreement continued through December 31, 2020 and was renewed pursuant to the provision allowing for automatic renewals for additional periods of one year each unless terminated by either party by providing written notice to the other party at least ninety (90) days prior to the scheduled termination date. Either party may terminate this agreement upon the occurrence of a material breach by the other party in the performance of its obligations under the agreement or in respect of any provision, representation, warranty or covenant if such breach has not been cured within thirty (30) days after receiving written notice from the non-breaching party. Additionally, either of the parties may terminate the consulting services agreement for any reason upon giving thirty (30) days’ advance notice of such termination to the other party. In the event of such termination, ProKidney-KY will be obligated to pay Nefro any earned but unpaid consulting fee as of the termination date.</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Consulting Services Agreement between ProKidney-US and Nefro Health</w:t>
      </w:r>
    </w:p>
    <w:p>
      <w:pPr>
        <w:spacing w:after="0" w:line="119" w:lineRule="exact"/>
        <w:rPr>
          <w:sz w:val="20"/>
          <w:szCs w:val="20"/>
          <w:color w:val="auto"/>
        </w:rPr>
      </w:pPr>
    </w:p>
    <w:p>
      <w:pPr>
        <w:ind w:right="60" w:firstLine="524"/>
        <w:spacing w:after="0" w:line="252" w:lineRule="auto"/>
        <w:rPr>
          <w:sz w:val="20"/>
          <w:szCs w:val="20"/>
          <w:color w:val="auto"/>
        </w:rPr>
      </w:pPr>
      <w:r>
        <w:rPr>
          <w:rFonts w:ascii="Times New Roman" w:cs="Times New Roman" w:eastAsia="Times New Roman" w:hAnsi="Times New Roman"/>
          <w:sz w:val="18"/>
          <w:szCs w:val="18"/>
          <w:color w:val="auto"/>
        </w:rPr>
        <w:t>On January 1, 2020, ProKidney-US (formerly known as Twin City Bio, LLC) entered into a consulting services agreement with Nefro, pursuant to which Nefro provides consulting services for the research and development of the Company’s product candidates, including the conduct of clinical trials in North America and the European Union, the design and manufacturing of the Company’s product candidates as well as pre-commercialization activities, which are primarily performed by Mr. Legorreta. Under the agreement, Nefro receives $25,000 per quarter and is reimbursed for any out-of-pocket expenses incurred in connection with activities Nefro conducted under the agreement. ProKidney-US has paid Nefro an aggregate of $25,000 and $50,000 for each of the three and six months ended June 30, 2024 and 2023, respectively. The initial term of the consulting services agreement continued through December 31, 2020 and was renewed pursuant to the provision allowing for automatic renewals for additional periods of one year each unless terminated by either party by providing written notice to the other party at least ninety (90) days prior to the scheduled termination date. Either party may terminate this agreement upon the occurrence of a material breach by the other party in the performance of its obligations under the agreement or in respect of any provision, representation, warranty or covenant if such breach has not been cured within thirty (30) days after receiving written notice from the non-breaching party. Additionally, either of the parties may terminate the consulting services agreement for any reason upon giving thirty (30) days’ advance notice of such termination to the other party. In the event of such termination, ProKidney-US will be obligated to pay Nefro any earned but unpaid consulting fee as of the termination date.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9" w:name="page20"/>
    <w:bookmarkEnd w:id="19"/>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7:</w:t>
      </w:r>
      <w:r>
        <w:rPr>
          <w:sz w:val="20"/>
          <w:szCs w:val="20"/>
          <w:color w:val="auto"/>
        </w:rPr>
        <w:tab/>
      </w:r>
      <w:r>
        <w:rPr>
          <w:rFonts w:ascii="Times New Roman" w:cs="Times New Roman" w:eastAsia="Times New Roman" w:hAnsi="Times New Roman"/>
          <w:sz w:val="17"/>
          <w:szCs w:val="17"/>
          <w:b w:val="1"/>
          <w:bCs w:val="1"/>
          <w:color w:val="auto"/>
        </w:rPr>
        <w:t>Redeemable Noncontrolling Interest</w:t>
      </w:r>
    </w:p>
    <w:p>
      <w:pPr>
        <w:spacing w:after="0" w:line="121" w:lineRule="exact"/>
        <w:rPr>
          <w:sz w:val="20"/>
          <w:szCs w:val="20"/>
          <w:color w:val="auto"/>
        </w:rPr>
      </w:pPr>
    </w:p>
    <w:p>
      <w:pPr>
        <w:ind w:firstLine="524"/>
        <w:spacing w:after="0" w:line="255" w:lineRule="auto"/>
        <w:rPr>
          <w:sz w:val="20"/>
          <w:szCs w:val="20"/>
          <w:color w:val="auto"/>
        </w:rPr>
      </w:pPr>
      <w:r>
        <w:rPr>
          <w:rFonts w:ascii="Times New Roman" w:cs="Times New Roman" w:eastAsia="Times New Roman" w:hAnsi="Times New Roman"/>
          <w:sz w:val="18"/>
          <w:szCs w:val="18"/>
          <w:color w:val="auto"/>
        </w:rPr>
        <w:t>The Company is subject to the Exchange Agreement with respect to the Post-Combination ProKidney Common Units representing the outstanding 56.6% noncontrolling interest in PKLP (see Note 1). The Exchange Agreement requires the surrender of an equal number of Post-Combination ProKidney Common Units and Class B ordinary shares for (i) Class A ordinary shares on a one-for-one basis or (ii) cash (based on the fair market value of the Class A ordinary shares as determined pursuant to the Exchange Agreement), at the Company’s option (as the managing member of PKLP), subject to customary conversion rate adjustments for share splits, share dividends and reclassifications. The exchange value is determined based on a five-day VWAP of the Class A ordinary shares as defined in the Exchange Agreement, subject to customary conversion rate adjustments for share splits, share dividends and reclassifications.</w:t>
      </w:r>
    </w:p>
    <w:p>
      <w:pPr>
        <w:spacing w:after="0" w:line="81" w:lineRule="exact"/>
        <w:rPr>
          <w:sz w:val="20"/>
          <w:szCs w:val="20"/>
          <w:color w:val="auto"/>
        </w:rPr>
      </w:pPr>
    </w:p>
    <w:p>
      <w:pPr>
        <w:ind w:right="200" w:firstLine="524"/>
        <w:spacing w:after="0" w:line="261" w:lineRule="auto"/>
        <w:rPr>
          <w:sz w:val="20"/>
          <w:szCs w:val="20"/>
          <w:color w:val="auto"/>
        </w:rPr>
      </w:pPr>
      <w:r>
        <w:rPr>
          <w:rFonts w:ascii="Times New Roman" w:cs="Times New Roman" w:eastAsia="Times New Roman" w:hAnsi="Times New Roman"/>
          <w:sz w:val="18"/>
          <w:szCs w:val="18"/>
          <w:color w:val="auto"/>
        </w:rPr>
        <w:t>The redeemable noncontrolling interest is recognized at the higher of (1) its initial fair value plus accumulated earnings/losses associated with the noncontrolling interest or (2) the redemption value as of the balance sheet date. At June 30, 2024, the redeemable noncontrolling interest was recorded based on its initial fair value plus accumulated losses associated with the noncontrolling interest which was higher than the redemption value as of the balance sheet date.</w:t>
      </w:r>
    </w:p>
    <w:p>
      <w:pPr>
        <w:spacing w:after="0" w:line="72" w:lineRule="exact"/>
        <w:rPr>
          <w:sz w:val="20"/>
          <w:szCs w:val="20"/>
          <w:color w:val="auto"/>
        </w:rPr>
      </w:pPr>
    </w:p>
    <w:p>
      <w:pPr>
        <w:ind w:right="460" w:firstLine="524"/>
        <w:spacing w:after="0" w:line="266" w:lineRule="auto"/>
        <w:rPr>
          <w:sz w:val="20"/>
          <w:szCs w:val="20"/>
          <w:color w:val="auto"/>
        </w:rPr>
      </w:pPr>
      <w:r>
        <w:rPr>
          <w:rFonts w:ascii="Times New Roman" w:cs="Times New Roman" w:eastAsia="Times New Roman" w:hAnsi="Times New Roman"/>
          <w:sz w:val="18"/>
          <w:szCs w:val="18"/>
          <w:color w:val="auto"/>
        </w:rPr>
        <w:t>Changes in the Company’s ownership interest in PKLP while the Company retains its controlling interest in PKLP are accounted for as equity transactions, and the Company is required to adjust noncontrolling interest and equity for such changes. The following is a summary of net income attributable to the Company and transfers to noncontrolling interest (in thousands):</w:t>
      </w:r>
    </w:p>
    <w:p>
      <w:pPr>
        <w:spacing w:after="0" w:line="199" w:lineRule="exact"/>
        <w:rPr>
          <w:sz w:val="20"/>
          <w:szCs w:val="20"/>
          <w:color w:val="auto"/>
        </w:rPr>
      </w:pPr>
    </w:p>
    <w:tbl>
      <w:tblPr>
        <w:tblLayout w:type="fixed"/>
        <w:tblInd w:w="340" w:type="dxa"/>
        <w:tblCellMar>
          <w:top w:w="0" w:type="dxa"/>
          <w:left w:w="0" w:type="dxa"/>
          <w:bottom w:w="0" w:type="dxa"/>
          <w:right w:w="0" w:type="dxa"/>
        </w:tblCellMar>
      </w:tblPr>
      <w:tr>
        <w:trPr>
          <w:trHeight w:val="245"/>
        </w:trPr>
        <w:tc>
          <w:tcPr>
            <w:tcW w:w="4320" w:type="dxa"/>
            <w:vAlign w:val="bottom"/>
          </w:tcPr>
          <w:p>
            <w:pPr>
              <w:spacing w:after="0"/>
              <w:rPr>
                <w:sz w:val="21"/>
                <w:szCs w:val="21"/>
                <w:color w:val="auto"/>
              </w:rPr>
            </w:pPr>
          </w:p>
        </w:tc>
        <w:tc>
          <w:tcPr>
            <w:tcW w:w="322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Three Months Ended June 30,</w:t>
            </w:r>
          </w:p>
        </w:tc>
        <w:tc>
          <w:tcPr>
            <w:tcW w:w="100" w:type="dxa"/>
            <w:vAlign w:val="bottom"/>
          </w:tcPr>
          <w:p>
            <w:pPr>
              <w:spacing w:after="0"/>
              <w:rPr>
                <w:sz w:val="21"/>
                <w:szCs w:val="21"/>
                <w:color w:val="auto"/>
              </w:rPr>
            </w:pPr>
          </w:p>
        </w:tc>
        <w:tc>
          <w:tcPr>
            <w:tcW w:w="292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For the Six Months Ended June 30,</w:t>
            </w:r>
          </w:p>
        </w:tc>
        <w:tc>
          <w:tcPr>
            <w:tcW w:w="0" w:type="dxa"/>
            <w:vAlign w:val="bottom"/>
          </w:tcPr>
          <w:p>
            <w:pPr>
              <w:spacing w:after="0"/>
              <w:rPr>
                <w:sz w:val="1"/>
                <w:szCs w:val="1"/>
                <w:color w:val="auto"/>
              </w:rPr>
            </w:pPr>
          </w:p>
        </w:tc>
      </w:tr>
      <w:tr>
        <w:trPr>
          <w:trHeight w:val="241"/>
        </w:trPr>
        <w:tc>
          <w:tcPr>
            <w:tcW w:w="432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available to Class A ordinary shareholders</w:t>
            </w:r>
          </w:p>
        </w:tc>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(12,506 )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(9,118 )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(21,998 )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(18,783 )</w:t>
            </w:r>
          </w:p>
        </w:tc>
        <w:tc>
          <w:tcPr>
            <w:tcW w:w="0" w:type="dxa"/>
            <w:vAlign w:val="bottom"/>
          </w:tcPr>
          <w:p>
            <w:pPr>
              <w:spacing w:after="0"/>
              <w:rPr>
                <w:sz w:val="1"/>
                <w:szCs w:val="1"/>
                <w:color w:val="auto"/>
              </w:rPr>
            </w:pPr>
          </w:p>
        </w:tc>
      </w:tr>
      <w:tr>
        <w:trPr>
          <w:trHeight w:val="211"/>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(Increase)/Decrease in ProKidney Corp. accumulated</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deficit for impact of</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subsidiary equity-based compensation</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(Increase)/Decrease in ProKidney Corp. additional paid-in</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 for exchange</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of Common Units in ProKidney LP for Class A ordinary</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(12,613 )</w:t>
            </w:r>
          </w:p>
        </w:tc>
        <w:tc>
          <w:tcPr>
            <w:tcW w:w="3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(14,902 )</w:t>
            </w:r>
          </w:p>
        </w:tc>
        <w:tc>
          <w:tcPr>
            <w:tcW w:w="3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(Increase)/Decrease in ProKidney Corp. additional paid-in</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for vesting of</w:t>
            </w:r>
          </w:p>
        </w:tc>
        <w:tc>
          <w:tcPr>
            <w:tcW w:w="32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22,745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(725 )</w:t>
            </w:r>
          </w:p>
        </w:tc>
        <w:tc>
          <w:tcPr>
            <w:tcW w:w="100" w:type="dxa"/>
            <w:vAlign w:val="bottom"/>
          </w:tcPr>
          <w:p>
            <w:pPr>
              <w:spacing w:after="0"/>
              <w:rPr>
                <w:sz w:val="18"/>
                <w:szCs w:val="18"/>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14,073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(4,478 )</w:t>
            </w:r>
          </w:p>
        </w:tc>
        <w:tc>
          <w:tcPr>
            <w:tcW w:w="0" w:type="dxa"/>
            <w:vAlign w:val="bottom"/>
          </w:tcPr>
          <w:p>
            <w:pPr>
              <w:spacing w:after="0"/>
              <w:rPr>
                <w:sz w:val="1"/>
                <w:szCs w:val="1"/>
                <w:color w:val="auto"/>
              </w:rPr>
            </w:pPr>
          </w:p>
        </w:tc>
      </w:tr>
      <w:tr>
        <w:trPr>
          <w:trHeight w:val="234"/>
        </w:trPr>
        <w:tc>
          <w:tcPr>
            <w:tcW w:w="4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Common Units in ProKidney LP</w:t>
            </w:r>
          </w:p>
        </w:tc>
        <w:tc>
          <w:tcPr>
            <w:tcW w:w="32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32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Change from net loss available to Class A ordinary</w:t>
            </w:r>
          </w:p>
        </w:tc>
        <w:tc>
          <w:tcPr>
            <w:tcW w:w="32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shareholders and change</w:t>
            </w:r>
          </w:p>
        </w:tc>
        <w:tc>
          <w:tcPr>
            <w:tcW w:w="32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(1,000 )</w:t>
            </w:r>
          </w:p>
        </w:tc>
        <w:tc>
          <w:tcPr>
            <w:tcW w:w="300" w:type="dxa"/>
            <w:vAlign w:val="bottom"/>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(7,081 )</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(19,813 )</w:t>
            </w:r>
          </w:p>
        </w:tc>
        <w:tc>
          <w:tcPr>
            <w:tcW w:w="300" w:type="dxa"/>
            <w:vAlign w:val="bottom"/>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(18,042 )</w:t>
            </w:r>
          </w:p>
        </w:tc>
        <w:tc>
          <w:tcPr>
            <w:tcW w:w="0" w:type="dxa"/>
            <w:vAlign w:val="bottom"/>
          </w:tcPr>
          <w:p>
            <w:pPr>
              <w:spacing w:after="0"/>
              <w:rPr>
                <w:sz w:val="1"/>
                <w:szCs w:val="1"/>
                <w:color w:val="auto"/>
              </w:rPr>
            </w:pPr>
          </w:p>
        </w:tc>
      </w:tr>
      <w:tr>
        <w:trPr>
          <w:trHeight w:val="227"/>
        </w:trPr>
        <w:tc>
          <w:tcPr>
            <w:tcW w:w="4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 ownership interest in ProKidney LP</w:t>
            </w:r>
          </w:p>
        </w:tc>
        <w:tc>
          <w:tcPr>
            <w:tcW w:w="320" w:type="dxa"/>
            <w:vAlign w:val="bottom"/>
            <w:vMerge w:val="continue"/>
            <w:shd w:val="clear" w:color="auto" w:fill="CFF0FC"/>
          </w:tcPr>
          <w:p>
            <w:pPr>
              <w:spacing w:after="0"/>
              <w:rPr>
                <w:sz w:val="19"/>
                <w:szCs w:val="19"/>
                <w:color w:val="auto"/>
              </w:rPr>
            </w:pPr>
          </w:p>
        </w:tc>
        <w:tc>
          <w:tcPr>
            <w:tcW w:w="1300" w:type="dxa"/>
            <w:vAlign w:val="bottom"/>
            <w:gridSpan w:val="2"/>
            <w:vMerge w:val="continue"/>
            <w:shd w:val="clear" w:color="auto" w:fill="CFF0FC"/>
          </w:tcPr>
          <w:p>
            <w:pPr>
              <w:spacing w:after="0"/>
              <w:rPr>
                <w:sz w:val="19"/>
                <w:szCs w:val="19"/>
                <w:color w:val="auto"/>
              </w:rPr>
            </w:pPr>
          </w:p>
        </w:tc>
        <w:tc>
          <w:tcPr>
            <w:tcW w:w="300" w:type="dxa"/>
            <w:vAlign w:val="bottom"/>
            <w:vMerge w:val="continue"/>
            <w:shd w:val="clear" w:color="auto" w:fill="CFF0FC"/>
          </w:tcPr>
          <w:p>
            <w:pPr>
              <w:spacing w:after="0"/>
              <w:rPr>
                <w:sz w:val="19"/>
                <w:szCs w:val="19"/>
                <w:color w:val="auto"/>
              </w:rPr>
            </w:pPr>
          </w:p>
        </w:tc>
        <w:tc>
          <w:tcPr>
            <w:tcW w:w="1300" w:type="dxa"/>
            <w:vAlign w:val="bottom"/>
            <w:gridSpan w:val="2"/>
            <w:vMerge w:val="continue"/>
            <w:shd w:val="clear" w:color="auto" w:fill="CFF0FC"/>
          </w:tcPr>
          <w:p>
            <w:pPr>
              <w:spacing w:after="0"/>
              <w:rPr>
                <w:sz w:val="19"/>
                <w:szCs w:val="19"/>
                <w:color w:val="auto"/>
              </w:rPr>
            </w:pPr>
          </w:p>
        </w:tc>
        <w:tc>
          <w:tcPr>
            <w:tcW w:w="100" w:type="dxa"/>
            <w:vAlign w:val="bottom"/>
            <w:vMerge w:val="continue"/>
            <w:shd w:val="clear" w:color="auto" w:fill="CFF0FC"/>
          </w:tcPr>
          <w:p>
            <w:pPr>
              <w:spacing w:after="0"/>
              <w:rPr>
                <w:sz w:val="19"/>
                <w:szCs w:val="19"/>
                <w:color w:val="auto"/>
              </w:rPr>
            </w:pPr>
          </w:p>
        </w:tc>
        <w:tc>
          <w:tcPr>
            <w:tcW w:w="1480" w:type="dxa"/>
            <w:vAlign w:val="bottom"/>
            <w:gridSpan w:val="2"/>
            <w:vMerge w:val="continue"/>
            <w:shd w:val="clear" w:color="auto" w:fill="CFF0FC"/>
          </w:tcPr>
          <w:p>
            <w:pPr>
              <w:spacing w:after="0"/>
              <w:rPr>
                <w:sz w:val="19"/>
                <w:szCs w:val="19"/>
                <w:color w:val="auto"/>
              </w:rPr>
            </w:pPr>
          </w:p>
        </w:tc>
        <w:tc>
          <w:tcPr>
            <w:tcW w:w="300" w:type="dxa"/>
            <w:vAlign w:val="bottom"/>
            <w:vMerge w:val="continue"/>
            <w:shd w:val="clear" w:color="auto" w:fill="CFF0FC"/>
          </w:tcPr>
          <w:p>
            <w:pPr>
              <w:spacing w:after="0"/>
              <w:rPr>
                <w:sz w:val="19"/>
                <w:szCs w:val="19"/>
                <w:color w:val="auto"/>
              </w:rPr>
            </w:pPr>
          </w:p>
        </w:tc>
        <w:tc>
          <w:tcPr>
            <w:tcW w:w="114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-24765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-7620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-24765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-7620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603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03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-24765</wp:posOffset>
            </wp:positionV>
            <wp:extent cx="596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-7620</wp:posOffset>
            </wp:positionV>
            <wp:extent cx="596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Shareholders’ Equity</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In June 2024, the Company sold 46,886,452 of its Class A ordinary shares in an underwritten public offering at a price of $2.42 per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in June 2024, the Company sold 11,030,574 of its Class A ordinary shares to certain investment entities at price of $2.42 per share in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concurrent registered direct offering pursuant to share purchase agreements. The net proceeds to the Company from the offerings were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$136,618,000, after deducting the underwriting discounts and commissions and offering expenses payable by the Company. The shares were offered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sold pursuant to the Company’s shelf registration statement on Form S-3.</w:t>
      </w:r>
    </w:p>
    <w:p>
      <w:pPr>
        <w:spacing w:after="0" w:line="106" w:lineRule="exact"/>
        <w:rPr>
          <w:sz w:val="20"/>
          <w:szCs w:val="20"/>
          <w:color w:val="auto"/>
        </w:rPr>
      </w:pPr>
    </w:p>
    <w:p>
      <w:pPr>
        <w:jc w:val="both"/>
        <w:ind w:right="180" w:firstLine="594"/>
        <w:spacing w:after="0" w:line="237" w:lineRule="auto"/>
        <w:rPr>
          <w:sz w:val="20"/>
          <w:szCs w:val="20"/>
          <w:color w:val="auto"/>
        </w:rPr>
      </w:pPr>
      <w:r>
        <w:rPr>
          <w:rFonts w:ascii="Times New Roman" w:cs="Times New Roman" w:eastAsia="Times New Roman" w:hAnsi="Times New Roman"/>
          <w:sz w:val="18"/>
          <w:szCs w:val="18"/>
          <w:color w:val="auto"/>
        </w:rPr>
        <w:t>In January 2024, the Company entered into an Open Market Sale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(“Sales Agreement”) with Jefferies LLC (“Jefferies”) as the sales agent, pursuant to which the Company may offer and sell, from time to time, through Jefferies, shares of its Class A ordinary shares having an aggregate offering price of up to $100.0 million by any method deemed to be an “at the market offering” as defined in Rule 415(a)(4) under the Securities Act. The shares are offered and sold pursuant to the Company’s shelf registration statement on Form S-3.</w:t>
      </w:r>
    </w:p>
    <w:p>
      <w:pPr>
        <w:spacing w:after="0" w:line="93" w:lineRule="exact"/>
        <w:rPr>
          <w:sz w:val="20"/>
          <w:szCs w:val="20"/>
          <w:color w:val="auto"/>
        </w:rPr>
      </w:pPr>
    </w:p>
    <w:p>
      <w:pPr>
        <w:ind w:right="200" w:firstLine="594"/>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sold 2,301,900 of its Class A ordinary shares under the Sales Agreement for net proceeds of $3,238,000.</w:t>
      </w:r>
    </w:p>
    <w:p>
      <w:pPr>
        <w:spacing w:after="0" w:line="26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Net Loss per Share</w:t>
      </w:r>
    </w:p>
    <w:p>
      <w:pPr>
        <w:spacing w:after="0" w:line="121" w:lineRule="exact"/>
        <w:rPr>
          <w:sz w:val="20"/>
          <w:szCs w:val="20"/>
          <w:color w:val="auto"/>
        </w:rPr>
      </w:pPr>
    </w:p>
    <w:p>
      <w:pPr>
        <w:ind w:right="220" w:firstLine="524"/>
        <w:spacing w:after="0" w:line="261" w:lineRule="auto"/>
        <w:rPr>
          <w:sz w:val="20"/>
          <w:szCs w:val="20"/>
          <w:color w:val="auto"/>
        </w:rPr>
      </w:pPr>
      <w:r>
        <w:rPr>
          <w:rFonts w:ascii="Times New Roman" w:cs="Times New Roman" w:eastAsia="Times New Roman" w:hAnsi="Times New Roman"/>
          <w:sz w:val="18"/>
          <w:szCs w:val="18"/>
          <w:color w:val="auto"/>
        </w:rPr>
        <w:t>Basic net loss per share is calculated by dividing net loss attributable to Class A ordinary shareholders by the weighted-average shares of Class A ordinary shares outstanding without the consideration for potential dilutive securities. Diluted net loss per share</w:t>
      </w: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0" w:name="page21"/>
    <w:bookmarkEnd w:id="20"/>
    <w:p>
      <w:pPr>
        <w:ind w:right="300"/>
        <w:spacing w:after="0" w:line="282" w:lineRule="auto"/>
        <w:rPr>
          <w:sz w:val="20"/>
          <w:szCs w:val="20"/>
          <w:color w:val="auto"/>
        </w:rPr>
      </w:pPr>
      <w:r>
        <w:rPr>
          <w:rFonts w:ascii="Times New Roman" w:cs="Times New Roman" w:eastAsia="Times New Roman" w:hAnsi="Times New Roman"/>
          <w:sz w:val="18"/>
          <w:szCs w:val="18"/>
          <w:color w:val="auto"/>
        </w:rPr>
        <w:t>represents basic net loss per share adjusted to include the effects of all potentially dilutive shares. Diluted net loss per share is the same as basic loss per share for all periods as the inclusion of potentially issuable shares would be antidilutive.</w:t>
      </w:r>
    </w:p>
    <w:p>
      <w:pPr>
        <w:spacing w:after="0" w:line="54" w:lineRule="exact"/>
        <w:rPr>
          <w:sz w:val="20"/>
          <w:szCs w:val="20"/>
          <w:color w:val="auto"/>
        </w:rPr>
      </w:pPr>
    </w:p>
    <w:p>
      <w:pPr>
        <w:ind w:right="620" w:firstLine="5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for the three months ended June 30, 2024 and 2023 (in thousands, except share and per share amounts):</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gridSpan w:val="7"/>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238"/>
        </w:trPr>
        <w:tc>
          <w:tcPr>
            <w:tcW w:w="5220" w:type="dxa"/>
            <w:vAlign w:val="bottom"/>
          </w:tcPr>
          <w:p>
            <w:pPr>
              <w:spacing w:after="0"/>
              <w:rPr>
                <w:sz w:val="20"/>
                <w:szCs w:val="20"/>
                <w:color w:val="auto"/>
              </w:rPr>
            </w:pPr>
          </w:p>
        </w:tc>
        <w:tc>
          <w:tcPr>
            <w:tcW w:w="2600" w:type="dxa"/>
            <w:vAlign w:val="bottom"/>
            <w:gridSpan w:val="7"/>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20" w:type="dxa"/>
            <w:vAlign w:val="bottom"/>
            <w:gridSpan w:val="6"/>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50"/>
        </w:trPr>
        <w:tc>
          <w:tcPr>
            <w:tcW w:w="5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(38,466 )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(34,823 )</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(73,799 )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(71,732 )</w:t>
            </w:r>
          </w:p>
        </w:tc>
        <w:tc>
          <w:tcPr>
            <w:tcW w:w="0" w:type="dxa"/>
            <w:vAlign w:val="bottom"/>
          </w:tcPr>
          <w:p>
            <w:pPr>
              <w:spacing w:after="0"/>
              <w:rPr>
                <w:sz w:val="1"/>
                <w:szCs w:val="1"/>
                <w:color w:val="auto"/>
              </w:rPr>
            </w:pPr>
          </w:p>
        </w:tc>
      </w:tr>
      <w:tr>
        <w:trPr>
          <w:trHeight w:val="243"/>
        </w:trPr>
        <w:tc>
          <w:tcPr>
            <w:tcW w:w="5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2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(25,960 )</w:t>
            </w:r>
          </w:p>
        </w:tc>
        <w:tc>
          <w:tcPr>
            <w:tcW w:w="180" w:type="dxa"/>
            <w:vAlign w:val="bottom"/>
            <w:shd w:val="clear" w:color="auto" w:fill="CFF0FC"/>
          </w:tcPr>
          <w:p>
            <w:pPr>
              <w:spacing w:after="0"/>
              <w:rPr>
                <w:sz w:val="21"/>
                <w:szCs w:val="21"/>
                <w:color w:val="auto"/>
              </w:rPr>
            </w:pPr>
          </w:p>
        </w:tc>
        <w:tc>
          <w:tcPr>
            <w:tcW w:w="9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(25,705 )</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(51,801 )</w:t>
            </w:r>
          </w:p>
        </w:tc>
        <w:tc>
          <w:tcPr>
            <w:tcW w:w="1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(52,949 )</w:t>
            </w:r>
          </w:p>
        </w:tc>
        <w:tc>
          <w:tcPr>
            <w:tcW w:w="0" w:type="dxa"/>
            <w:vAlign w:val="bottom"/>
          </w:tcPr>
          <w:p>
            <w:pPr>
              <w:spacing w:after="0"/>
              <w:rPr>
                <w:sz w:val="1"/>
                <w:szCs w:val="1"/>
                <w:color w:val="auto"/>
              </w:rPr>
            </w:pPr>
          </w:p>
        </w:tc>
      </w:tr>
      <w:tr>
        <w:trPr>
          <w:trHeight w:val="209"/>
        </w:trPr>
        <w:tc>
          <w:tcPr>
            <w:tcW w:w="52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loss available to Class A ordinary shareholders of ProKidney</w:t>
            </w: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(12,506 )</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(9,118 )</w:t>
            </w:r>
          </w:p>
        </w:tc>
        <w:tc>
          <w:tcPr>
            <w:tcW w:w="3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(21,998 )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(18,783 )</w:t>
            </w:r>
          </w:p>
        </w:tc>
        <w:tc>
          <w:tcPr>
            <w:tcW w:w="0" w:type="dxa"/>
            <w:vAlign w:val="bottom"/>
          </w:tcPr>
          <w:p>
            <w:pPr>
              <w:spacing w:after="0"/>
              <w:rPr>
                <w:sz w:val="1"/>
                <w:szCs w:val="1"/>
                <w:color w:val="auto"/>
              </w:rPr>
            </w:pPr>
          </w:p>
        </w:tc>
      </w:tr>
      <w:tr>
        <w:trPr>
          <w:trHeight w:val="234"/>
        </w:trPr>
        <w:tc>
          <w:tcPr>
            <w:tcW w:w="5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 and diluted</w:t>
            </w:r>
          </w:p>
        </w:tc>
        <w:tc>
          <w:tcPr>
            <w:tcW w:w="240" w:type="dxa"/>
            <w:vAlign w:val="bottom"/>
            <w:vMerge w:val="continue"/>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980" w:type="dxa"/>
            <w:vAlign w:val="bottom"/>
            <w:gridSpan w:val="3"/>
            <w:vMerge w:val="continue"/>
          </w:tcPr>
          <w:p>
            <w:pPr>
              <w:spacing w:after="0"/>
              <w:rPr>
                <w:sz w:val="20"/>
                <w:szCs w:val="20"/>
                <w:color w:val="auto"/>
              </w:rPr>
            </w:pPr>
          </w:p>
        </w:tc>
        <w:tc>
          <w:tcPr>
            <w:tcW w:w="360" w:type="dxa"/>
            <w:vAlign w:val="bottom"/>
            <w:gridSpan w:val="2"/>
            <w:vMerge w:val="continue"/>
          </w:tcPr>
          <w:p>
            <w:pPr>
              <w:spacing w:after="0"/>
              <w:rPr>
                <w:sz w:val="20"/>
                <w:szCs w:val="20"/>
                <w:color w:val="auto"/>
              </w:rPr>
            </w:pPr>
          </w:p>
        </w:tc>
        <w:tc>
          <w:tcPr>
            <w:tcW w:w="1240" w:type="dxa"/>
            <w:vAlign w:val="bottom"/>
            <w:gridSpan w:val="4"/>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Class A ordinary shares or ProKidney Corp.</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 and diluted</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75,908,017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64,562,209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68,429,869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64,551,281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Class A ordinary share</w:t>
            </w:r>
          </w:p>
        </w:tc>
        <w:tc>
          <w:tcPr>
            <w:tcW w:w="2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5220" w:type="dxa"/>
            <w:vAlign w:val="bottom"/>
          </w:tcPr>
          <w:p>
            <w:pPr>
              <w:ind w:left="200"/>
              <w:spacing w:after="0" w:line="205" w:lineRule="exact"/>
              <w:rPr>
                <w:sz w:val="20"/>
                <w:szCs w:val="20"/>
                <w:color w:val="auto"/>
              </w:rPr>
            </w:pPr>
            <w:r>
              <w:rPr>
                <w:rFonts w:ascii="Times New Roman" w:cs="Times New Roman" w:eastAsia="Times New Roman" w:hAnsi="Times New Roman"/>
                <w:sz w:val="18"/>
                <w:szCs w:val="18"/>
                <w:color w:val="auto"/>
              </w:rPr>
              <w:t>Net loss per Class A ordinary share of ProKidney Corp., basic and</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(0.16 )</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(0.14 )</w:t>
            </w:r>
          </w:p>
        </w:tc>
        <w:tc>
          <w:tcPr>
            <w:tcW w:w="3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(0.32 )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(0.29 )</w:t>
            </w:r>
          </w:p>
        </w:tc>
        <w:tc>
          <w:tcPr>
            <w:tcW w:w="0" w:type="dxa"/>
            <w:vAlign w:val="bottom"/>
          </w:tcPr>
          <w:p>
            <w:pPr>
              <w:spacing w:after="0"/>
              <w:rPr>
                <w:sz w:val="1"/>
                <w:szCs w:val="1"/>
                <w:color w:val="auto"/>
              </w:rPr>
            </w:pPr>
          </w:p>
        </w:tc>
      </w:tr>
      <w:tr>
        <w:trPr>
          <w:trHeight w:val="207"/>
        </w:trPr>
        <w:tc>
          <w:tcPr>
            <w:tcW w:w="5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980" w:type="dxa"/>
            <w:vAlign w:val="bottom"/>
            <w:gridSpan w:val="3"/>
            <w:vMerge w:val="continue"/>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1240" w:type="dxa"/>
            <w:vAlign w:val="bottom"/>
            <w:gridSpan w:val="4"/>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420" w:type="dxa"/>
            <w:vAlign w:val="bottom"/>
            <w:gridSpan w:val="14"/>
          </w:tcPr>
          <w:p>
            <w:pPr>
              <w:ind w:left="200"/>
              <w:spacing w:after="0"/>
              <w:rPr>
                <w:sz w:val="20"/>
                <w:szCs w:val="20"/>
                <w:color w:val="auto"/>
              </w:rPr>
            </w:pPr>
            <w:r>
              <w:rPr>
                <w:rFonts w:ascii="Times New Roman" w:cs="Times New Roman" w:eastAsia="Times New Roman" w:hAnsi="Times New Roman"/>
                <w:sz w:val="18"/>
                <w:szCs w:val="18"/>
                <w:color w:val="auto"/>
              </w:rPr>
              <w:t>Outstanding anti-dilutive securities not included in the diluted net loss per share calculation include the following:</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As of June 30,</w:t>
            </w: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Antidilutive securities</w:t>
            </w: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ProKidney Corp. Class B ordinary shares</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7"/>
              </w:rPr>
              <w:t>163,817,953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173,663,427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Unvested Restricted Stock Rights</w:t>
            </w: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2,188,728</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5,952,288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Earnout Rights</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17,500,000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 options granted under the 2022 Equity Incentive Plan</w:t>
            </w: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21,916,121</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15,718,932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-3291205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-3291205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-3291205</wp:posOffset>
            </wp:positionV>
            <wp:extent cx="603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-3291205</wp:posOffset>
            </wp:positionV>
            <wp:extent cx="596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-1807845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-1807845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-1807845</wp:posOffset>
            </wp:positionV>
            <wp:extent cx="603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-1807845</wp:posOffset>
            </wp:positionV>
            <wp:extent cx="596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Equity Based Compensation</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Incentive Equity Plan</w:t>
      </w:r>
    </w:p>
    <w:p>
      <w:pPr>
        <w:spacing w:after="0" w:line="119" w:lineRule="exact"/>
        <w:rPr>
          <w:sz w:val="20"/>
          <w:szCs w:val="20"/>
          <w:color w:val="auto"/>
        </w:rPr>
      </w:pPr>
    </w:p>
    <w:p>
      <w:pPr>
        <w:ind w:firstLine="524"/>
        <w:spacing w:after="0" w:line="256" w:lineRule="auto"/>
        <w:rPr>
          <w:sz w:val="20"/>
          <w:szCs w:val="20"/>
          <w:color w:val="auto"/>
        </w:rPr>
      </w:pPr>
      <w:r>
        <w:rPr>
          <w:rFonts w:ascii="Times New Roman" w:cs="Times New Roman" w:eastAsia="Times New Roman" w:hAnsi="Times New Roman"/>
          <w:sz w:val="18"/>
          <w:szCs w:val="18"/>
          <w:color w:val="auto"/>
        </w:rPr>
        <w:t>On July 11, 2022, the shareholders of the Company approved the ProKidney Corp. 2022 Incentive Equity Plan (the “2022 Plan”) which provides for the issuance of equity based awards to the Company’s employees, non-employee directors, individual consultants, advisors and other service providers. The 2022 Plan provides for the issuance of equity awards in the form of incentive stock options, which are intended to satisfy the requirements of Section 422 of the Internal Revenue Code of 1986, as amended, or nonqualified stock options, which are not intended to meet those requirements, stock appreciation rights, restricted stock, restricted stock units, performance awards or other cash or stock-based awards as determined appropriate by the plan administrator. In settlement of its obligations under this plan, the Company will issue new Class A ordinary shares.</w:t>
      </w:r>
    </w:p>
    <w:p>
      <w:pPr>
        <w:spacing w:after="0" w:line="79" w:lineRule="exact"/>
        <w:rPr>
          <w:sz w:val="20"/>
          <w:szCs w:val="20"/>
          <w:color w:val="auto"/>
        </w:rPr>
      </w:pPr>
    </w:p>
    <w:p>
      <w:pPr>
        <w:ind w:firstLine="524"/>
        <w:spacing w:after="0" w:line="266" w:lineRule="auto"/>
        <w:rPr>
          <w:sz w:val="20"/>
          <w:szCs w:val="20"/>
          <w:color w:val="auto"/>
        </w:rPr>
      </w:pPr>
      <w:r>
        <w:rPr>
          <w:rFonts w:ascii="Times New Roman" w:cs="Times New Roman" w:eastAsia="Times New Roman" w:hAnsi="Times New Roman"/>
          <w:sz w:val="18"/>
          <w:szCs w:val="18"/>
          <w:color w:val="auto"/>
        </w:rPr>
        <w:t>The Company has issued incentive and non-qualified stock option awards under the 2022 Plan to certain employees, individual consultants and non-employee directors of the Company. Given that the Company has established a full valuation allowance against its deferred tax assets, the Company has recognized no tax benefit related to these awards.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Time-Vested Awards</w:t>
      </w:r>
    </w:p>
    <w:p>
      <w:pPr>
        <w:spacing w:after="0" w:line="121" w:lineRule="exact"/>
        <w:rPr>
          <w:sz w:val="20"/>
          <w:szCs w:val="20"/>
          <w:color w:val="auto"/>
        </w:rPr>
      </w:pPr>
    </w:p>
    <w:p>
      <w:pPr>
        <w:ind w:right="40" w:firstLine="524"/>
        <w:spacing w:after="0" w:line="266" w:lineRule="auto"/>
        <w:rPr>
          <w:sz w:val="20"/>
          <w:szCs w:val="20"/>
          <w:color w:val="auto"/>
        </w:rPr>
      </w:pPr>
      <w:r>
        <w:rPr>
          <w:rFonts w:ascii="Times New Roman" w:cs="Times New Roman" w:eastAsia="Times New Roman" w:hAnsi="Times New Roman"/>
          <w:sz w:val="18"/>
          <w:szCs w:val="18"/>
          <w:color w:val="auto"/>
        </w:rPr>
        <w:t>The Company uses the Black-Scholes option pricing model to calculate the fair value of time-vested stock options granted. These awards generally vest ratably over a three or four-year period and the option awards expire after a term of ten years from the date of grant. The fair value of stock options granted was estimated using the following assumptions during the six months ended June 30, 2024:</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1" w:name="page22"/>
    <w:bookmarkEnd w:id="21"/>
    <w:tbl>
      <w:tblPr>
        <w:tblLayout w:type="fixed"/>
        <w:tblInd w:w="34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40" w:type="dxa"/>
            <w:vAlign w:val="bottom"/>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460" w:type="dxa"/>
            <w:vAlign w:val="bottom"/>
          </w:tcPr>
          <w:p>
            <w:pPr>
              <w:spacing w:after="0"/>
              <w:rPr>
                <w:sz w:val="20"/>
                <w:szCs w:val="20"/>
                <w:color w:val="auto"/>
              </w:rPr>
            </w:pPr>
          </w:p>
        </w:tc>
      </w:tr>
      <w:tr>
        <w:trPr>
          <w:trHeight w:val="250"/>
        </w:trPr>
        <w:tc>
          <w:tcPr>
            <w:tcW w:w="4700" w:type="dxa"/>
            <w:vAlign w:val="bottom"/>
          </w:tcPr>
          <w:p>
            <w:pPr>
              <w:spacing w:after="0"/>
              <w:rPr>
                <w:sz w:val="21"/>
                <w:szCs w:val="21"/>
                <w:color w:val="auto"/>
              </w:rPr>
            </w:pPr>
          </w:p>
        </w:tc>
        <w:tc>
          <w:tcPr>
            <w:tcW w:w="2820" w:type="dxa"/>
            <w:vAlign w:val="bottom"/>
            <w:tcBorders>
              <w:bottom w:val="single" w:sz="8" w:color="auto"/>
            </w:tcBorders>
            <w:gridSpan w:val="2"/>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820" w:type="dxa"/>
            <w:vAlign w:val="bottom"/>
            <w:tcBorders>
              <w:bottom w:val="single" w:sz="8" w:color="auto"/>
            </w:tcBorders>
            <w:gridSpan w:val="2"/>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3"/>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- 84.9%</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- 83.5%</w:t>
            </w:r>
          </w:p>
        </w:tc>
      </w:tr>
      <w:tr>
        <w:trPr>
          <w:trHeight w:val="23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of options, in years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- 6.1</w:t>
            </w:r>
          </w:p>
        </w:tc>
      </w:tr>
      <w:tr>
        <w:trPr>
          <w:trHeight w:val="247"/>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- 4.6%</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- 4.2%</w:t>
            </w: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82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color w:val="auto"/>
              </w:rPr>
              <w:t>0.0%</w:t>
            </w:r>
          </w:p>
        </w:tc>
        <w:tc>
          <w:tcPr>
            <w:tcW w:w="3040" w:type="dxa"/>
            <w:vAlign w:val="bottom"/>
            <w:gridSpan w:val="3"/>
          </w:tcPr>
          <w:p>
            <w:pPr>
              <w:jc w:val="right"/>
              <w:ind w:right="1130"/>
              <w:spacing w:after="0"/>
              <w:rPr>
                <w:sz w:val="20"/>
                <w:szCs w:val="20"/>
                <w:color w:val="auto"/>
              </w:rPr>
            </w:pPr>
            <w:r>
              <w:rPr>
                <w:rFonts w:ascii="Times New Roman" w:cs="Times New Roman" w:eastAsia="Times New Roman" w:hAnsi="Times New Roman"/>
                <w:sz w:val="18"/>
                <w:szCs w:val="18"/>
                <w:color w:val="auto"/>
              </w:rPr>
              <w:t>0.0%</w:t>
            </w:r>
          </w:p>
        </w:tc>
      </w:tr>
    </w:tbl>
    <w:p>
      <w:pPr>
        <w:spacing w:after="0" w:line="98" w:lineRule="exact"/>
        <w:rPr>
          <w:sz w:val="20"/>
          <w:szCs w:val="20"/>
          <w:color w:val="auto"/>
        </w:rPr>
      </w:pPr>
    </w:p>
    <w:p>
      <w:pPr>
        <w:ind w:firstLine="5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related to the Company’s time-vested stock option awards granted under the 2022 Plan for the six months ended June 30, 2024:</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45"/>
        </w:trPr>
        <w:tc>
          <w:tcPr>
            <w:tcW w:w="7220" w:type="dxa"/>
            <w:vAlign w:val="bottom"/>
          </w:tcPr>
          <w:p>
            <w:pPr>
              <w:spacing w:after="0"/>
              <w:rPr>
                <w:sz w:val="21"/>
                <w:szCs w:val="21"/>
                <w:color w:val="auto"/>
              </w:rPr>
            </w:pP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40" w:type="dxa"/>
            <w:vAlign w:val="bottom"/>
          </w:tcPr>
          <w:p>
            <w:pPr>
              <w:spacing w:after="0"/>
              <w:rPr>
                <w:sz w:val="21"/>
                <w:szCs w:val="21"/>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43"/>
        </w:trPr>
        <w:tc>
          <w:tcPr>
            <w:tcW w:w="7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Time-vested options outstanding at January 1, 2024</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14,680,109</w:t>
            </w:r>
          </w:p>
        </w:tc>
        <w:tc>
          <w:tcPr>
            <w:tcW w:w="28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shd w:val="clear" w:color="auto" w:fill="CFF0FC"/>
          </w:tcPr>
          <w:p>
            <w:pPr>
              <w:spacing w:after="0"/>
              <w:rPr>
                <w:sz w:val="21"/>
                <w:szCs w:val="21"/>
                <w:color w:val="auto"/>
              </w:rPr>
            </w:pPr>
          </w:p>
        </w:tc>
      </w:tr>
      <w:tr>
        <w:trPr>
          <w:trHeight w:val="239"/>
        </w:trPr>
        <w:tc>
          <w:tcPr>
            <w:tcW w:w="7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7,832,922</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0"/>
                <w:szCs w:val="20"/>
                <w:color w:val="auto"/>
              </w:rPr>
            </w:pPr>
          </w:p>
        </w:tc>
      </w:tr>
      <w:tr>
        <w:trPr>
          <w:trHeight w:val="247"/>
        </w:trPr>
        <w:tc>
          <w:tcPr>
            <w:tcW w:w="7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(281 )</w:t>
            </w:r>
          </w:p>
        </w:tc>
        <w:tc>
          <w:tcPr>
            <w:tcW w:w="1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FF0FC"/>
          </w:tcPr>
          <w:p>
            <w:pPr>
              <w:spacing w:after="0"/>
              <w:rPr>
                <w:sz w:val="21"/>
                <w:szCs w:val="21"/>
                <w:color w:val="auto"/>
              </w:rPr>
            </w:pPr>
          </w:p>
        </w:tc>
      </w:tr>
      <w:tr>
        <w:trPr>
          <w:trHeight w:val="239"/>
        </w:trPr>
        <w:tc>
          <w:tcPr>
            <w:tcW w:w="7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(2,102,879 )</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20"/>
                <w:szCs w:val="20"/>
                <w:color w:val="auto"/>
              </w:rPr>
            </w:pPr>
          </w:p>
        </w:tc>
      </w:tr>
      <w:tr>
        <w:trPr>
          <w:trHeight w:val="277"/>
        </w:trPr>
        <w:tc>
          <w:tcPr>
            <w:tcW w:w="7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Time-vested options outstanding at June 30, 2024</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20,409,871</w:t>
            </w:r>
          </w:p>
        </w:tc>
        <w:tc>
          <w:tcPr>
            <w:tcW w:w="2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Time-vested options exercisable at June 30, 2024</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3,150,017</w:t>
            </w:r>
          </w:p>
        </w:tc>
        <w:tc>
          <w:tcPr>
            <w:tcW w:w="28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tcPr>
          <w:p>
            <w:pPr>
              <w:spacing w:after="0"/>
              <w:rPr>
                <w:sz w:val="19"/>
                <w:szCs w:val="19"/>
                <w:color w:val="auto"/>
              </w:rPr>
            </w:pPr>
          </w:p>
        </w:tc>
      </w:tr>
      <w:tr>
        <w:trPr>
          <w:trHeight w:val="247"/>
        </w:trPr>
        <w:tc>
          <w:tcPr>
            <w:tcW w:w="7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Weighted average remaining contractual life</w:t>
            </w:r>
          </w:p>
        </w:tc>
        <w:tc>
          <w:tcPr>
            <w:tcW w:w="18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8.2 years</w:t>
            </w:r>
          </w:p>
        </w:tc>
        <w:tc>
          <w:tcPr>
            <w:tcW w:w="1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Time-vested options vested and expected to vest at June 30, 2024</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20,409,871</w:t>
            </w:r>
          </w:p>
        </w:tc>
        <w:tc>
          <w:tcPr>
            <w:tcW w:w="28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20"/>
                <w:szCs w:val="20"/>
                <w:color w:val="auto"/>
              </w:rPr>
            </w:pPr>
          </w:p>
        </w:tc>
      </w:tr>
      <w:tr>
        <w:trPr>
          <w:trHeight w:val="247"/>
        </w:trPr>
        <w:tc>
          <w:tcPr>
            <w:tcW w:w="7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Weighted average remaining contractual life</w:t>
            </w:r>
          </w:p>
        </w:tc>
        <w:tc>
          <w:tcPr>
            <w:tcW w:w="18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9.0 years</w:t>
            </w:r>
          </w:p>
        </w:tc>
        <w:tc>
          <w:tcPr>
            <w:tcW w:w="1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-642620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-625475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-642620</wp:posOffset>
            </wp:positionV>
            <wp:extent cx="596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-625475</wp:posOffset>
            </wp:positionV>
            <wp:extent cx="596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As of June 30, 2024, the Company had total unrecognized stock-based compensation expense of approximately $52,675,000 related to the time-vested grants under the 2022 Plan, which is expected to be recognized on a straight-line basis over a weighted average period of 2.9 years. The weighted average grant date fair value for the option grants during the six months ended June 30, 2024 and 2023 was $1.33 and $6.70, respectively.</w:t>
      </w:r>
    </w:p>
    <w:p>
      <w:pPr>
        <w:spacing w:after="0" w:line="68"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the in-the-money time-vested awards outstanding and those exercisable as of June 30, 2024 was $8,883,000 and $304,000,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Awards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has issued stock options to certain of its employees which vest based on the achievement of both operational performance metrics and service rendered over a specific time period. The following table summarizes the activity related to the Company’s performance-based stock option awards granted under the 2022 Plan for the six months ended June 30, 2024:</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45"/>
        </w:trPr>
        <w:tc>
          <w:tcPr>
            <w:tcW w:w="7220" w:type="dxa"/>
            <w:vAlign w:val="bottom"/>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00" w:type="dxa"/>
            <w:vAlign w:val="bottom"/>
          </w:tcPr>
          <w:p>
            <w:pPr>
              <w:spacing w:after="0"/>
              <w:rPr>
                <w:sz w:val="21"/>
                <w:szCs w:val="21"/>
                <w:color w:val="auto"/>
              </w:rPr>
            </w:pPr>
          </w:p>
        </w:tc>
      </w:tr>
      <w:tr>
        <w:trPr>
          <w:trHeight w:val="243"/>
        </w:trPr>
        <w:tc>
          <w:tcPr>
            <w:tcW w:w="7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Performance-based options outstanding at January 1, 2024</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4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FF0FC"/>
          </w:tcPr>
          <w:p>
            <w:pPr>
              <w:spacing w:after="0"/>
              <w:rPr>
                <w:sz w:val="21"/>
                <w:szCs w:val="21"/>
                <w:color w:val="auto"/>
              </w:rPr>
            </w:pPr>
          </w:p>
        </w:tc>
      </w:tr>
      <w:tr>
        <w:trPr>
          <w:trHeight w:val="239"/>
        </w:trPr>
        <w:tc>
          <w:tcPr>
            <w:tcW w:w="722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506,250</w:t>
            </w:r>
          </w:p>
        </w:tc>
        <w:tc>
          <w:tcPr>
            <w:tcW w:w="28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FF0FC"/>
            </w:tcBorders>
          </w:tcPr>
          <w:p>
            <w:pPr>
              <w:spacing w:after="0"/>
              <w:rPr>
                <w:sz w:val="20"/>
                <w:szCs w:val="20"/>
                <w:color w:val="auto"/>
              </w:rPr>
            </w:pPr>
          </w:p>
        </w:tc>
      </w:tr>
      <w:tr>
        <w:trPr>
          <w:trHeight w:val="277"/>
        </w:trPr>
        <w:tc>
          <w:tcPr>
            <w:tcW w:w="7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Performance-based options outstanding at June 30, 2024</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1,506,250</w:t>
            </w:r>
          </w:p>
        </w:tc>
        <w:tc>
          <w:tcPr>
            <w:tcW w:w="2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Performance-based options exercisable at June 30, 2024</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Performance-based options vested and expected to vest at June 30, 2024</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1,506,250</w:t>
            </w:r>
          </w:p>
        </w:tc>
        <w:tc>
          <w:tcPr>
            <w:tcW w:w="4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FF0FC"/>
          </w:tcPr>
          <w:p>
            <w:pPr>
              <w:spacing w:after="0"/>
              <w:rPr>
                <w:sz w:val="21"/>
                <w:szCs w:val="21"/>
                <w:color w:val="auto"/>
              </w:rPr>
            </w:pPr>
          </w:p>
        </w:tc>
      </w:tr>
      <w:tr>
        <w:trPr>
          <w:trHeight w:val="234"/>
        </w:trPr>
        <w:tc>
          <w:tcPr>
            <w:tcW w:w="7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 average remaining contractual life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years</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-482600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-465455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-645160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-482600</wp:posOffset>
            </wp:positionV>
            <wp:extent cx="596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-465455</wp:posOffset>
            </wp:positionV>
            <wp:extent cx="5969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-645160</wp:posOffset>
            </wp:positionV>
            <wp:extent cx="596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86" w:lineRule="exact"/>
        <w:rPr>
          <w:sz w:val="20"/>
          <w:szCs w:val="20"/>
          <w:color w:val="auto"/>
        </w:rPr>
      </w:pPr>
    </w:p>
    <w:p>
      <w:pPr>
        <w:jc w:val="center"/>
        <w:ind w:right="340"/>
        <w:spacing w:after="0" w:line="282" w:lineRule="auto"/>
        <w:rPr>
          <w:sz w:val="20"/>
          <w:szCs w:val="20"/>
          <w:color w:val="auto"/>
        </w:rPr>
      </w:pPr>
      <w:r>
        <w:rPr>
          <w:rFonts w:ascii="Times New Roman" w:cs="Times New Roman" w:eastAsia="Times New Roman" w:hAnsi="Times New Roman"/>
          <w:sz w:val="18"/>
          <w:szCs w:val="18"/>
          <w:color w:val="auto"/>
        </w:rPr>
        <w:t>As of June 30, 2024, the Company had total unrecognized stock-based compensation expense of approximately $1,069,000 related to the performance-based grants under the 2022 Plan, which is expected to be recognized on a straight-line basis over a weighted average period of 1.2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Market-Vested Awards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previous periods, the Company had granted market-vested options to its former Chief Executive Officer, these awards were forfeited upon the termination of his employment in November 2023. There were no market-vested awards granted during the three and six months ended June 30, 2024 and 2023. There were no market based awards outstanding at June 30,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Profits Interests</w:t>
      </w:r>
    </w:p>
    <w:p>
      <w:pPr>
        <w:spacing w:after="0" w:line="121" w:lineRule="exact"/>
        <w:rPr>
          <w:sz w:val="20"/>
          <w:szCs w:val="20"/>
          <w:color w:val="auto"/>
        </w:rPr>
      </w:pPr>
    </w:p>
    <w:p>
      <w:pPr>
        <w:ind w:right="560" w:firstLine="524"/>
        <w:spacing w:after="0" w:line="261" w:lineRule="auto"/>
        <w:rPr>
          <w:sz w:val="20"/>
          <w:szCs w:val="20"/>
          <w:color w:val="auto"/>
        </w:rPr>
      </w:pPr>
      <w:r>
        <w:rPr>
          <w:rFonts w:ascii="Times New Roman" w:cs="Times New Roman" w:eastAsia="Times New Roman" w:hAnsi="Times New Roman"/>
          <w:sz w:val="18"/>
          <w:szCs w:val="18"/>
          <w:color w:val="auto"/>
        </w:rPr>
        <w:t>The Deed for the Establishment of a Limited Partnership of PKLP, dated as of August 5, 2021 (the “Limited Partnership Agreement”) which replaced the Amended and Restated Limited Liability Company Agreement of ProKidney LLC as the governing</w:t>
      </w: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2" w:right="359" w:bottom="1440" w:gutter="0" w:footer="0" w:header="0"/>
        </w:sectPr>
      </w:pPr>
    </w:p>
    <w:bookmarkStart w:id="22" w:name="page23"/>
    <w:bookmarkEnd w:id="22"/>
    <w:p>
      <w:pPr>
        <w:spacing w:after="0" w:line="266" w:lineRule="auto"/>
        <w:rPr>
          <w:sz w:val="20"/>
          <w:szCs w:val="20"/>
          <w:color w:val="auto"/>
        </w:rPr>
      </w:pPr>
      <w:r>
        <w:rPr>
          <w:rFonts w:ascii="Times New Roman" w:cs="Times New Roman" w:eastAsia="Times New Roman" w:hAnsi="Times New Roman"/>
          <w:sz w:val="18"/>
          <w:szCs w:val="18"/>
          <w:color w:val="auto"/>
        </w:rPr>
        <w:t>document of the parent entity in the Company, allowed for the issuance of Profits Interests (as defined in the Limited Partnership Agreement) to employees, directors, other service providers of the Company and others denominated in the form of one or more Class B Units of PKLP (as defined in the Limited Partnership Agreement).</w:t>
      </w:r>
    </w:p>
    <w:p>
      <w:pPr>
        <w:spacing w:after="0" w:line="68" w:lineRule="exact"/>
        <w:rPr>
          <w:sz w:val="20"/>
          <w:szCs w:val="20"/>
          <w:color w:val="auto"/>
        </w:rPr>
      </w:pPr>
    </w:p>
    <w:p>
      <w:pPr>
        <w:ind w:right="140" w:firstLine="524"/>
        <w:spacing w:after="0" w:line="256" w:lineRule="auto"/>
        <w:rPr>
          <w:sz w:val="20"/>
          <w:szCs w:val="20"/>
          <w:color w:val="auto"/>
        </w:rPr>
      </w:pPr>
      <w:r>
        <w:rPr>
          <w:rFonts w:ascii="Times New Roman" w:cs="Times New Roman" w:eastAsia="Times New Roman" w:hAnsi="Times New Roman"/>
          <w:sz w:val="18"/>
          <w:szCs w:val="18"/>
          <w:color w:val="auto"/>
        </w:rPr>
        <w:t>Under the Limited Partnership Agreement, Legacy GP determined the terms and conditions of the Profits Interests issued. The threshold value assigned to each grant was not to be less than the fair market value of PKLP on the date of grant. Profits Interests awarded would vest at a rate of 25% on the latter of the first anniversary of employment and the first anniversary of the Acquisition Date with the remaining 75% to vest in increments of 25% on each anniversary following the first anniversary date, ratably over a three or four-year period from the date of grant, in annual installments of 33.3% over the three-year period from the date of grant, in increments of 6.25% each calendar quarter following the first anniversary date, or were fully vested upon issuance.</w:t>
      </w:r>
    </w:p>
    <w:p>
      <w:pPr>
        <w:spacing w:after="0" w:line="79" w:lineRule="exact"/>
        <w:rPr>
          <w:sz w:val="20"/>
          <w:szCs w:val="20"/>
          <w:color w:val="auto"/>
        </w:rPr>
      </w:pPr>
    </w:p>
    <w:p>
      <w:pPr>
        <w:ind w:right="200" w:firstLine="524"/>
        <w:spacing w:after="0" w:line="258" w:lineRule="auto"/>
        <w:rPr>
          <w:sz w:val="20"/>
          <w:szCs w:val="20"/>
          <w:color w:val="auto"/>
        </w:rPr>
      </w:pPr>
      <w:r>
        <w:rPr>
          <w:rFonts w:ascii="Times New Roman" w:cs="Times New Roman" w:eastAsia="Times New Roman" w:hAnsi="Times New Roman"/>
          <w:sz w:val="18"/>
          <w:szCs w:val="18"/>
          <w:color w:val="auto"/>
        </w:rPr>
        <w:t>On January 17, 2022, PKLP amended and restated its Limited Partnership Agreement (the “Amended and Restated Limited Partnership Agreement”) which provided that certain qualified distribution events would result in holders of Profits Interests receiving disproportionate distributions from PKLP until each such holder’s valuation threshold had been reduced to zero in order to “catch up” such holder’s distributions to its pro rata share of aggregate cumulative distributions, and once sufficient distributions to a holder of Profits Interests had been made in accordance with the foregoing, the associated Class B Units of PKLP would automatically be converted into Class A Units of PKLP (as defined in the Limited Partnership Agreement).</w:t>
      </w:r>
    </w:p>
    <w:p>
      <w:pPr>
        <w:spacing w:after="0" w:line="29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Upon consummation of the Business Combination discussed in Note 1, PKLP’s existing Class B and B-1 Units were “caught up” and were converted into Class A Units of PKLP. The resulting vested and unvested Class A Units of PKLP were then recapitalized into Post-Combination ProKidney Common Units or Restricted Common Units of the Company, respectively. This recapitalization resulted in a decrease in the number of awards held by each participant. As such, the number of Profits Interests and related per unit values within these financial statements have been adjusted to reflect this recapitalization. Upon recapitalization, the Restricted Common Units maintained the vesting schedules associated with the original Profits Interest awards.</w:t>
      </w:r>
    </w:p>
    <w:p>
      <w:pPr>
        <w:spacing w:after="0" w:line="7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Profits Interest awards for the six months ended June 30, 2024:</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16"/>
        </w:trPr>
        <w:tc>
          <w:tcPr>
            <w:tcW w:w="7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Grant Date Fair</w:t>
            </w:r>
          </w:p>
        </w:tc>
      </w:tr>
      <w:tr>
        <w:trPr>
          <w:trHeight w:val="245"/>
        </w:trPr>
        <w:tc>
          <w:tcPr>
            <w:tcW w:w="7220" w:type="dxa"/>
            <w:vAlign w:val="bottom"/>
          </w:tcPr>
          <w:p>
            <w:pPr>
              <w:spacing w:after="0"/>
              <w:rPr>
                <w:sz w:val="21"/>
                <w:szCs w:val="21"/>
                <w:color w:val="auto"/>
              </w:rPr>
            </w:pP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300" w:type="dxa"/>
            <w:vAlign w:val="bottom"/>
          </w:tcPr>
          <w:p>
            <w:pPr>
              <w:spacing w:after="0"/>
              <w:rPr>
                <w:sz w:val="21"/>
                <w:szCs w:val="21"/>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43"/>
        </w:trPr>
        <w:tc>
          <w:tcPr>
            <w:tcW w:w="7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awards outstanding at January 1, 2024</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3,565,753</w:t>
            </w:r>
          </w:p>
        </w:tc>
        <w:tc>
          <w:tcPr>
            <w:tcW w:w="280" w:type="dxa"/>
            <w:vAlign w:val="bottom"/>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shd w:val="clear" w:color="auto" w:fill="CFF0FC"/>
          </w:tcPr>
          <w:p>
            <w:pPr>
              <w:spacing w:after="0"/>
              <w:rPr>
                <w:sz w:val="21"/>
                <w:szCs w:val="21"/>
                <w:color w:val="auto"/>
              </w:rPr>
            </w:pPr>
          </w:p>
        </w:tc>
      </w:tr>
      <w:tr>
        <w:trPr>
          <w:trHeight w:val="239"/>
        </w:trPr>
        <w:tc>
          <w:tcPr>
            <w:tcW w:w="7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(1,218,775 )</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Pr>
          <w:p>
            <w:pPr>
              <w:spacing w:after="0"/>
              <w:rPr>
                <w:sz w:val="20"/>
                <w:szCs w:val="20"/>
                <w:color w:val="auto"/>
              </w:rPr>
            </w:pPr>
          </w:p>
        </w:tc>
      </w:tr>
      <w:tr>
        <w:trPr>
          <w:trHeight w:val="243"/>
        </w:trPr>
        <w:tc>
          <w:tcPr>
            <w:tcW w:w="7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(158,250 )</w:t>
            </w: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shd w:val="clear" w:color="auto" w:fill="CFF0FC"/>
          </w:tcPr>
          <w:p>
            <w:pPr>
              <w:spacing w:after="0"/>
              <w:rPr>
                <w:sz w:val="21"/>
                <w:szCs w:val="21"/>
                <w:color w:val="auto"/>
              </w:rPr>
            </w:pPr>
          </w:p>
        </w:tc>
      </w:tr>
      <w:tr>
        <w:trPr>
          <w:trHeight w:val="237"/>
        </w:trPr>
        <w:tc>
          <w:tcPr>
            <w:tcW w:w="72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Unvested awards outstanding at June 30, 2024</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2,188,728</w:t>
            </w:r>
          </w:p>
        </w:tc>
        <w:tc>
          <w:tcPr>
            <w:tcW w:w="28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Borders>
              <w:top w:val="single" w:sz="8" w:color="CFF0FC"/>
            </w:tcBorders>
          </w:tcPr>
          <w:p>
            <w:pPr>
              <w:spacing w:after="0"/>
              <w:rPr>
                <w:sz w:val="20"/>
                <w:szCs w:val="20"/>
                <w:color w:val="auto"/>
              </w:rPr>
            </w:pPr>
          </w:p>
        </w:tc>
      </w:tr>
      <w:tr>
        <w:trPr>
          <w:trHeight w:val="20"/>
        </w:trPr>
        <w:tc>
          <w:tcPr>
            <w:tcW w:w="72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-187960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-187960</wp:posOffset>
            </wp:positionV>
            <wp:extent cx="596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jc w:val="both"/>
        <w:ind w:right="300" w:firstLine="524"/>
        <w:spacing w:after="0" w:line="266" w:lineRule="auto"/>
        <w:rPr>
          <w:sz w:val="20"/>
          <w:szCs w:val="20"/>
          <w:color w:val="auto"/>
        </w:rPr>
      </w:pPr>
      <w:r>
        <w:rPr>
          <w:rFonts w:ascii="Times New Roman" w:cs="Times New Roman" w:eastAsia="Times New Roman" w:hAnsi="Times New Roman"/>
          <w:sz w:val="18"/>
          <w:szCs w:val="18"/>
          <w:color w:val="auto"/>
        </w:rPr>
        <w:t>As of June 30, 2024, the unrecognized compensation expense related to these awards was $11,526,000. The current weighted average remaining period over which the unrecognized compensation expense is expected to be recognized is 1.4 years. There were no Profits Interests awarded during the three months ended June 30, 2024 or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 to Equity Based Compensation Awards</w:t>
      </w:r>
    </w:p>
    <w:p>
      <w:pPr>
        <w:spacing w:after="0" w:line="121" w:lineRule="exact"/>
        <w:rPr>
          <w:sz w:val="20"/>
          <w:szCs w:val="20"/>
          <w:color w:val="auto"/>
        </w:rPr>
      </w:pPr>
    </w:p>
    <w:p>
      <w:pPr>
        <w:jc w:val="both"/>
        <w:ind w:right="420" w:firstLine="524"/>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2023, the Company modified the vesting terms of outstanding time-based stock options issued to certain personnel upon their separation. This amendment constituted a modification of the awards under the provisions of ASC Topic 718 and resulted in the recognition of an additional $3,011,000 of compensation expense during the six months ended June 30,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Based Compensation Expense</w:t>
      </w:r>
    </w:p>
    <w:p>
      <w:pPr>
        <w:spacing w:after="0" w:line="121" w:lineRule="exact"/>
        <w:rPr>
          <w:sz w:val="20"/>
          <w:szCs w:val="20"/>
          <w:color w:val="auto"/>
        </w:rPr>
      </w:pPr>
    </w:p>
    <w:p>
      <w:pPr>
        <w:ind w:right="200" w:firstLine="524"/>
        <w:spacing w:after="0" w:line="282" w:lineRule="auto"/>
        <w:rPr>
          <w:sz w:val="20"/>
          <w:szCs w:val="20"/>
          <w:color w:val="auto"/>
        </w:rPr>
      </w:pPr>
      <w:r>
        <w:rPr>
          <w:rFonts w:ascii="Times New Roman" w:cs="Times New Roman" w:eastAsia="Times New Roman" w:hAnsi="Times New Roman"/>
          <w:sz w:val="18"/>
          <w:szCs w:val="18"/>
          <w:color w:val="auto"/>
        </w:rPr>
        <w:t>Compensation expense related to equity-based awards is included in research and development and general and administrative expense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6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6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50"/>
        </w:trPr>
        <w:tc>
          <w:tcPr>
            <w:tcW w:w="47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43"/>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6,633</w:t>
            </w:r>
          </w:p>
        </w:tc>
        <w:tc>
          <w:tcPr>
            <w:tcW w:w="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8,443</w:t>
            </w:r>
          </w:p>
        </w:tc>
        <w:tc>
          <w:tcPr>
            <w:tcW w:w="100" w:type="dxa"/>
            <w:vAlign w:val="bottom"/>
            <w:shd w:val="clear" w:color="auto" w:fill="CFF0FC"/>
          </w:tcPr>
          <w:p>
            <w:pPr>
              <w:spacing w:after="0"/>
              <w:rPr>
                <w:sz w:val="21"/>
                <w:szCs w:val="21"/>
                <w:color w:val="auto"/>
              </w:rPr>
            </w:pPr>
          </w:p>
        </w:tc>
      </w:tr>
      <w:tr>
        <w:trPr>
          <w:trHeight w:val="23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7,918</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8,856</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15,779</w:t>
            </w:r>
          </w:p>
        </w:tc>
        <w:tc>
          <w:tcPr>
            <w:tcW w:w="100" w:type="dxa"/>
            <w:vAlign w:val="bottom"/>
          </w:tcPr>
          <w:p>
            <w:pPr>
              <w:spacing w:after="0"/>
              <w:rPr>
                <w:sz w:val="20"/>
                <w:szCs w:val="20"/>
                <w:color w:val="auto"/>
              </w:rPr>
            </w:pPr>
          </w:p>
        </w:tc>
      </w:tr>
      <w:tr>
        <w:trPr>
          <w:trHeight w:val="281"/>
        </w:trPr>
        <w:tc>
          <w:tcPr>
            <w:tcW w:w="4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equity-based compensation expense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7,808</w:t>
            </w:r>
          </w:p>
        </w:tc>
        <w:tc>
          <w:tcPr>
            <w:tcW w:w="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11,202</w:t>
            </w: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15,489</w:t>
            </w:r>
          </w:p>
        </w:tc>
        <w:tc>
          <w:tcPr>
            <w:tcW w:w="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24,222</w:t>
            </w:r>
          </w:p>
        </w:tc>
        <w:tc>
          <w:tcPr>
            <w:tcW w:w="100" w:type="dxa"/>
            <w:vAlign w:val="bottom"/>
            <w:shd w:val="clear" w:color="auto" w:fill="CFF0FC"/>
          </w:tcPr>
          <w:p>
            <w:pPr>
              <w:spacing w:after="0"/>
              <w:rPr>
                <w:sz w:val="24"/>
                <w:szCs w:val="24"/>
                <w:color w:val="auto"/>
              </w:rPr>
            </w:pPr>
          </w:p>
        </w:tc>
      </w:tr>
      <w:tr>
        <w:trPr>
          <w:trHeight w:val="413"/>
        </w:trPr>
        <w:tc>
          <w:tcPr>
            <w:tcW w:w="47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49"/>
        </w:trPr>
        <w:tc>
          <w:tcPr>
            <w:tcW w:w="47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-788035</wp:posOffset>
            </wp:positionV>
            <wp:extent cx="7747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-770890</wp:posOffset>
            </wp:positionV>
            <wp:extent cx="7747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-788035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-770890</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-788035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-770890</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-788035</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-770890</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ind w:left="540"/>
        <w:spacing w:after="0"/>
        <w:rPr>
          <w:sz w:val="20"/>
          <w:szCs w:val="20"/>
          <w:color w:val="auto"/>
        </w:rPr>
      </w:pPr>
      <w:r>
        <w:rPr>
          <w:rFonts w:ascii="Times New Roman" w:cs="Times New Roman" w:eastAsia="Times New Roman" w:hAnsi="Times New Roman"/>
          <w:sz w:val="18"/>
          <w:szCs w:val="18"/>
          <w:color w:val="auto"/>
        </w:rPr>
        <w:t>The following table summarizes our equity based compensation by type of award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0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0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340" w:type="dxa"/>
            <w:vAlign w:val="bottom"/>
          </w:tcPr>
          <w:p>
            <w:pPr>
              <w:spacing w:after="0"/>
              <w:rPr>
                <w:sz w:val="20"/>
                <w:szCs w:val="20"/>
                <w:color w:val="auto"/>
              </w:rPr>
            </w:pPr>
          </w:p>
        </w:tc>
      </w:tr>
      <w:tr>
        <w:trPr>
          <w:trHeight w:val="250"/>
        </w:trPr>
        <w:tc>
          <w:tcPr>
            <w:tcW w:w="34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Time-vested stock options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5,575</w:t>
            </w:r>
          </w:p>
        </w:tc>
        <w:tc>
          <w:tcPr>
            <w:tcW w:w="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4,665</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10,755</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11,595</w:t>
            </w:r>
          </w:p>
        </w:tc>
        <w:tc>
          <w:tcPr>
            <w:tcW w:w="100" w:type="dxa"/>
            <w:vAlign w:val="bottom"/>
            <w:shd w:val="clear" w:color="auto" w:fill="CFF0FC"/>
          </w:tcPr>
          <w:p>
            <w:pPr>
              <w:spacing w:after="0"/>
              <w:rPr>
                <w:sz w:val="21"/>
                <w:szCs w:val="21"/>
                <w:color w:val="auto"/>
              </w:rPr>
            </w:pPr>
          </w:p>
        </w:tc>
        <w:tc>
          <w:tcPr>
            <w:tcW w:w="340" w:type="dxa"/>
            <w:vAlign w:val="bottom"/>
          </w:tcPr>
          <w:p>
            <w:pPr>
              <w:spacing w:after="0"/>
              <w:rPr>
                <w:sz w:val="21"/>
                <w:szCs w:val="21"/>
                <w:color w:val="auto"/>
              </w:rPr>
            </w:pPr>
          </w:p>
        </w:tc>
      </w:tr>
      <w:tr>
        <w:trPr>
          <w:trHeight w:val="239"/>
        </w:trPr>
        <w:tc>
          <w:tcPr>
            <w:tcW w:w="340" w:type="dxa"/>
            <w:vAlign w:val="bottom"/>
          </w:tcPr>
          <w:p>
            <w:pPr>
              <w:spacing w:after="0"/>
              <w:rPr>
                <w:sz w:val="20"/>
                <w:szCs w:val="20"/>
                <w:color w:val="auto"/>
              </w:rPr>
            </w:pPr>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Performance-based stock options</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r>
      <w:tr>
        <w:trPr>
          <w:trHeight w:val="247"/>
        </w:trPr>
        <w:tc>
          <w:tcPr>
            <w:tcW w:w="340" w:type="dxa"/>
            <w:vAlign w:val="bottom"/>
          </w:tcPr>
          <w:p>
            <w:pPr>
              <w:spacing w:after="0"/>
              <w:rPr>
                <w:sz w:val="21"/>
                <w:szCs w:val="21"/>
                <w:color w:val="auto"/>
              </w:rPr>
            </w:pPr>
          </w:p>
        </w:tc>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Market-vested stock options</w:t>
            </w:r>
          </w:p>
        </w:tc>
        <w:tc>
          <w:tcPr>
            <w:tcW w:w="2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5,558</w:t>
            </w:r>
          </w:p>
        </w:tc>
        <w:tc>
          <w:tcPr>
            <w:tcW w:w="100" w:type="dxa"/>
            <w:vAlign w:val="bottom"/>
            <w:shd w:val="clear" w:color="auto" w:fill="CFF0FC"/>
          </w:tcPr>
          <w:p>
            <w:pPr>
              <w:spacing w:after="0"/>
              <w:rPr>
                <w:sz w:val="21"/>
                <w:szCs w:val="21"/>
                <w:color w:val="auto"/>
              </w:rPr>
            </w:pPr>
          </w:p>
        </w:tc>
        <w:tc>
          <w:tcPr>
            <w:tcW w:w="340" w:type="dxa"/>
            <w:vAlign w:val="bottom"/>
          </w:tcPr>
          <w:p>
            <w:pPr>
              <w:spacing w:after="0"/>
              <w:rPr>
                <w:sz w:val="21"/>
                <w:szCs w:val="21"/>
                <w:color w:val="auto"/>
              </w:rPr>
            </w:pPr>
          </w:p>
        </w:tc>
      </w:tr>
      <w:tr>
        <w:trPr>
          <w:trHeight w:val="239"/>
        </w:trPr>
        <w:tc>
          <w:tcPr>
            <w:tcW w:w="340" w:type="dxa"/>
            <w:vAlign w:val="bottom"/>
          </w:tcPr>
          <w:p>
            <w:pPr>
              <w:spacing w:after="0"/>
              <w:rPr>
                <w:sz w:val="20"/>
                <w:szCs w:val="20"/>
                <w:color w:val="auto"/>
              </w:rPr>
            </w:pPr>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Legacy profits interests</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3,743</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4,165</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81"/>
        </w:trPr>
        <w:tc>
          <w:tcPr>
            <w:tcW w:w="340" w:type="dxa"/>
            <w:vAlign w:val="bottom"/>
          </w:tcPr>
          <w:p>
            <w:pPr>
              <w:spacing w:after="0"/>
              <w:rPr>
                <w:sz w:val="24"/>
                <w:szCs w:val="24"/>
                <w:color w:val="auto"/>
              </w:rPr>
            </w:pPr>
          </w:p>
        </w:tc>
        <w:tc>
          <w:tcPr>
            <w:tcW w:w="4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equity-based compensation expense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7,808</w:t>
            </w:r>
          </w:p>
        </w:tc>
        <w:tc>
          <w:tcPr>
            <w:tcW w:w="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11,202</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15,489</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24,222</w:t>
            </w:r>
          </w:p>
        </w:tc>
        <w:tc>
          <w:tcPr>
            <w:tcW w:w="100" w:type="dxa"/>
            <w:vAlign w:val="bottom"/>
            <w:shd w:val="clear" w:color="auto" w:fill="CFF0FC"/>
          </w:tcPr>
          <w:p>
            <w:pPr>
              <w:spacing w:after="0"/>
              <w:rPr>
                <w:sz w:val="24"/>
                <w:szCs w:val="24"/>
                <w:color w:val="auto"/>
              </w:rPr>
            </w:pPr>
          </w:p>
        </w:tc>
        <w:tc>
          <w:tcPr>
            <w:tcW w:w="340" w:type="dxa"/>
            <w:vAlign w:val="bottom"/>
          </w:tcPr>
          <w:p>
            <w:pPr>
              <w:spacing w:after="0"/>
              <w:rPr>
                <w:sz w:val="24"/>
                <w:szCs w:val="24"/>
                <w:color w:val="auto"/>
              </w:rPr>
            </w:pPr>
          </w:p>
        </w:tc>
      </w:tr>
      <w:tr>
        <w:trPr>
          <w:trHeight w:val="413"/>
        </w:trPr>
        <w:tc>
          <w:tcPr>
            <w:tcW w:w="340" w:type="dxa"/>
            <w:vAlign w:val="bottom"/>
          </w:tcPr>
          <w:p>
            <w:pPr>
              <w:spacing w:after="0"/>
              <w:rPr>
                <w:sz w:val="24"/>
                <w:szCs w:val="24"/>
                <w:color w:val="auto"/>
              </w:rPr>
            </w:pPr>
          </w:p>
        </w:tc>
        <w:tc>
          <w:tcPr>
            <w:tcW w:w="444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340" w:type="dxa"/>
            <w:vAlign w:val="bottom"/>
          </w:tcPr>
          <w:p>
            <w:pPr>
              <w:spacing w:after="0"/>
              <w:rPr>
                <w:sz w:val="24"/>
                <w:szCs w:val="24"/>
                <w:color w:val="auto"/>
              </w:rPr>
            </w:pPr>
          </w:p>
        </w:tc>
      </w:tr>
      <w:tr>
        <w:trPr>
          <w:trHeight w:val="763"/>
        </w:trPr>
        <w:tc>
          <w:tcPr>
            <w:tcW w:w="34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-796290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-779145</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-796290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-779145</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-796290</wp:posOffset>
            </wp:positionV>
            <wp:extent cx="603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-779145</wp:posOffset>
            </wp:positionV>
            <wp:extent cx="6032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-796290</wp:posOffset>
            </wp:positionV>
            <wp:extent cx="596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-779145</wp:posOffset>
            </wp:positionV>
            <wp:extent cx="5969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As used in this Quarterly Report on Form 10-Q, the “Company”, the “Registrant”, “we” or “us” refer to ProKidney Corp. The following discussion and analysis of our financial condition and results of operations should be read in conjunction with our unaudited condensed consolidated financial statements and related notes that appear elsewhere in this report. In addition to historical financial information, the following discussion contains forward-looking statements that reflect our plans, estimates, assumptions and beliefs. Our actual results could differ materially from those discussed in the forward-looking statements. Factors that could cause or contribute to these differences include those discussed in the Risk Factors section of the Annual Report on Form 10-K filed with the Securities and Exchange Commission, and elsewhere in this report under “Part II, Other Information—Item 1A, Risk Factors.” Forward-looking statements include information concerning our possible or assumed future results of operations, business strategies and operations, financing plans, potential growth opportunities, potential market opportunities, potential results of our drug development efforts or trials, and the effects of competition. Forward-looking statements include all statements that are not historical facts and can be identified by terms such as “anticipates,” “believes,” “could,” “seeks,” “estimates,” “expects,” “intends,” “may,” “plans,” “potential,” “predicts,” “projects,” “should,” “will,” “would” or similar expressions and the negatives of those terms. Given these uncertainties, you should not place undue reliance on these forward-looking statements. Also, forward-looking statements represent our management’s plans, estimates, assumptions and beliefs only as of the date of this report.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24"/>
        <w:spacing w:after="0" w:line="254" w:lineRule="auto"/>
        <w:rPr>
          <w:sz w:val="20"/>
          <w:szCs w:val="20"/>
          <w:color w:val="auto"/>
        </w:rPr>
      </w:pPr>
      <w:r>
        <w:rPr>
          <w:rFonts w:ascii="Times New Roman" w:cs="Times New Roman" w:eastAsia="Times New Roman" w:hAnsi="Times New Roman"/>
          <w:sz w:val="18"/>
          <w:szCs w:val="18"/>
          <w:color w:val="auto"/>
        </w:rPr>
        <w:t>We are a clinical-stage biotechnology company with a transformative proprietary cell therapy platform that has the potential to treat multiple chronic kidney diseases using a patient’s own cells isolated from the patient intended for treatment. Our approach seeks to redefine the treatment of chronic kidney disease (“CKD”), shifting the emphasis away from management of kidney failure to the preservation, if not improvement, of kidney function. Our lead product candidate, rilparencel (which we sometimes refer to as REACT®), is designed to preserve kidney function in a CKD patient’s diseased kidneys. Rilparencel is a product that includes autologous Selected Renal Cells (“SRC”) prepared from a patient’s own (autologous) kidney cells. SRC are formulated into a product for reinjection into the patient’s kidney using a minimally invasive outpatient procedure that might be repeatable, if necessary. Because rilparencel is a personalized treatment composed of cells prepared from a patient’s own kidney, there is no need for treatment with immunosuppressive therapies that are required during a patient’s lifetime when a patient receives a kidney transplant from another, allogeneic donor.</w:t>
      </w:r>
    </w:p>
    <w:p>
      <w:pPr>
        <w:spacing w:after="0" w:line="84" w:lineRule="exact"/>
        <w:rPr>
          <w:sz w:val="20"/>
          <w:szCs w:val="20"/>
          <w:color w:val="auto"/>
        </w:rPr>
      </w:pPr>
    </w:p>
    <w:p>
      <w:pPr>
        <w:ind w:right="100" w:firstLine="524"/>
        <w:spacing w:after="0" w:line="258" w:lineRule="auto"/>
        <w:rPr>
          <w:sz w:val="20"/>
          <w:szCs w:val="20"/>
          <w:color w:val="auto"/>
        </w:rPr>
      </w:pPr>
      <w:r>
        <w:rPr>
          <w:rFonts w:ascii="Times New Roman" w:cs="Times New Roman" w:eastAsia="Times New Roman" w:hAnsi="Times New Roman"/>
          <w:sz w:val="18"/>
          <w:szCs w:val="18"/>
          <w:color w:val="auto"/>
        </w:rPr>
        <w:t>We are currently conducting a global Phase 3 development program and one ongoing Phase 2 clinical trial for rilparencel in subjects with moderate to severe diabetic kidney disease (“DKD”). We also completed a Phase 1 clinical trial for rilparencel in subjects with CKD due to congenital anomalies of the kidney and urinary tract (“CAKUT”) for which the last subject visit occurred in January 2023 and the clinical study report was submitted to the United States Food and Drug Administration (“FDA”) in December 2023. Rilparencel has, to date, been generally well tolerated by subjects with moderate to severe CKD in Phase 1 and 2 clinical testing.</w:t>
      </w:r>
    </w:p>
    <w:p>
      <w:pPr>
        <w:spacing w:after="0" w:line="75" w:lineRule="exact"/>
        <w:rPr>
          <w:sz w:val="20"/>
          <w:szCs w:val="20"/>
          <w:color w:val="auto"/>
        </w:rPr>
      </w:pPr>
    </w:p>
    <w:p>
      <w:pPr>
        <w:ind w:right="80" w:firstLine="569"/>
        <w:spacing w:after="0" w:line="258" w:lineRule="auto"/>
        <w:rPr>
          <w:sz w:val="20"/>
          <w:szCs w:val="20"/>
          <w:color w:val="auto"/>
        </w:rPr>
      </w:pPr>
      <w:r>
        <w:rPr>
          <w:rFonts w:ascii="Times New Roman" w:cs="Times New Roman" w:eastAsia="Times New Roman" w:hAnsi="Times New Roman"/>
          <w:sz w:val="18"/>
          <w:szCs w:val="18"/>
          <w:color w:val="auto"/>
        </w:rPr>
        <w:t>Since our inception, we have devoted substantially all of our resources to raising capital, organizing and staffing our Company, business and scientific planning, conducting discovery and research activities, acquiring or discovering product candidates, establishing and protecting our intellectual property portfolio, developing and progressing rilparencel and preparing for clinical trials, establishing arrangements with third parties for the manufacture of component materials, and providing general and administrative support for these operations. We do not have any product candidates approved for sale and have not generated any revenue from product sales.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RMCL-002 Study:</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RMCL-002 is a Phase 2, prospective, randomized, double-arm, deferred treatment, open-label, repeat dose, safety and efficacy study of rilparencel in subjects with type 2 diabetes and advanced kidney disease. The first subject was enrolled in this study in February 2017, and all subjects have completed follow-up.</w:t>
      </w:r>
    </w:p>
    <w:p>
      <w:pPr>
        <w:spacing w:after="0" w:line="68"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The primary objective of this study was to assess the safety and efficacy of up to two rilparencel injections given six months apart (up to four weeks after target date) in patients with advanced kidney disease caused by type 2 diabetes with eGFRs between 20 and 50 mL/min/1.73m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with both doses delivered into the biopsied kidney using an outpatient, minimally invasive, percutaneous approach under conscious sedation completed in less than 90 minutes. Patients received up to two doses of rilparencel of 3x10</w:t>
      </w:r>
      <w:r>
        <w:rPr>
          <w:rFonts w:ascii="Times New Roman" w:cs="Times New Roman" w:eastAsia="Times New Roman" w:hAnsi="Times New Roman"/>
          <w:sz w:val="24"/>
          <w:szCs w:val="24"/>
          <w:color w:val="auto"/>
          <w:vertAlign w:val="superscript"/>
        </w:rPr>
        <w:t>6</w:t>
      </w:r>
      <w:r>
        <w:rPr>
          <w:rFonts w:ascii="Times New Roman" w:cs="Times New Roman" w:eastAsia="Times New Roman" w:hAnsi="Times New Roman"/>
          <w:sz w:val="18"/>
          <w:szCs w:val="18"/>
          <w:color w:val="auto"/>
        </w:rPr>
        <w:t xml:space="preserve"> cells/g-KW</w:t>
      </w:r>
      <w:r>
        <w:rPr>
          <w:rFonts w:ascii="Times New Roman" w:cs="Times New Roman" w:eastAsia="Times New Roman" w:hAnsi="Times New Roman"/>
          <w:sz w:val="24"/>
          <w:szCs w:val="24"/>
          <w:color w:val="auto"/>
          <w:vertAlign w:val="superscript"/>
        </w:rPr>
        <w:t>est</w:t>
      </w:r>
      <w:r>
        <w:rPr>
          <w:rFonts w:ascii="Times New Roman" w:cs="Times New Roman" w:eastAsia="Times New Roman" w:hAnsi="Times New Roman"/>
          <w:sz w:val="18"/>
          <w:szCs w:val="18"/>
          <w:color w:val="auto"/>
        </w:rPr>
        <w:t xml:space="preserve"> each.</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May 2024, we released final data from this study which indicated:</w:t>
      </w:r>
    </w:p>
    <w:p>
      <w:pPr>
        <w:spacing w:after="0" w:line="117" w:lineRule="exact"/>
        <w:rPr>
          <w:sz w:val="20"/>
          <w:szCs w:val="20"/>
          <w:color w:val="auto"/>
        </w:rPr>
      </w:pPr>
    </w:p>
    <w:p>
      <w:pPr>
        <w:ind w:left="5540" w:right="2880" w:hanging="5023"/>
        <w:spacing w:after="0" w:line="282" w:lineRule="auto"/>
        <w:tabs>
          <w:tab w:leader="none" w:pos="103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rilparencel showed potential to preserve kidney function for up to 30 months in several patient groups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5" w:name="page26"/>
    <w:bookmarkEnd w:id="25"/>
    <w:p>
      <w:pPr>
        <w:ind w:left="1020" w:right="660" w:hanging="503"/>
        <w:spacing w:after="0" w:line="26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 to kidney function was most notable in subjects who had the highest risk of kidney failure (Stage 4 CKD with high urine albumin-to-creatinine ratio (UACR)); and</w:t>
      </w: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injections were well tolerated with a consistent safety profile comparable to kidney biopsy.</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REGEN-007 Study:</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REGEN-007 is an ongoing multi-center Phase 2 open-label 1:1 randomized two-armed trial in patients with diabetes and advanced kidney disease who have an estimated glomerular filtration rate (eGFR) between 20 and 50 mL/min/1.73m². At randomization, patients are allocated to two treatment groups using different dosing regimens. Group 1 replicates the dosing schedule for our Phase 3 clinical study program in which patients receive two rilparencel injections – one in each kidney, three months apart. Group 2 tests an exploratory dosing regimen to investigate whether physiological triggers, rather than a time-based trigger, could optimize multiple administrations of rilparencel. In Group 2, patients receive a single rilparencel dose in one kidney and a second dose in the contralateral kidney only if triggered by a sustained eGFR decline of ≥ 20%, and/or an increase in UACR from baseline of ≥ 30% and ≥ 30 mg/g.</w:t>
      </w:r>
    </w:p>
    <w:p>
      <w:pPr>
        <w:spacing w:after="0" w:line="81" w:lineRule="exact"/>
        <w:rPr>
          <w:sz w:val="20"/>
          <w:szCs w:val="20"/>
          <w:color w:val="auto"/>
        </w:rPr>
      </w:pPr>
    </w:p>
    <w:p>
      <w:pPr>
        <w:ind w:right="20" w:firstLine="509"/>
        <w:spacing w:after="0" w:line="239" w:lineRule="auto"/>
        <w:rPr>
          <w:sz w:val="20"/>
          <w:szCs w:val="20"/>
          <w:color w:val="auto"/>
        </w:rPr>
      </w:pPr>
      <w:r>
        <w:rPr>
          <w:rFonts w:ascii="Times New Roman" w:cs="Times New Roman" w:eastAsia="Times New Roman" w:hAnsi="Times New Roman"/>
          <w:sz w:val="18"/>
          <w:szCs w:val="18"/>
          <w:color w:val="auto"/>
        </w:rPr>
        <w:t>In Group 1, as of May 7, 2024, patients with at least 12 months follow-up after the second injection of rilparencel (n=13) show stabilized kidney function for 18 months (average eGFR change from baseline to 18 months was -1.3 mL/min/1.73m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Importantly, similar results were observed in a subset of these patients (n=10) who met key inclusion criteria currently used in our Phase 3 clinical study program (average eGFR change from baseline to 18 months was -0.6 mL/min/1.73m2). Additional analyses will be performed as Group 1 data matures.</w:t>
      </w:r>
    </w:p>
    <w:p>
      <w:pPr>
        <w:spacing w:after="0" w:line="92" w:lineRule="exact"/>
        <w:rPr>
          <w:sz w:val="20"/>
          <w:szCs w:val="20"/>
          <w:color w:val="auto"/>
        </w:rPr>
      </w:pPr>
    </w:p>
    <w:p>
      <w:pPr>
        <w:ind w:firstLine="509"/>
        <w:spacing w:after="0" w:line="289" w:lineRule="auto"/>
        <w:rPr>
          <w:sz w:val="20"/>
          <w:szCs w:val="20"/>
          <w:color w:val="auto"/>
        </w:rPr>
      </w:pPr>
      <w:r>
        <w:rPr>
          <w:rFonts w:ascii="Times New Roman" w:cs="Times New Roman" w:eastAsia="Times New Roman" w:hAnsi="Times New Roman"/>
          <w:sz w:val="17"/>
          <w:szCs w:val="17"/>
          <w:color w:val="auto"/>
        </w:rPr>
        <w:t>Twenty-five patients received at least one rilparencel injection in Group 2; 12 patients received a second rilparencel injection based on eGFR criteria (n=3) or UACR criteria (n=9). Patients in Group 2 who received two injections are scheduled to have up to 18 months of follow-up after their second injection. No rilparencel-related serious adverse events were observed across all patients in the study who received at least one rilparencel injection (n=49).</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REGEN-006/PROACT 1 trial:</w:t>
      </w:r>
    </w:p>
    <w:p>
      <w:pPr>
        <w:spacing w:after="0" w:line="121" w:lineRule="exact"/>
        <w:rPr>
          <w:sz w:val="20"/>
          <w:szCs w:val="20"/>
          <w:color w:val="auto"/>
        </w:rPr>
      </w:pPr>
    </w:p>
    <w:p>
      <w:pPr>
        <w:ind w:right="500" w:firstLine="509"/>
        <w:spacing w:after="0" w:line="239" w:lineRule="auto"/>
        <w:rPr>
          <w:sz w:val="20"/>
          <w:szCs w:val="20"/>
          <w:color w:val="auto"/>
        </w:rPr>
      </w:pPr>
      <w:r>
        <w:rPr>
          <w:rFonts w:ascii="Times New Roman" w:cs="Times New Roman" w:eastAsia="Times New Roman" w:hAnsi="Times New Roman"/>
          <w:sz w:val="18"/>
          <w:szCs w:val="18"/>
          <w:color w:val="auto"/>
        </w:rPr>
        <w:t>REGEN-006 (PROACT 1) is an ongoing Phase 3, randomized, blinded, bi-lateral kidney dose, sham control arm, controlled efficacy study of rilparencel in subjects with advanced kidney disease caused by type 2 diabetes. The related study protocol has been amended to focus on a subset of patients with Stage 4 CKD (eGFR between 20 and 30 mL/min/1.73m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and late Stage 3b CKD (eGFR between 30 and 35 mL/min/1.73m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with accompanying albuminuria (UACR between 300 and 5000 mg/g). PROACT 1 has resumed enrolling patients under the amended protocol.</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REGEN-016/PROACT 2 trial:</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REGEN-016 (PROACT 2) is a planned Phase 3, randomized, blinded, sham control arm, bi-lateral kidney dose, controlled efficacy study of rilparencel in subjects with Stages 3b and 4 CKD caused by type 2 diabetes (specifically eGFR between 20 and 44 mL/min/1.73m</w:t>
      </w:r>
      <w:r>
        <w:rPr>
          <w:rFonts w:ascii="Times New Roman" w:cs="Times New Roman" w:eastAsia="Times New Roman" w:hAnsi="Times New Roman"/>
          <w:sz w:val="11"/>
          <w:szCs w:val="11"/>
          <w:color w:val="auto"/>
        </w:rPr>
        <w:t>2</w:t>
      </w:r>
      <w:r>
        <w:rPr>
          <w:rFonts w:ascii="Times New Roman" w:cs="Times New Roman" w:eastAsia="Times New Roman" w:hAnsi="Times New Roman"/>
          <w:sz w:val="18"/>
          <w:szCs w:val="18"/>
          <w:color w:val="auto"/>
        </w:rPr>
        <w:t xml:space="preserve"> with moderate to severe albuminuria (UACR between 300 and 5,000 mg/g)). This study is planned to be conducted in clinical centers in Europe (we have activated sites in Spain), Latin America, Asia-Pacific and some United States centers.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Update:</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June 2024, we resumed manufacturing for U.S. and non-European clinical study sites, and in July 2024, we received the Qualified Person (QP) Declaration of Equivalence to European Union Good Manufacturing Practice (GMP) standards. This will allow us to ship rilparencel to clinical study sites in Europe.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We have not generated any revenue since our inception and do not expect to generate any revenue from the sale of products in the near future, if at all. If our development efforts for rilparencel or any other product candidates are successful and result in marketing approval, or if we enter into collaboration or license agreements with third parties, we may generate revenue in the future from a combination of product sales or payments from such agreements.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our research and development activities, including the development of rilparencel.</w:t>
      </w: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6" w:name="page27"/>
    <w:bookmarkEnd w:id="26"/>
    <w:p>
      <w:pPr>
        <w:ind w:left="520"/>
        <w:spacing w:after="0"/>
        <w:rPr>
          <w:sz w:val="20"/>
          <w:szCs w:val="20"/>
          <w:color w:val="auto"/>
        </w:rPr>
      </w:pPr>
      <w:r>
        <w:rPr>
          <w:rFonts w:ascii="Times New Roman" w:cs="Times New Roman" w:eastAsia="Times New Roman" w:hAnsi="Times New Roman"/>
          <w:sz w:val="18"/>
          <w:szCs w:val="18"/>
          <w:color w:val="auto"/>
        </w:rPr>
        <w:t>Research and development costs include:</w:t>
      </w:r>
    </w:p>
    <w:p>
      <w:pPr>
        <w:spacing w:after="0" w:line="117"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CROs and other scientific development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other outside consultants, including their fees and related travel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quality and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laboratory supplies and acquiring and developing clinical trial materials;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third-party licensing agreements;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expenses, including salaries, bonuses, benefits and stock-based compensation expenses, for individuals involved in research and development activities; and</w:t>
      </w:r>
    </w:p>
    <w:p>
      <w:pPr>
        <w:spacing w:after="0" w:line="53"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allocated expenses, which include direct and allocated expenses for rent, insurance and other internal operating costs.</w:t>
      </w:r>
    </w:p>
    <w:p>
      <w:pPr>
        <w:spacing w:after="0" w:line="16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expense research and development costs as incurred. We recognize external development costs based on an evaluation of the progress to completion of specific tasks using information provided to us by our vendors. Payments for these activities are based on the terms of the individual agreements, which may differ from the pattern of costs incurred, and are reflected in our consolidated balance sheets as prepaid clinical or as a component of total accrued expenses and other. Nonrefundable advance payments for goods or services to be received in the future for use in research and development activities are deferred and capitalized, even when there is no alternative future use for the research and development. The capitalized amounts are recorded as prepaid clinical and are expensed as the related goods are delivered or the services are performed.</w:t>
      </w:r>
    </w:p>
    <w:p>
      <w:pPr>
        <w:spacing w:after="0" w:line="187"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We expect that our research and development expenses will increase significantly for the foreseeable future as rilparencel moves into later stages of clinical development.</w:t>
      </w:r>
    </w:p>
    <w:p>
      <w:pPr>
        <w:spacing w:after="0" w:line="16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successful development of rilparencel and any product candidates we may develop in the future is highly uncertain. Therefore, we cannot reasonably estimate or know the nature, timing and estimated costs of the efforts that will be necessary to complete the development and commercialization of any of our product candidates. We are also unable to predict when, if ever, material net cash inflows will commence from the sale of rilparencel or potential future product candidates, if approved. This is due to the numerous risks and uncertainties associated with developing product candidates, many of which are outside of our control, including the uncertainty of:</w:t>
      </w:r>
    </w:p>
    <w:p>
      <w:pPr>
        <w:spacing w:after="0" w:line="75"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non-clinical and clinical development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non-clinical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research and development programs and to establish new ones;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safety-profile;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and patients involved in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clinical trials are conducted;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patient enrollment in, and the initiation of, clinical trials, as well as drop out or discontinuation rates;</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completion of clinical trials with safety, tolerability and efficacy profiles that are satisfactory to the FDA and comparable foreign regulatory authorities;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regulatory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regulatory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licensing or collaboration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future collaborators, if 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 and regulatory guidance;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business interruptions to our operations or to those of the third parties with whom we work;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7" w:name="page28"/>
    <w:bookmarkEnd w:id="27"/>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defending and enforcing patient claims or other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rilparencel over other therapies;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rilparencel, if approved, whether alone or in collaboration with others;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rilparencel following approval.</w:t>
      </w:r>
    </w:p>
    <w:p>
      <w:pPr>
        <w:spacing w:after="0" w:line="22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Any changes in the outcome of any of these variables could mean a significant change in the costs and timing associated with the development of our product candidates. For example, if the FDA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would be required to expend significant additional financial resources and time on the completion of clinical development. We may never obtain regulatory approval for any of our product candidates.</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costs, including salaries, bonuses, benefits and equity-based compensation expenses for individuals involved in our executive, finance, corporate and administrative functions, as well as expenses for outside professional services, including legal, audit, accounting and tax-related services and other consulting fees, facility-related expenses, which include depreciation costs and other allocated expenses for rent and maintenance of facilities, insurance costs, recruiting costs, travel expenses and other general administrative expenses.</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significantly for the foreseeable future as our business expands and we hire additional personnel to support our operations. We also anticipate increased expenses associated with being a public company, including costs for legal, audit, accounting, investor and public relations, tax-related services, director and officer insurance, and regulatory costs related to compliance with the rules and regulations of the United States Securities and Exchange Commission (the “SEC”) as well as listing standards applicable to companies listed on a national securities exchange.</w:t>
      </w:r>
    </w:p>
    <w:p>
      <w:pPr>
        <w:spacing w:after="0" w:line="1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consists primarily of interest income earned on cash, cash equivalents and marketable securities.</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Income tax expense reflects federal and state taxes on income earned by our subsidiary that is organized as a C corporation for U.S. income tax purposes.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June 30, 2024 and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June 30, 2024 and 2023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6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29,404</w:t>
            </w:r>
          </w:p>
        </w:tc>
        <w:tc>
          <w:tcPr>
            <w:tcW w:w="2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26,364</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13,652</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13,455</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w:t>
            </w:r>
          </w:p>
        </w:tc>
        <w:tc>
          <w:tcPr>
            <w:tcW w:w="20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43,056</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39,819</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0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(43,056 )</w:t>
            </w:r>
          </w:p>
        </w:tc>
        <w:tc>
          <w:tcPr>
            <w:tcW w:w="28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(39,819 )</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(3,237 )</w:t>
            </w:r>
          </w:p>
        </w:tc>
        <w:tc>
          <w:tcPr>
            <w:tcW w:w="0" w:type="dxa"/>
            <w:vAlign w:val="bottom"/>
          </w:tcPr>
          <w:p>
            <w:pPr>
              <w:spacing w:after="0"/>
              <w:rPr>
                <w:sz w:val="1"/>
                <w:szCs w:val="1"/>
                <w:color w:val="auto"/>
              </w:rPr>
            </w:pPr>
          </w:p>
        </w:tc>
      </w:tr>
      <w:tr>
        <w:trPr>
          <w:trHeight w:val="20"/>
        </w:trPr>
        <w:tc>
          <w:tcPr>
            <w:tcW w:w="4620" w:type="dxa"/>
            <w:vAlign w:val="bottom"/>
            <w:shd w:val="clear" w:color="auto" w:fill="CFF0FC"/>
          </w:tcPr>
          <w:p>
            <w:pPr>
              <w:spacing w:after="0" w:line="20" w:lineRule="exact"/>
              <w:rPr>
                <w:sz w:val="1"/>
                <w:szCs w:val="1"/>
                <w:color w:val="auto"/>
              </w:rPr>
            </w:pPr>
          </w:p>
        </w:tc>
        <w:tc>
          <w:tcPr>
            <w:tcW w:w="20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4,537</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5,965</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(1,428 )</w:t>
            </w:r>
          </w:p>
        </w:tc>
        <w:tc>
          <w:tcPr>
            <w:tcW w:w="0" w:type="dxa"/>
            <w:vAlign w:val="bottom"/>
          </w:tcPr>
          <w:p>
            <w:pPr>
              <w:spacing w:after="0"/>
              <w:rPr>
                <w:sz w:val="1"/>
                <w:szCs w:val="1"/>
                <w:color w:val="auto"/>
              </w:rPr>
            </w:pPr>
          </w:p>
        </w:tc>
      </w:tr>
      <w:tr>
        <w:trPr>
          <w:trHeight w:val="247"/>
        </w:trPr>
        <w:tc>
          <w:tcPr>
            <w:tcW w:w="4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0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(3 )</w:t>
            </w:r>
          </w:p>
        </w:tc>
        <w:tc>
          <w:tcPr>
            <w:tcW w:w="2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(4 )</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20" w:type="dxa"/>
            <w:vAlign w:val="bottom"/>
            <w:shd w:val="clear" w:color="auto" w:fill="CFF0FC"/>
          </w:tcPr>
          <w:p>
            <w:pPr>
              <w:spacing w:after="0" w:line="20" w:lineRule="exact"/>
              <w:rPr>
                <w:sz w:val="1"/>
                <w:szCs w:val="1"/>
                <w:color w:val="auto"/>
              </w:rPr>
            </w:pPr>
          </w:p>
        </w:tc>
        <w:tc>
          <w:tcPr>
            <w:tcW w:w="20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before taxes</w:t>
            </w:r>
          </w:p>
        </w:tc>
        <w:tc>
          <w:tcPr>
            <w:tcW w:w="2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(38,522 )</w:t>
            </w:r>
          </w:p>
        </w:tc>
        <w:tc>
          <w:tcPr>
            <w:tcW w:w="28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(33,858 )</w:t>
            </w: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(4,664 )</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(56 )</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(1,021 )</w:t>
            </w:r>
          </w:p>
        </w:tc>
        <w:tc>
          <w:tcPr>
            <w:tcW w:w="0" w:type="dxa"/>
            <w:vAlign w:val="bottom"/>
          </w:tcPr>
          <w:p>
            <w:pPr>
              <w:spacing w:after="0"/>
              <w:rPr>
                <w:sz w:val="1"/>
                <w:szCs w:val="1"/>
                <w:color w:val="auto"/>
              </w:rPr>
            </w:pPr>
          </w:p>
        </w:tc>
      </w:tr>
      <w:tr>
        <w:trPr>
          <w:trHeight w:val="20"/>
        </w:trPr>
        <w:tc>
          <w:tcPr>
            <w:tcW w:w="4620" w:type="dxa"/>
            <w:vAlign w:val="bottom"/>
            <w:shd w:val="clear" w:color="auto" w:fill="CFF0FC"/>
          </w:tcPr>
          <w:p>
            <w:pPr>
              <w:spacing w:after="0" w:line="20" w:lineRule="exact"/>
              <w:rPr>
                <w:sz w:val="1"/>
                <w:szCs w:val="1"/>
                <w:color w:val="auto"/>
              </w:rPr>
            </w:pPr>
          </w:p>
        </w:tc>
        <w:tc>
          <w:tcPr>
            <w:tcW w:w="20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before noncontrolling interest</w:t>
            </w:r>
          </w:p>
        </w:tc>
        <w:tc>
          <w:tcPr>
            <w:tcW w:w="2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(38,466 )</w:t>
            </w:r>
          </w:p>
        </w:tc>
        <w:tc>
          <w:tcPr>
            <w:tcW w:w="28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(34,823 )</w:t>
            </w: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(3,643 )</w:t>
            </w:r>
          </w:p>
        </w:tc>
        <w:tc>
          <w:tcPr>
            <w:tcW w:w="0" w:type="dxa"/>
            <w:vAlign w:val="bottom"/>
          </w:tcPr>
          <w:p>
            <w:pPr>
              <w:spacing w:after="0"/>
              <w:rPr>
                <w:sz w:val="1"/>
                <w:szCs w:val="1"/>
                <w:color w:val="auto"/>
              </w:rPr>
            </w:pPr>
          </w:p>
        </w:tc>
      </w:tr>
      <w:tr>
        <w:trPr>
          <w:trHeight w:val="243"/>
        </w:trPr>
        <w:tc>
          <w:tcPr>
            <w:tcW w:w="4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0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(25,960 )</w:t>
            </w:r>
          </w:p>
        </w:tc>
        <w:tc>
          <w:tcPr>
            <w:tcW w:w="2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(25,705 )</w:t>
            </w: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(255 )</w:t>
            </w:r>
          </w:p>
        </w:tc>
        <w:tc>
          <w:tcPr>
            <w:tcW w:w="0" w:type="dxa"/>
            <w:vAlign w:val="bottom"/>
          </w:tcPr>
          <w:p>
            <w:pPr>
              <w:spacing w:after="0"/>
              <w:rPr>
                <w:sz w:val="1"/>
                <w:szCs w:val="1"/>
                <w:color w:val="auto"/>
              </w:rPr>
            </w:pPr>
          </w:p>
        </w:tc>
      </w:tr>
      <w:tr>
        <w:trPr>
          <w:trHeight w:val="20"/>
        </w:trPr>
        <w:tc>
          <w:tcPr>
            <w:tcW w:w="4620" w:type="dxa"/>
            <w:vAlign w:val="bottom"/>
            <w:shd w:val="clear" w:color="auto" w:fill="CFF0FC"/>
          </w:tcPr>
          <w:p>
            <w:pPr>
              <w:spacing w:after="0" w:line="20" w:lineRule="exact"/>
              <w:rPr>
                <w:sz w:val="1"/>
                <w:szCs w:val="1"/>
                <w:color w:val="auto"/>
              </w:rPr>
            </w:pPr>
          </w:p>
        </w:tc>
        <w:tc>
          <w:tcPr>
            <w:tcW w:w="20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available to Class A ordinary shareholders</w:t>
            </w:r>
          </w:p>
        </w:tc>
        <w:tc>
          <w:tcPr>
            <w:tcW w:w="20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(12,506 )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(9,118 )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(3,388 )</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020" w:type="dxa"/>
            <w:vAlign w:val="bottom"/>
            <w:vMerge w:val="restart"/>
          </w:tcPr>
          <w:p>
            <w:pPr>
              <w:jc w:val="right"/>
              <w:ind w:right="830"/>
              <w:spacing w:after="0"/>
              <w:rPr>
                <w:sz w:val="20"/>
                <w:szCs w:val="20"/>
                <w:color w:val="auto"/>
              </w:rPr>
            </w:pPr>
            <w:r>
              <w:rPr>
                <w:rFonts w:ascii="Times New Roman" w:cs="Times New Roman" w:eastAsia="Times New Roman" w:hAnsi="Times New Roman"/>
                <w:sz w:val="18"/>
                <w:szCs w:val="18"/>
                <w:color w:val="auto"/>
              </w:rPr>
              <w:t>27</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2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6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-2245360</wp:posOffset>
            </wp:positionV>
            <wp:extent cx="7683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-2245360</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-2245360</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-1919605</wp:posOffset>
            </wp:positionV>
            <wp:extent cx="7683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-1919605</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-1919605</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-1602105</wp:posOffset>
            </wp:positionV>
            <wp:extent cx="7683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-1602105</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-1276350</wp:posOffset>
            </wp:positionV>
            <wp:extent cx="7683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-1276350</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-1276350</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-959485</wp:posOffset>
            </wp:positionV>
            <wp:extent cx="7683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-959485</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8" w:name="page29"/>
    <w:bookmarkEnd w:id="28"/>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increase in research and development expenses of approximately $3.0 million was primarily driven by the following:</w:t>
      </w:r>
    </w:p>
    <w:p>
      <w:pPr>
        <w:spacing w:after="0" w:line="117" w:lineRule="exact"/>
        <w:rPr>
          <w:sz w:val="20"/>
          <w:szCs w:val="20"/>
          <w:color w:val="auto"/>
        </w:rPr>
      </w:pPr>
    </w:p>
    <w:p>
      <w:pPr>
        <w:ind w:left="1020" w:hanging="503"/>
        <w:spacing w:after="0" w:line="26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cash-based compensation costs of approximately $3.2 million due to the hiring of additional personnel particularly in the areas of clinical development, manufacturing and quality as we move forward with our clinical programs;</w:t>
      </w: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professional fees of $1.6 million related to the remediation of quality and manufacturing compliance deficiencies;</w:t>
      </w:r>
    </w:p>
    <w:p>
      <w:pPr>
        <w:spacing w:after="0" w:line="9" w:lineRule="exact"/>
        <w:rPr>
          <w:rFonts w:ascii="Times New Roman" w:cs="Times New Roman" w:eastAsia="Times New Roman" w:hAnsi="Times New Roman"/>
          <w:sz w:val="18"/>
          <w:szCs w:val="18"/>
          <w:color w:val="auto"/>
        </w:rPr>
      </w:pPr>
    </w:p>
    <w:p>
      <w:pPr>
        <w:ind w:left="1020" w:right="260" w:hanging="503"/>
        <w:spacing w:after="0" w:line="250"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costs for clinical operations, materials and facilities of approximately $2.2 million, primarily due to preparations to restart our Phase 3 clinical trials, offset by;</w:t>
      </w:r>
    </w:p>
    <w:p>
      <w:pPr>
        <w:ind w:left="1020" w:right="160" w:hanging="503"/>
        <w:spacing w:after="0" w:line="250"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equity-based compensation costs of approximately $1.3 million driven by awards forfeited by terminated employees as well as lower valuations of awards granted in the current year; and</w:t>
      </w: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spending of approximately $2.9 million related to manufacturing improvements.</w:t>
      </w:r>
    </w:p>
    <w:p>
      <w:pPr>
        <w:spacing w:after="0" w:line="3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increase in general and administrative expenses of approximately $0.2 million was primarily driven by the following:</w:t>
      </w:r>
    </w:p>
    <w:p>
      <w:pPr>
        <w:spacing w:after="0" w:line="225"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cash-based compensation of approximately $2.2 million related to the hiring of new employees, offset by;</w:t>
      </w:r>
    </w:p>
    <w:p>
      <w:pPr>
        <w:spacing w:after="0" w:line="27" w:lineRule="exact"/>
        <w:rPr>
          <w:rFonts w:ascii="Times New Roman" w:cs="Times New Roman" w:eastAsia="Times New Roman" w:hAnsi="Times New Roman"/>
          <w:sz w:val="18"/>
          <w:szCs w:val="18"/>
          <w:color w:val="auto"/>
        </w:rPr>
      </w:pPr>
    </w:p>
    <w:p>
      <w:pPr>
        <w:ind w:left="1020" w:right="380" w:hanging="503"/>
        <w:spacing w:after="0" w:line="260"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equity-based compensation of approximately $2.1 million due to lower expenses in the 2024 period driven by the impact of forfeitures of awards made to executives.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Income tax expense for the three months ended June 30, 2024 decreased from the three months ended June 30, 2023 due to a change in the treatment of specified research and development expenses by our U.S. subsidiary due to recent guidance issued by the Internal Revenue Service such that these costs are no longer required to be capitalized and amortized ratably over a five-year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Six Months Ended June 30, 2024 and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six months ended June 30, 2024 and 2023 (in thousands):</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45"/>
        </w:trPr>
        <w:tc>
          <w:tcPr>
            <w:tcW w:w="6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9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6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0"/>
                <w:szCs w:val="20"/>
                <w:color w:val="auto"/>
              </w:rPr>
            </w:pPr>
          </w:p>
        </w:tc>
      </w:tr>
      <w:tr>
        <w:trPr>
          <w:trHeight w:val="239"/>
        </w:trPr>
        <w:tc>
          <w:tcPr>
            <w:tcW w:w="6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56,637</w:t>
            </w:r>
          </w:p>
        </w:tc>
        <w:tc>
          <w:tcPr>
            <w:tcW w:w="2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51,981</w:t>
            </w:r>
          </w:p>
        </w:tc>
        <w:tc>
          <w:tcPr>
            <w:tcW w:w="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4,656</w:t>
            </w:r>
          </w:p>
        </w:tc>
        <w:tc>
          <w:tcPr>
            <w:tcW w:w="100" w:type="dxa"/>
            <w:vAlign w:val="bottom"/>
          </w:tcPr>
          <w:p>
            <w:pPr>
              <w:spacing w:after="0"/>
              <w:rPr>
                <w:sz w:val="20"/>
                <w:szCs w:val="20"/>
                <w:color w:val="auto"/>
              </w:rPr>
            </w:pPr>
          </w:p>
        </w:tc>
      </w:tr>
      <w:tr>
        <w:trPr>
          <w:trHeight w:val="247"/>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26,495</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28,714</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(2,219 )</w:t>
            </w:r>
          </w:p>
        </w:tc>
      </w:tr>
      <w:tr>
        <w:trPr>
          <w:trHeight w:val="236"/>
        </w:trPr>
        <w:tc>
          <w:tcPr>
            <w:tcW w:w="622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operating expense</w:t>
            </w: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83,132</w:t>
            </w:r>
          </w:p>
        </w:tc>
        <w:tc>
          <w:tcPr>
            <w:tcW w:w="26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80,695</w:t>
            </w:r>
          </w:p>
        </w:tc>
        <w:tc>
          <w:tcPr>
            <w:tcW w:w="24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tcBorders>
              <w:top w:val="single" w:sz="8" w:color="CFF0FC"/>
            </w:tcBorders>
          </w:tcPr>
          <w:p>
            <w:pPr>
              <w:spacing w:after="0"/>
              <w:rPr>
                <w:sz w:val="20"/>
                <w:szCs w:val="20"/>
                <w:color w:val="auto"/>
              </w:rPr>
            </w:pPr>
          </w:p>
        </w:tc>
      </w:tr>
      <w:tr>
        <w:trPr>
          <w:trHeight w:val="237"/>
        </w:trPr>
        <w:tc>
          <w:tcPr>
            <w:tcW w:w="6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(83,132 )</w:t>
            </w:r>
          </w:p>
        </w:tc>
        <w:tc>
          <w:tcPr>
            <w:tcW w:w="28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(80,695 )</w:t>
            </w:r>
          </w:p>
        </w:tc>
        <w:tc>
          <w:tcPr>
            <w:tcW w:w="2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(2,437 )</w:t>
            </w:r>
          </w:p>
        </w:tc>
      </w:tr>
      <w:tr>
        <w:trPr>
          <w:trHeight w:val="20"/>
        </w:trPr>
        <w:tc>
          <w:tcPr>
            <w:tcW w:w="6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2"/>
        </w:trPr>
        <w:tc>
          <w:tcPr>
            <w:tcW w:w="6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9,380</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11,262</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(1,882 )</w:t>
            </w:r>
          </w:p>
        </w:tc>
      </w:tr>
      <w:tr>
        <w:trPr>
          <w:trHeight w:val="247"/>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(5 )</w:t>
            </w:r>
          </w:p>
        </w:tc>
        <w:tc>
          <w:tcPr>
            <w:tcW w:w="2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(7 )</w:t>
            </w: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1"/>
                <w:szCs w:val="21"/>
                <w:color w:val="auto"/>
              </w:rPr>
            </w:pPr>
          </w:p>
        </w:tc>
      </w:tr>
      <w:tr>
        <w:trPr>
          <w:trHeight w:val="20"/>
        </w:trPr>
        <w:tc>
          <w:tcPr>
            <w:tcW w:w="6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before taxes</w:t>
            </w:r>
          </w:p>
        </w:tc>
        <w:tc>
          <w:tcPr>
            <w:tcW w:w="2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(73,757 )</w:t>
            </w:r>
          </w:p>
        </w:tc>
        <w:tc>
          <w:tcPr>
            <w:tcW w:w="28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(69,440 )</w:t>
            </w:r>
          </w:p>
        </w:tc>
        <w:tc>
          <w:tcPr>
            <w:tcW w:w="24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(4,317 )</w:t>
            </w:r>
          </w:p>
        </w:tc>
      </w:tr>
      <w:tr>
        <w:trPr>
          <w:trHeight w:val="20"/>
        </w:trPr>
        <w:tc>
          <w:tcPr>
            <w:tcW w:w="6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2"/>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(2,250 )</w:t>
            </w:r>
          </w:p>
        </w:tc>
      </w:tr>
      <w:tr>
        <w:trPr>
          <w:trHeight w:val="20"/>
        </w:trPr>
        <w:tc>
          <w:tcPr>
            <w:tcW w:w="6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before noncontrolling interest</w:t>
            </w:r>
          </w:p>
        </w:tc>
        <w:tc>
          <w:tcPr>
            <w:tcW w:w="2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(73,799 )</w:t>
            </w:r>
          </w:p>
        </w:tc>
        <w:tc>
          <w:tcPr>
            <w:tcW w:w="28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(71,732 )</w:t>
            </w:r>
          </w:p>
        </w:tc>
        <w:tc>
          <w:tcPr>
            <w:tcW w:w="24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(2,067 )</w:t>
            </w:r>
          </w:p>
        </w:tc>
      </w:tr>
      <w:tr>
        <w:trPr>
          <w:trHeight w:val="243"/>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(51,801 )</w:t>
            </w:r>
          </w:p>
        </w:tc>
        <w:tc>
          <w:tcPr>
            <w:tcW w:w="2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(52,949 )</w:t>
            </w: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shd w:val="clear" w:color="auto" w:fill="CFF0FC"/>
          </w:tcPr>
          <w:p>
            <w:pPr>
              <w:spacing w:after="0"/>
              <w:rPr>
                <w:sz w:val="21"/>
                <w:szCs w:val="21"/>
                <w:color w:val="auto"/>
              </w:rPr>
            </w:pPr>
          </w:p>
        </w:tc>
      </w:tr>
      <w:tr>
        <w:trPr>
          <w:trHeight w:val="20"/>
        </w:trPr>
        <w:tc>
          <w:tcPr>
            <w:tcW w:w="6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41"/>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available to Class A ordinary shareholders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(21,998 )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(18,783 )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(3,215 )</w:t>
            </w:r>
          </w:p>
        </w:tc>
      </w:tr>
      <w:tr>
        <w:trPr>
          <w:trHeight w:val="20"/>
        </w:trPr>
        <w:tc>
          <w:tcPr>
            <w:tcW w:w="6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-1473835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-1473835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-1473835</wp:posOffset>
            </wp:positionV>
            <wp:extent cx="596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-1148080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-1148080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-1148080</wp:posOffset>
            </wp:positionV>
            <wp:extent cx="5969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-830580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-830580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-830580</wp:posOffset>
            </wp:positionV>
            <wp:extent cx="596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-504825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-504825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-504825</wp:posOffset>
            </wp:positionV>
            <wp:extent cx="596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-187960</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-187960</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-187960</wp:posOffset>
            </wp:positionV>
            <wp:extent cx="5969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increase in research and development expenses of approximately $4.7 million was primarily driven by the following:</w:t>
      </w:r>
    </w:p>
    <w:p>
      <w:pPr>
        <w:spacing w:after="0" w:line="117" w:lineRule="exact"/>
        <w:rPr>
          <w:sz w:val="20"/>
          <w:szCs w:val="20"/>
          <w:color w:val="auto"/>
        </w:rPr>
      </w:pPr>
    </w:p>
    <w:p>
      <w:pPr>
        <w:ind w:left="1020" w:hanging="503"/>
        <w:spacing w:after="0" w:line="26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cash-based compensation costs of approximately $6.4 million due to the hiring of additional personnel particularly in the areas of clinical development, manufacturing and quality as we move forward with our clinical programs,</w:t>
      </w: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professional fees of $4.3 million related to the remediation of quality and manufacturing compliance deficiencies;</w:t>
      </w:r>
    </w:p>
    <w:p>
      <w:pPr>
        <w:spacing w:after="0" w:line="9" w:lineRule="exact"/>
        <w:rPr>
          <w:rFonts w:ascii="Times New Roman" w:cs="Times New Roman" w:eastAsia="Times New Roman" w:hAnsi="Times New Roman"/>
          <w:sz w:val="18"/>
          <w:szCs w:val="18"/>
          <w:color w:val="auto"/>
        </w:rPr>
      </w:pPr>
    </w:p>
    <w:p>
      <w:pPr>
        <w:ind w:left="1020" w:right="320" w:hanging="503"/>
        <w:spacing w:after="0" w:line="258"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facility and material costs of $1.7 million as we continue to expand operations and purchase materials to support our Phase 3 clinical trials, offset by;</w:t>
      </w: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spending of approximately $5.3 million related to manufacturing improvements;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3" w:right="359" w:bottom="1440" w:gutter="0" w:footer="0" w:header="0"/>
        </w:sectPr>
      </w:pPr>
    </w:p>
    <w:bookmarkStart w:id="29" w:name="page30"/>
    <w:bookmarkEnd w:id="29"/>
    <w:p>
      <w:pPr>
        <w:ind w:left="1020" w:right="120" w:hanging="503"/>
        <w:spacing w:after="0" w:line="26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equity-based compensation costs of $1.8 million associated with lower valuations of equity-based awards granted in the current period coupled with the impact of forfeitures of awards for terminated employees; and</w:t>
      </w:r>
    </w:p>
    <w:p>
      <w:pPr>
        <w:ind w:left="1020" w:right="240" w:hanging="503"/>
        <w:spacing w:after="0" w:line="260"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clinical study costs of approximately $1.1 million primarily due to the impact of the pause of manufacturing and its impact on our Phase 3 program as well as the levels of activity ongoing with our other clinical trials.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decrease in general and administrative expenses of approximately $2.2 million was primarily driven by the following:</w:t>
      </w:r>
    </w:p>
    <w:p>
      <w:pPr>
        <w:spacing w:after="0" w:line="225" w:lineRule="exact"/>
        <w:rPr>
          <w:sz w:val="20"/>
          <w:szCs w:val="20"/>
          <w:color w:val="auto"/>
        </w:rPr>
      </w:pPr>
    </w:p>
    <w:p>
      <w:pPr>
        <w:ind w:left="1020" w:right="400" w:hanging="503"/>
        <w:spacing w:after="0" w:line="26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equity-based compensation of approximately $6.9 million due to lower expenses in the 2024 period driven by the impact of forfeitures of awards made to executives, offset by</w:t>
      </w: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cash-based compensation of approximately $3.9 million related to the hiring of new employees;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information technology spending related to systems and security initiatives of approximately $0.9 million.</w:t>
      </w:r>
    </w:p>
    <w:p>
      <w:pPr>
        <w:spacing w:after="0" w:line="3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decrease in income tax expense was driven by a change in the treatment of specified research and development expenses by our U.S. subsidiary due to recent guidance issued by the Internal Revenue Service such that these costs are no longer required to be capitalized and amortized ratably over a five-year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liquidity</w:t>
      </w:r>
    </w:p>
    <w:p>
      <w:pPr>
        <w:spacing w:after="0" w:line="119" w:lineRule="exact"/>
        <w:rPr>
          <w:sz w:val="20"/>
          <w:szCs w:val="20"/>
          <w:color w:val="auto"/>
        </w:rPr>
      </w:pPr>
    </w:p>
    <w:p>
      <w:pPr>
        <w:ind w:right="120" w:firstLine="509"/>
        <w:spacing w:after="0" w:line="281" w:lineRule="auto"/>
        <w:rPr>
          <w:sz w:val="20"/>
          <w:szCs w:val="20"/>
          <w:color w:val="auto"/>
        </w:rPr>
      </w:pPr>
      <w:r>
        <w:rPr>
          <w:rFonts w:ascii="Times New Roman" w:cs="Times New Roman" w:eastAsia="Times New Roman" w:hAnsi="Times New Roman"/>
          <w:sz w:val="17"/>
          <w:szCs w:val="17"/>
          <w:color w:val="auto"/>
        </w:rPr>
        <w:t>Since our inception, we have not recognized any revenue and have incurred operating losses and negative cash flows from our operations. We have not yet commercialized any product and we do not expect to generate revenue from sales of any products for several years, if at all. From our inception through June 30, 2024, we funded our operations primarily through capital contributions from the holders of PKLP, the proceeds obtained through the Business Combination and related private placement financing, and an underwritten public offering and registered direct offering in June 2024.</w:t>
      </w:r>
    </w:p>
    <w:p>
      <w:pPr>
        <w:spacing w:after="0" w:line="56" w:lineRule="exact"/>
        <w:rPr>
          <w:sz w:val="20"/>
          <w:szCs w:val="20"/>
          <w:color w:val="auto"/>
        </w:rPr>
      </w:pPr>
    </w:p>
    <w:p>
      <w:pPr>
        <w:ind w:right="260" w:firstLine="594"/>
        <w:spacing w:after="0" w:line="258" w:lineRule="auto"/>
        <w:rPr>
          <w:sz w:val="20"/>
          <w:szCs w:val="20"/>
          <w:color w:val="auto"/>
        </w:rPr>
      </w:pPr>
      <w:r>
        <w:rPr>
          <w:rFonts w:ascii="Times New Roman" w:cs="Times New Roman" w:eastAsia="Times New Roman" w:hAnsi="Times New Roman"/>
          <w:sz w:val="18"/>
          <w:szCs w:val="18"/>
          <w:color w:val="auto"/>
        </w:rPr>
        <w:t>As noted above, in June 2024, the Company sold 46,886,452 of its Class A ordinary shares in an underwritten public offering at a price of $2.42 per share. Additionally, in June 2024, the Company sold 11,030,574 of its Class A ordinary shares to certain investment entities at a price of $2.42 per share in a concurrent registered direct offering pursuant to share purchase agreements. The net proceeds to the Company from the offerings were approximately $136.7 million, after deducting the underwriting discounts and commissions and offering expenses payable by the Company. The shares were offered and sold pursuant to the Company’s shelf registration statement on Form S-3.</w:t>
      </w:r>
    </w:p>
    <w:p>
      <w:pPr>
        <w:spacing w:after="0" w:line="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January 2024, we entered into an Open Market Sale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(“Sales Agreement”) with Jefferies LLC (“Jefferies”) as the sales agent,</w:t>
      </w:r>
    </w:p>
    <w:p>
      <w:pPr>
        <w:spacing w:after="0"/>
        <w:rPr>
          <w:sz w:val="20"/>
          <w:szCs w:val="20"/>
          <w:color w:val="auto"/>
        </w:rPr>
      </w:pPr>
      <w:r>
        <w:rPr>
          <w:rFonts w:ascii="Times New Roman" w:cs="Times New Roman" w:eastAsia="Times New Roman" w:hAnsi="Times New Roman"/>
          <w:sz w:val="18"/>
          <w:szCs w:val="18"/>
          <w:color w:val="auto"/>
        </w:rPr>
        <w:t>pursuant to which we may offer and sell, from time to time, through Jefferies, our Class A ordinary shares having an aggregate offering price of up to</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 million by any method deemed to be an “at the market offering” as defined in Rule 415(a)(4) under the Securities Act. The shares are offered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sold pursuant to the Company’s shelf registration statement on Form S-3. As of June 30, 2024, we have sold $3.3 million worth of Class A ordinary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Sales Agreement for net proceeds of $3.2 million, leaving $96.7 million available to be sold.</w:t>
      </w:r>
    </w:p>
    <w:p>
      <w:pPr>
        <w:spacing w:after="0" w:line="9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expect that our existing cash, cash equivalents and marketable securities held at June 30, 2024, will enable us to fund our operating expenses and capital expenditure requirements into mid-2026. We have based this estimate on assumptions that may prove to be wrong and we could exhaust our capital resources sooner than we expect.</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our expenses to increase substantially if, and as, we:</w:t>
      </w:r>
    </w:p>
    <w:p>
      <w:pPr>
        <w:spacing w:after="0" w:line="117"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continue research and clinical development of our product candidates, including in particular our clinical trials for rilparencel;</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third-party manufacturing costs to support our non-clinical studies and clinical trials of our product candidate and, if approved, its commercialization;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and develop additional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 in developing internal manufacturing capabilities;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and marketing approvals for our product candidates.</w:t>
      </w:r>
    </w:p>
    <w:p>
      <w:pPr>
        <w:spacing w:after="0" w:line="11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addition, since the closing of the Business Combination we have begun incurring additional costs associated with operating as a public company, including significant legal, audit, accounting, investor and public relations, regulatory, tax-related, director and</w:t>
      </w: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0" w:name="page31"/>
    <w:bookmarkEnd w:id="30"/>
    <w:p>
      <w:pPr>
        <w:ind w:right="20"/>
        <w:spacing w:after="0" w:line="258" w:lineRule="auto"/>
        <w:rPr>
          <w:sz w:val="20"/>
          <w:szCs w:val="20"/>
          <w:color w:val="auto"/>
        </w:rPr>
      </w:pPr>
      <w:r>
        <w:rPr>
          <w:rFonts w:ascii="Times New Roman" w:cs="Times New Roman" w:eastAsia="Times New Roman" w:hAnsi="Times New Roman"/>
          <w:sz w:val="18"/>
          <w:szCs w:val="18"/>
          <w:color w:val="auto"/>
        </w:rPr>
        <w:t>officer insurance premiums and other expenses. Developing pharmaceutical products, including conducting clinical trials, is a time-consuming, expensive and uncertain process that takes years to complete, and we may never generate the necessary data or results required to obtain marketing approval for any product candidates or generate revenue from the sale of any product candidate for which we may obtain marketing approval. In addition, our product candidates, if approved, may not achieve commercial success. Our commercial revenues, if any, will be derived from sales of product that we do not expect to be commercially available for at least several years, if ever.</w:t>
      </w:r>
    </w:p>
    <w:p>
      <w:pPr>
        <w:spacing w:after="0" w:line="75"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As a result, we will need substantial additional funding to support our continuing operations and pursue our growth strategy. Until such time as we can generate significant revenue from product sales, if ever, we expect to finance our operations through the public or private sale of equity, government or private party grants, debt financings or other capital sources, including potential collaborations with other companies or other strategic transactions. To the extent that we raise additional capital through the sale of equity or convertible debt securities, the ownership interest of our shareholders will be or could be diluted, and the terms of these securities may include liquidation or other preferences that adversely affect the rights of our shareholders. Debt financing and equity financing, if available, may involve agreements that include covenants limiting or restricting our ability to take specific actions, such as incurring additional debt, making capital expenditures or declaring dividends. If we are unable to obtain additional funding, we could be forced to delay, reduce or eliminate some or all of our research and development programs, product portfolio expansion or any commercialization efforts, which could adversely affect our business prospects, or we may be unable to continue operations. If we raise funds through strategic collaborations or other similar arrangements with third parties, we may have to relinquish valuable rights to our technology, future- revenue streams, research programs or product candidates or may have to grant licenses on terms that may not be favorable to us and/or may reduce the value of our shares. Our ability to raise additional funds may be adversely impacted by potential worsening global economic conditions and disruptions to and volatility in the credit and financial markets in the United States and worldwide. Because of the numerous risks and uncertainties associated with product development, we cannot predict the timing or amount of increased expenses, and there is no assurance that we will ever be profitable or generate positive cash flow from operating activities.</w:t>
      </w:r>
    </w:p>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Flows for the Six Months Ended June 30, 2024 and 2023</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six months ended June 30, 2024 and 2023 (in thousands):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45"/>
        </w:trPr>
        <w:tc>
          <w:tcPr>
            <w:tcW w:w="6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41"/>
        </w:trPr>
        <w:tc>
          <w:tcPr>
            <w:tcW w:w="61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r>
      <w:tr>
        <w:trPr>
          <w:trHeight w:val="239"/>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(72,939 )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(40,908 )</w:t>
            </w:r>
          </w:p>
        </w:tc>
      </w:tr>
      <w:tr>
        <w:trPr>
          <w:trHeight w:val="23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provided by (used in) investing activities</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86,969</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(205,765 )</w:t>
            </w:r>
          </w:p>
        </w:tc>
      </w:tr>
      <w:tr>
        <w:trPr>
          <w:trHeight w:val="247"/>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flows provided by (used in) financing activities</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139,829</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(26 )</w:t>
            </w:r>
          </w:p>
        </w:tc>
      </w:tr>
      <w:tr>
        <w:trPr>
          <w:trHeight w:val="20"/>
        </w:trPr>
        <w:tc>
          <w:tcPr>
            <w:tcW w:w="6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7"/>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153,859</w:t>
            </w:r>
          </w:p>
        </w:tc>
        <w:tc>
          <w:tcPr>
            <w:tcW w:w="24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(246,699 )</w:t>
            </w:r>
          </w:p>
        </w:tc>
      </w:tr>
      <w:tr>
        <w:trPr>
          <w:trHeight w:val="20"/>
        </w:trPr>
        <w:tc>
          <w:tcPr>
            <w:tcW w:w="6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-187960</wp:posOffset>
            </wp:positionV>
            <wp:extent cx="6032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approximately $72.9 million for the six months ended June 30, 2024, reflecting a net loss of approximately $73.8 million and uses driven by changes in working capital of approximately $13.3 million. Such uses were partially offset by non-cash charges and gains on investments of $14.1 million. The non-cash charges primarily consisted of equity-based compensation expense of $15.5 million and depreciation and amortization expense of $2.4 million. The changes in working capital primarily relate to the timing of payments made to our vendors for services performed and the recognition of receivable amounts related to interest on our marketable security investments.</w:t>
      </w:r>
    </w:p>
    <w:p>
      <w:pPr>
        <w:spacing w:after="0" w:line="75"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approximately $40.9 million for the six months ended June 30, 2023, reflecting a net loss of $71.7 million and uses driven by changes in working capital of approximately $6.9 million, partially offset by non-cash charges and gains on investments of $23.9 million. The non-cash charges primarily consisted of equity-based compensation expense of $24.2 million and depreciation and amortization expense of $1.7 million.</w:t>
      </w:r>
    </w:p>
    <w:p>
      <w:pPr>
        <w:spacing w:after="0" w:line="72" w:lineRule="exact"/>
        <w:rPr>
          <w:sz w:val="20"/>
          <w:szCs w:val="20"/>
          <w:color w:val="auto"/>
        </w:rPr>
      </w:pPr>
    </w:p>
    <w:p>
      <w:pPr>
        <w:jc w:val="both"/>
        <w:ind w:right="260" w:firstLine="509"/>
        <w:spacing w:after="0" w:line="289" w:lineRule="auto"/>
        <w:rPr>
          <w:sz w:val="20"/>
          <w:szCs w:val="20"/>
          <w:color w:val="auto"/>
        </w:rPr>
      </w:pPr>
      <w:r>
        <w:rPr>
          <w:rFonts w:ascii="Times New Roman" w:cs="Times New Roman" w:eastAsia="Times New Roman" w:hAnsi="Times New Roman"/>
          <w:sz w:val="17"/>
          <w:szCs w:val="17"/>
          <w:color w:val="auto"/>
        </w:rPr>
        <w:t>The approximately $32.1 million increase in cash used in operating activities for the six months ended June 30, 2024 compared to the six months ended June 30, 2023 was primarily driven by an increase in net loss after adjusting for the non-cash charges and gains on investments of approximately $12.0 million coupled with an increase in the use of cash related to the timing of payments to our vendors and receipt of interest amounts due.</w:t>
      </w:r>
    </w:p>
    <w:p>
      <w:pPr>
        <w:spacing w:after="0" w:line="2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right="260" w:firstLine="509"/>
        <w:spacing w:after="0" w:line="261" w:lineRule="auto"/>
        <w:rPr>
          <w:sz w:val="20"/>
          <w:szCs w:val="20"/>
          <w:color w:val="auto"/>
        </w:rPr>
      </w:pPr>
      <w:r>
        <w:rPr>
          <w:rFonts w:ascii="Times New Roman" w:cs="Times New Roman" w:eastAsia="Times New Roman" w:hAnsi="Times New Roman"/>
          <w:sz w:val="18"/>
          <w:szCs w:val="18"/>
          <w:color w:val="auto"/>
        </w:rPr>
        <w:t>Net cash provided by (used in) investing activities was approximately $87.0 million and $(205.8 million) for the six months ended June 30, 2024 and 2023, respectively. The cash provided by investing activities during the six months ended June 30, 2024 was</w:t>
      </w: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1" w:name="page32"/>
    <w:bookmarkEnd w:id="31"/>
    <w:p>
      <w:pPr>
        <w:ind w:right="60"/>
        <w:spacing w:after="0" w:line="282" w:lineRule="auto"/>
        <w:rPr>
          <w:sz w:val="20"/>
          <w:szCs w:val="20"/>
          <w:color w:val="auto"/>
        </w:rPr>
      </w:pPr>
      <w:r>
        <w:rPr>
          <w:rFonts w:ascii="Times New Roman" w:cs="Times New Roman" w:eastAsia="Times New Roman" w:hAnsi="Times New Roman"/>
          <w:sz w:val="18"/>
          <w:szCs w:val="18"/>
          <w:color w:val="auto"/>
        </w:rPr>
        <w:t>primarily related to withdrawal of cash from our investments for use in operations. The cash used in investing activities during the six months ended June 30, 2023, was driven by the investment of a portion of the proceeds raised through the Business Combination in marketable securities.</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Net cash from financing activities for the six months ended June 30, 2024 includes proceeds of $139.9 million related to the sale of our Class A ordinary shares. Net cash used in financing activities for the six months ended June 30, 2023 was an insignificant amount.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is based on our condensed consolidated financial statements. Our condensed consolidated financial statements are prepared in accordance with GAAP. The preparation of our condensed consolidated financial statements and related disclosures requires us to make estimates and judgments that affect the reported amounts of assets,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8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Our significant accounting policies are described in Note 2 to our unaudited condensed consolidated financial statements included elsewhere in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Note 2 to our unaudited condensed consolidated financial statements included elsewhere in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as amended (the “JOBS Act”). The JOBS Act provides that an emerging growth company can take advantage of an extended transition period for complying with new or revised accounting standards applicable to public companies, allowing them to delay the adoption of those standards until those standards would otherwise apply to private companies. We have elected to use this extended transition period under the JOBS Act. As a result, our consolidated financial statements may not be comparable to the financial statements of companies that are required to comply with the effective dates for new or revised accounting standards that are applicable to public companies, which may make our ordinary shares less attractive to investors.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right="20" w:firstLine="578"/>
        <w:spacing w:after="0" w:line="256" w:lineRule="auto"/>
        <w:rPr>
          <w:sz w:val="20"/>
          <w:szCs w:val="20"/>
          <w:color w:val="auto"/>
        </w:rPr>
      </w:pPr>
      <w:r>
        <w:rPr>
          <w:rFonts w:ascii="Times New Roman" w:cs="Times New Roman" w:eastAsia="Times New Roman" w:hAnsi="Times New Roman"/>
          <w:sz w:val="18"/>
          <w:szCs w:val="18"/>
          <w:color w:val="auto"/>
        </w:rPr>
        <w:t>The Company’s exposure to changes in interest rates relates primarily to the Company’s investment portfolio. The goals of our investment strategy are preservation of capital, fulfillment of liquidity needs and fiduciary control of cash and investments. We also seek to maximize income from our investments without assuming significant risk. To achieve our goals, we maintain a portfolio of cash equivalents and investments in a variety of securities that management believes to be of high credit quality. All securities in our investment portfolio are not leveraged and are, due to their short-term nature, subject to minimal interest rate risk. Because of the short-term maturities of our investments, we do not believe that an increase in market rates would have a material negative impact on the value of our investment portfolio.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other than its impact on the general economy. To the extent our costs are impacted by general inflationary pressures, we may not be able to fully offset such higher costs through price increases or manufacturing efficiencies. Our inability or failure to do so could harm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 do not have any material foreign currency exposure.</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578"/>
        <w:spacing w:after="0" w:line="256" w:lineRule="auto"/>
        <w:rPr>
          <w:sz w:val="20"/>
          <w:szCs w:val="20"/>
          <w:color w:val="auto"/>
        </w:rPr>
      </w:pPr>
      <w:r>
        <w:rPr>
          <w:rFonts w:ascii="Times New Roman" w:cs="Times New Roman" w:eastAsia="Times New Roman" w:hAnsi="Times New Roman"/>
          <w:sz w:val="18"/>
          <w:szCs w:val="18"/>
          <w:color w:val="auto"/>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as amended) as of June 30, 2024. Based upon that evaluation, our Chief Executive Officer and Chief Financial Officer concluded that, as of June 30, 2024, our disclosure controls and procedures were effective in causing material information relating to us (including our consolidated subsidiaries) to be recorded, processed, summarized and reported by management on a timely basis and to ensure the quality and timeliness of our public disclosures pursuant to SEC disclosure obligations.</w:t>
      </w:r>
    </w:p>
    <w:p>
      <w:pPr>
        <w:spacing w:after="0" w:line="79" w:lineRule="exact"/>
        <w:rPr>
          <w:sz w:val="20"/>
          <w:szCs w:val="20"/>
          <w:color w:val="auto"/>
        </w:rPr>
      </w:pPr>
    </w:p>
    <w:p>
      <w:pPr>
        <w:ind w:firstLine="578"/>
        <w:spacing w:after="0" w:line="255"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spacing w:after="0" w:line="81" w:lineRule="exact"/>
        <w:rPr>
          <w:sz w:val="20"/>
          <w:szCs w:val="20"/>
          <w:color w:val="auto"/>
        </w:rPr>
      </w:pPr>
    </w:p>
    <w:p>
      <w:pPr>
        <w:ind w:right="140" w:firstLine="578"/>
        <w:spacing w:after="0" w:line="261" w:lineRule="auto"/>
        <w:rPr>
          <w:sz w:val="20"/>
          <w:szCs w:val="20"/>
          <w:color w:val="auto"/>
        </w:rPr>
      </w:pPr>
      <w:r>
        <w:rPr>
          <w:rFonts w:ascii="Times New Roman" w:cs="Times New Roman" w:eastAsia="Times New Roman" w:hAnsi="Times New Roman"/>
          <w:sz w:val="18"/>
          <w:szCs w:val="18"/>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to Internal Control over Financial Reporting</w:t>
      </w:r>
    </w:p>
    <w:p>
      <w:pPr>
        <w:spacing w:after="0" w:line="121" w:lineRule="exact"/>
        <w:rPr>
          <w:sz w:val="20"/>
          <w:szCs w:val="20"/>
          <w:color w:val="auto"/>
        </w:rPr>
      </w:pPr>
    </w:p>
    <w:p>
      <w:pPr>
        <w:ind w:right="240" w:firstLine="578"/>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our most recent fiscal quarter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Availability of Reports and other Corporate Governance Information</w:t>
      </w:r>
    </w:p>
    <w:p>
      <w:pPr>
        <w:spacing w:after="0" w:line="121" w:lineRule="exact"/>
        <w:rPr>
          <w:sz w:val="20"/>
          <w:szCs w:val="20"/>
          <w:color w:val="auto"/>
        </w:rPr>
      </w:pPr>
    </w:p>
    <w:p>
      <w:pPr>
        <w:ind w:right="40" w:firstLine="578"/>
        <w:spacing w:after="0" w:line="256" w:lineRule="auto"/>
        <w:rPr>
          <w:sz w:val="20"/>
          <w:szCs w:val="20"/>
          <w:color w:val="auto"/>
        </w:rPr>
      </w:pPr>
      <w:r>
        <w:rPr>
          <w:rFonts w:ascii="Times New Roman" w:cs="Times New Roman" w:eastAsia="Times New Roman" w:hAnsi="Times New Roman"/>
          <w:sz w:val="18"/>
          <w:szCs w:val="18"/>
          <w:color w:val="auto"/>
        </w:rPr>
        <w:t>The Company maintains a comprehensive corporate governance program, including Corporate Governance Guidelines for its Board of Directors, Board Guidelines for Assessing Director Independence and charters for its Audit Committee, Nominating and Corporate Governance Committee and Talent and Compensation Committee. The Company maintains a corporate investor relations website, https://investors.prokidney.com/, where stockholders and other interested persons may review, without charge, among other things, corporate governance materials and certain SEC filings, which are generally available on the same business day as the filing date with the SEC on the SEC’s website http://www.sec.gov. The contents of our website are not made a part of this Quarterly Report on Form 10-Q.</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not currently a party to any material legal proceedings.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60" w:firstLine="524"/>
        <w:spacing w:after="0" w:line="261" w:lineRule="auto"/>
        <w:rPr>
          <w:sz w:val="20"/>
          <w:szCs w:val="20"/>
          <w:color w:val="auto"/>
        </w:rPr>
      </w:pPr>
      <w:r>
        <w:rPr>
          <w:rFonts w:ascii="Times New Roman" w:cs="Times New Roman" w:eastAsia="Times New Roman" w:hAnsi="Times New Roman"/>
          <w:sz w:val="18"/>
          <w:szCs w:val="18"/>
          <w:color w:val="auto"/>
        </w:rPr>
        <w:t>Our business is subject to a number of risks, including risks that may prevent us from achieving our business objectives or may adversely affect our business, financial condition, results of operations, cash flows, and prospects. These risks are discussed more fully in the section entitled “Risk Factors” in our Annual Report on Form 10-K filed with the SEC on March 22, 2024 (the “2023 Annual Report”). There have been no material changes to the risk factors described in the 2023 Annual Report.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There were no sales of unregistered equity securities during the three months ended June 30, 2024.</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During the quarter ended June 30, 2024, none of the Company’s directors or officers adopted or terminated a “Rule 10b5-1 trading arrangement” or “non-Rule 10b5-1 trading arrangement,” as those terms are defined in Regulation S-K, Item 408, that was intended to satisfy the affirmative defense conditions of Rule 10b5-1(c).</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20" w:type="dxa"/>
            <w:vAlign w:val="bottom"/>
            <w:gridSpan w:val="8"/>
            <w:vMerge w:val="restart"/>
          </w:tcPr>
          <w:p>
            <w:pPr>
              <w:ind w:left="37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9220" w:type="dxa"/>
            <w:vAlign w:val="bottom"/>
            <w:tcBorders>
              <w:bottom w:val="single" w:sz="8" w:color="auto"/>
            </w:tcBorders>
            <w:gridSpan w:val="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21"/>
                <w:szCs w:val="21"/>
                <w:color w:val="auto"/>
              </w:rPr>
            </w:pPr>
          </w:p>
        </w:tc>
        <w:tc>
          <w:tcPr>
            <w:tcW w:w="982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rPr>
            </w:pPr>
            <w:hyperlink r:id="rId291">
              <w:r>
                <w:rPr>
                  <w:rFonts w:ascii="Times New Roman" w:cs="Times New Roman" w:eastAsia="Times New Roman" w:hAnsi="Times New Roman"/>
                  <w:sz w:val="18"/>
                  <w:szCs w:val="18"/>
                  <w:color w:val="0000FF"/>
                </w:rPr>
                <w:t>Form of Share Purchase Agreement by and between the Company and certain investors, dated June 11, 2024 (incorporated by reference</w:t>
              </w:r>
            </w:hyperlink>
          </w:p>
        </w:tc>
        <w:tc>
          <w:tcPr>
            <w:tcW w:w="32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40" w:type="dxa"/>
            <w:vAlign w:val="bottom"/>
            <w:gridSpan w:val="9"/>
          </w:tcPr>
          <w:p>
            <w:pPr>
              <w:spacing w:after="0" w:line="196" w:lineRule="exact"/>
              <w:rPr>
                <w:rFonts w:ascii="Times New Roman" w:cs="Times New Roman" w:eastAsia="Times New Roman" w:hAnsi="Times New Roman"/>
                <w:sz w:val="18"/>
                <w:szCs w:val="18"/>
                <w:color w:val="0000FF"/>
              </w:rPr>
            </w:pPr>
            <w:hyperlink r:id="rId291">
              <w:r>
                <w:rPr>
                  <w:rFonts w:ascii="Times New Roman" w:cs="Times New Roman" w:eastAsia="Times New Roman" w:hAnsi="Times New Roman"/>
                  <w:sz w:val="18"/>
                  <w:szCs w:val="18"/>
                  <w:color w:val="0000FF"/>
                </w:rPr>
                <w:t>from Exhibit 10.1 to Form 8-K filed with the SEC on June 13, 2024) (File No. 001-40560).</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24"/>
                <w:szCs w:val="24"/>
                <w:color w:val="auto"/>
              </w:rPr>
            </w:pPr>
          </w:p>
        </w:tc>
        <w:tc>
          <w:tcPr>
            <w:tcW w:w="96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4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464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24"/>
                <w:szCs w:val="24"/>
                <w:color w:val="auto"/>
              </w:rPr>
            </w:pPr>
          </w:p>
        </w:tc>
        <w:tc>
          <w:tcPr>
            <w:tcW w:w="96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5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50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24"/>
                <w:szCs w:val="24"/>
                <w:color w:val="auto"/>
              </w:rPr>
            </w:pPr>
          </w:p>
        </w:tc>
        <w:tc>
          <w:tcPr>
            <w:tcW w:w="101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912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tcPr>
          <w:p>
            <w:pPr>
              <w:spacing w:after="0"/>
              <w:rPr>
                <w:sz w:val="24"/>
                <w:szCs w:val="24"/>
                <w:color w:val="auto"/>
              </w:rPr>
            </w:pPr>
          </w:p>
        </w:tc>
        <w:tc>
          <w:tcPr>
            <w:tcW w:w="100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92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24"/>
                <w:szCs w:val="24"/>
                <w:color w:val="auto"/>
              </w:rPr>
            </w:pPr>
          </w:p>
        </w:tc>
        <w:tc>
          <w:tcPr>
            <w:tcW w:w="10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following materials from the Company’s Quarterly Report on Form 10-Q for the quarter ended June 30, 2024, formatted in iXBRL</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Extensible Business Reporting Language):  (i) Condensed Consolidated Balance Sheets (unaudited), (ii) Condensed Consolidated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Statements of Operations (unaudited), (iii) Condensed Consolidated Statements of Comprehensive Loss (unaudited), (iv) Condensed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Consolidated Statements of Changes in Redeemable Noncontrolling Interest and Stockholders’ Deficit (unaudited), (v) Consolidated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Statements of Cash Flows (unaudited) and (vi) Notes to Condensed Consolidated Financial Statements (unaudited), tagged as blocks of text</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and including detailed tags.</w:t>
            </w:r>
          </w:p>
        </w:tc>
        <w:tc>
          <w:tcPr>
            <w:tcW w:w="0" w:type="dxa"/>
            <w:vAlign w:val="bottom"/>
          </w:tcPr>
          <w:p>
            <w:pPr>
              <w:spacing w:after="0"/>
              <w:rPr>
                <w:sz w:val="1"/>
                <w:szCs w:val="1"/>
                <w:color w:val="auto"/>
              </w:rPr>
            </w:pPr>
          </w:p>
        </w:tc>
      </w:tr>
      <w:tr>
        <w:trPr>
          <w:trHeight w:val="31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4"/>
                <w:szCs w:val="24"/>
                <w:color w:val="auto"/>
              </w:rPr>
            </w:pPr>
          </w:p>
        </w:tc>
        <w:tc>
          <w:tcPr>
            <w:tcW w:w="10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cover page from this Quarterly Report on Form 10-Q for the quarter ended June 30, 2024, formatted in Inline XBRL.</w:t>
            </w:r>
          </w:p>
        </w:tc>
        <w:tc>
          <w:tcPr>
            <w:tcW w:w="0" w:type="dxa"/>
            <w:vAlign w:val="bottom"/>
          </w:tcPr>
          <w:p>
            <w:pPr>
              <w:spacing w:after="0"/>
              <w:rPr>
                <w:sz w:val="1"/>
                <w:szCs w:val="1"/>
                <w:color w:val="auto"/>
              </w:rPr>
            </w:pPr>
          </w:p>
        </w:tc>
      </w:tr>
    </w:tbl>
    <w:p>
      <w:pPr>
        <w:spacing w:after="0" w:line="373" w:lineRule="exact"/>
        <w:rPr>
          <w:sz w:val="20"/>
          <w:szCs w:val="20"/>
          <w:color w:val="auto"/>
        </w:rPr>
      </w:pPr>
    </w:p>
    <w:p>
      <w:pPr>
        <w:ind w:right="6800" w:firstLine="8"/>
        <w:spacing w:after="0" w:line="407" w:lineRule="auto"/>
        <w:tabs>
          <w:tab w:leader="none" w:pos="13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-441960</wp:posOffset>
            </wp:positionV>
            <wp:extent cx="95123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6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60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Company Name</w:t>
            </w:r>
          </w:p>
        </w:tc>
      </w:tr>
      <w:tr>
        <w:trPr>
          <w:trHeight w:val="47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2024</w:t>
            </w:r>
          </w:p>
        </w:tc>
        <w:tc>
          <w:tcPr>
            <w:tcW w:w="760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By: /s/ Bruce Culleton</w:t>
            </w:r>
          </w:p>
        </w:tc>
      </w:tr>
      <w:tr>
        <w:trPr>
          <w:trHeight w:val="205"/>
        </w:trPr>
        <w:tc>
          <w:tcPr>
            <w:tcW w:w="36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220" w:type="dxa"/>
            <w:vAlign w:val="bottom"/>
            <w:tcBorders>
              <w:top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Name: Bruce Culleton</w:t>
            </w:r>
          </w:p>
        </w:tc>
      </w:tr>
      <w:tr>
        <w:trPr>
          <w:trHeight w:val="229"/>
        </w:trPr>
        <w:tc>
          <w:tcPr>
            <w:tcW w:w="36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234"/>
        </w:trPr>
        <w:tc>
          <w:tcPr>
            <w:tcW w:w="36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7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2024</w:t>
            </w:r>
          </w:p>
        </w:tc>
        <w:tc>
          <w:tcPr>
            <w:tcW w:w="760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By: /s/ James Coulston</w:t>
            </w:r>
          </w:p>
        </w:tc>
      </w:tr>
      <w:tr>
        <w:trPr>
          <w:trHeight w:val="205"/>
        </w:trPr>
        <w:tc>
          <w:tcPr>
            <w:tcW w:w="36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220" w:type="dxa"/>
            <w:vAlign w:val="bottom"/>
            <w:tcBorders>
              <w:top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Name: James Coulston</w:t>
            </w:r>
          </w:p>
        </w:tc>
      </w:tr>
      <w:tr>
        <w:trPr>
          <w:trHeight w:val="229"/>
        </w:trPr>
        <w:tc>
          <w:tcPr>
            <w:tcW w:w="36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234"/>
        </w:trPr>
        <w:tc>
          <w:tcPr>
            <w:tcW w:w="36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Bruce Culleton, certify that:</w:t>
      </w:r>
    </w:p>
    <w:p>
      <w:pPr>
        <w:spacing w:after="0" w:line="225"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ProKidney Corp.;</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August 9, 2024</w:t>
            </w:r>
          </w:p>
        </w:tc>
        <w:tc>
          <w:tcPr>
            <w:tcW w:w="766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By:   /s/ Bruce Culleton</w:t>
            </w:r>
          </w:p>
        </w:tc>
      </w:tr>
      <w:tr>
        <w:trPr>
          <w:trHeight w:val="205"/>
        </w:trPr>
        <w:tc>
          <w:tcPr>
            <w:tcW w:w="35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5220" w:type="dxa"/>
            <w:vAlign w:val="bottom"/>
            <w:tcBorders>
              <w:top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Bruce Culleton</w:t>
            </w:r>
          </w:p>
        </w:tc>
      </w:tr>
      <w:tr>
        <w:trPr>
          <w:trHeight w:val="229"/>
        </w:trPr>
        <w:tc>
          <w:tcPr>
            <w:tcW w:w="35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5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992"/>
        </w:trPr>
        <w:tc>
          <w:tcPr>
            <w:tcW w:w="358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Coulston, certify that:</w:t>
      </w:r>
    </w:p>
    <w:p>
      <w:pPr>
        <w:spacing w:after="0" w:line="225" w:lineRule="exact"/>
        <w:rPr>
          <w:sz w:val="20"/>
          <w:szCs w:val="20"/>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ProKidney Corp.;</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August 9, 2024</w:t>
            </w:r>
          </w:p>
        </w:tc>
        <w:tc>
          <w:tcPr>
            <w:tcW w:w="762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James Coulston</w:t>
            </w:r>
          </w:p>
        </w:tc>
      </w:tr>
      <w:tr>
        <w:trPr>
          <w:trHeight w:val="205"/>
        </w:trPr>
        <w:tc>
          <w:tcPr>
            <w:tcW w:w="36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5120" w:type="dxa"/>
            <w:vAlign w:val="bottom"/>
            <w:tcBorders>
              <w:top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James Coulston</w:t>
            </w:r>
          </w:p>
        </w:tc>
      </w:tr>
      <w:tr>
        <w:trPr>
          <w:trHeight w:val="229"/>
        </w:trPr>
        <w:tc>
          <w:tcPr>
            <w:tcW w:w="36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6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992"/>
        </w:trPr>
        <w:tc>
          <w:tcPr>
            <w:tcW w:w="362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ProKidney Corp. (the “Company”) on Form 10-Q for the period ending June 30,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August 9, 2024</w:t>
            </w:r>
          </w:p>
        </w:tc>
        <w:tc>
          <w:tcPr>
            <w:tcW w:w="768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   /s/ Bruce Culleton</w:t>
            </w:r>
          </w:p>
        </w:tc>
      </w:tr>
      <w:tr>
        <w:trPr>
          <w:trHeight w:val="205"/>
        </w:trPr>
        <w:tc>
          <w:tcPr>
            <w:tcW w:w="35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220" w:type="dxa"/>
            <w:vAlign w:val="bottom"/>
            <w:tcBorders>
              <w:top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Bruce Culleton</w:t>
            </w:r>
          </w:p>
        </w:tc>
      </w:tr>
      <w:tr>
        <w:trPr>
          <w:trHeight w:val="229"/>
        </w:trPr>
        <w:tc>
          <w:tcPr>
            <w:tcW w:w="35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856"/>
        </w:trPr>
        <w:tc>
          <w:tcPr>
            <w:tcW w:w="356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ProKidney Corp. (the “Company”) on Form 10-Q for the period ending June 30,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August 9, 2024</w:t>
            </w:r>
          </w:p>
        </w:tc>
        <w:tc>
          <w:tcPr>
            <w:tcW w:w="26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Coulston</w:t>
            </w:r>
          </w:p>
        </w:tc>
      </w:tr>
      <w:tr>
        <w:trPr>
          <w:trHeight w:val="205"/>
        </w:trPr>
        <w:tc>
          <w:tcPr>
            <w:tcW w:w="36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50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James Coulston</w:t>
            </w:r>
          </w:p>
        </w:tc>
      </w:tr>
      <w:tr>
        <w:trPr>
          <w:trHeight w:val="229"/>
        </w:trPr>
        <w:tc>
          <w:tcPr>
            <w:tcW w:w="36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6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1856"/>
        </w:trPr>
        <w:tc>
          <w:tcPr>
            <w:tcW w:w="362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9" w:name="page40"/>
    <w:bookmarkEnd w:id="3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lowerLetter"/>
      <w:start w:val="2"/>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lvl w:ilvl="1">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291" Type="http://schemas.openxmlformats.org/officeDocument/2006/relationships/hyperlink" Target="https://www.sec.gov/Archives/edgar/data/1850270/000119312524160339/d81418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2024-08-09T15:25:34Z</dcterms:created>
  <dcterms:modified xsi:type="dcterms:W3CDTF">2024-08-09T15:25:34Z</dcterms:modified>
</cp:coreProperties>
</file>