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rok-20250930.htm"/>
      <w:bookmarkStart w:id="1" w:name="ksprok2025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001-40560</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98-1586514</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2000 Frontis Plaza Blvd., Suite 250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Winston-Salem, NC</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27103</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(336) 999-7019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tbl>
      <w:tblPr>
        <w:tblW w:w="7588" w:type="dxa"/>
        <w:jc w:val="left"/>
        <w:tblInd w:w="0" w:type="dxa"/>
        <w:tblLayout w:type="fixed"/>
        <w:tblCellMar>
          <w:top w:w="28" w:type="dxa"/>
          <w:left w:w="28" w:type="dxa"/>
          <w:bottom w:w="28" w:type="dxa"/>
          <w:right w:w="28" w:type="dxa"/>
        </w:tblCellMar>
      </w:tblPr>
      <w:tblGrid>
        <w:gridCol w:w="3826"/>
        <w:gridCol w:w="146"/>
        <w:gridCol w:w="36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Class of Stock</w:t>
            </w:r>
          </w:p>
        </w:tc>
        <w:tc>
          <w:tcPr>
            <w:tcW w:w="146" w:type="dxa"/>
            <w:tcBorders>
              <w:bottom w:val="single" w:sz="4" w:space="0" w:color="000000"/>
            </w:tcBorders>
            <w:tcMar>
              <w:top w:w="0" w:type="dxa"/>
              <w:left w:w="0" w:type="dxa"/>
              <w:right w:w="0" w:type="dxa"/>
            </w:tcMar>
            <w:vAlign w:val="center"/>
          </w:tcPr>
          <w:p>
            <w:pPr>
              <w:pStyle w:val="TableContents"/>
              <w:bidi w:val="0"/>
              <w:spacing w:before="80" w:after="283"/>
              <w:jc w:val="left"/>
              <w:rPr/>
            </w:pPr>
            <w:r>
              <w:rPr/>
              <w:t> </w:t>
            </w:r>
          </w:p>
        </w:tc>
        <w:tc>
          <w:tcPr>
            <w:tcW w:w="3616"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Shares Outstanding as of November 10, 2025</w:t>
            </w:r>
          </w:p>
        </w:tc>
      </w:tr>
      <w:tr>
        <w:trPr/>
        <w:tc>
          <w:tcPr>
            <w:tcW w:w="3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6"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141,545,448</w:t>
            </w:r>
          </w:p>
        </w:tc>
      </w:tr>
      <w:tr>
        <w:trPr/>
        <w:tc>
          <w:tcPr>
            <w:tcW w:w="3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B common stock,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616"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159,288,931</w:t>
            </w:r>
          </w:p>
        </w:tc>
      </w:tr>
    </w:tbl>
    <w:p>
      <w:pPr>
        <w:pStyle w:val="TextBody"/>
        <w:pBdr>
          <w:bottom w:val="double" w:sz="6" w:space="1" w:color="000000"/>
        </w:pBdr>
        <w:bidi w:val="0"/>
        <w:jc w:val="left"/>
        <w:rPr>
          <w:rFonts w:ascii="Times New Roman" w:hAnsi="Times New Roman"/>
          <w:color w:val="000000"/>
          <w:sz w:val="4"/>
        </w:rPr>
      </w:pPr>
      <w:r>
        <w:rPr>
          <w:rFonts w:ascii="Times New Roman" w:hAnsi="Times New Roman"/>
          <w:color w:val="000000"/>
          <w:sz w:val="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5"/>
        <w:gridCol w:w="8691"/>
        <w:gridCol w:w="649"/>
      </w:tblGrid>
      <w:tr>
        <w:trPr/>
        <w:tc>
          <w:tcPr>
            <w:tcW w:w="865" w:type="dxa"/>
            <w:tcBorders/>
            <w:vAlign w:val="center"/>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loss">
              <w:r>
                <w:rPr>
                  <w:rStyle w:val="InternetLink"/>
                  <w:rFonts w:ascii="Times New Roman" w:hAnsi="Times New Roman"/>
                  <w:color w:val="0000FF"/>
                  <w:sz w:val="20"/>
                  <w:u w:val="single"/>
                </w:rPr>
                <w:t>Condensed Consolidated Statements of Comprehensive Loss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000FF"/>
                  <w:sz w:val="20"/>
                  <w:u w:val="single"/>
                </w:rPr>
                <w:t>Condensed Consolidated Statements of Changes in Redeemable Noncontrolling Interest and Stockholders’ Deficit</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Times New Roman" w:hAnsi="Times New Roman"/>
                  <w:color w:val="0000FF"/>
                  <w:sz w:val="20"/>
                  <w:u w:val="single"/>
                </w:rPr>
                <w:t>Notes to Unaudited Condensed Consolidated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Condensed Consolidated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38"/>
        <w:gridCol w:w="308"/>
        <w:gridCol w:w="1455"/>
        <w:gridCol w:w="246"/>
        <w:gridCol w:w="246"/>
        <w:gridCol w:w="301"/>
        <w:gridCol w:w="1418"/>
        <w:gridCol w:w="693"/>
      </w:tblGrid>
      <w:tr>
        <w:trPr/>
        <w:tc>
          <w:tcPr>
            <w:tcW w:w="55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7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176,402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259,172</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clinical</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assets</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395,884</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42,222</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net</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3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351,608</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3"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7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 net of current portion</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39,436</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1,396,591</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7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Class A common stock, $0.0001 par value; 700,000,000 and </w:t>
              <w:br/>
              <w:t xml:space="preserve">   500,000,000 shares authorized as of September 30, 2025 and </w:t>
              <w:br/>
              <w:t>   December 31, 2024, respectively; 135,977,945 and 128,054,417</w:t>
              <w:br/>
              <w:t xml:space="preserve">   shares issued and outstanding as of September 30, 2025 and </w:t>
              <w:br/>
              <w:t xml:space="preserve">   December 31, 2024, </w:t>
              <w:br/>
              <w:t>   respectively</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B common stock, $0.0001 par value; 500,000,000 shares</w:t>
              <w:br/>
              <w:t>   authorized; 159,288,931 and 163,693,707 shares issued and</w:t>
              <w:br/>
              <w:t xml:space="preserve">   outstanding as of September 30, 2025 and December 31, 2024, </w:t>
              <w:br/>
              <w:t>   respectively</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242,480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205,736</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gain</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(1,250,604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(1,200,849</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(1,008,020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(994,954</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351,608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r>
        <w:rPr>
          <w:rFonts w:ascii="Times New Roman" w:hAnsi="Times New Roman"/>
          <w:b/>
          <w:color w:val="000000"/>
          <w:sz w:val="20"/>
        </w:rPr>
        <w:t>-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1047" w:type="dxa"/>
        <w:jc w:val="left"/>
        <w:tblInd w:w="0" w:type="dxa"/>
        <w:tblLayout w:type="fixed"/>
        <w:tblCellMar>
          <w:top w:w="28" w:type="dxa"/>
          <w:left w:w="28" w:type="dxa"/>
          <w:bottom w:w="28" w:type="dxa"/>
          <w:right w:w="28" w:type="dxa"/>
        </w:tblCellMar>
      </w:tblPr>
      <w:tblGrid>
        <w:gridCol w:w="1551"/>
        <w:gridCol w:w="646"/>
        <w:gridCol w:w="211"/>
        <w:gridCol w:w="1141"/>
        <w:gridCol w:w="666"/>
        <w:gridCol w:w="646"/>
        <w:gridCol w:w="211"/>
        <w:gridCol w:w="1141"/>
        <w:gridCol w:w="166"/>
        <w:gridCol w:w="146"/>
        <w:gridCol w:w="211"/>
        <w:gridCol w:w="1141"/>
        <w:gridCol w:w="666"/>
        <w:gridCol w:w="646"/>
        <w:gridCol w:w="211"/>
        <w:gridCol w:w="1036"/>
        <w:gridCol w:w="611"/>
      </w:tblGrid>
      <w:tr>
        <w:trPr/>
        <w:tc>
          <w:tcPr>
            <w:tcW w:w="15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26,821</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79,966</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40,338</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38,756</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120,304</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(38,539</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(119,636</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(35,283</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(108,761</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w:t>
              <w:br/>
              <w:t>   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(19,374</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(61,005</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(49,755</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Class A common stock outstanding: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134,992,796</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131,588,705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87,818,229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common stock:</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6" w:name="consolidated_statements_of_comp_loss"/>
      <w:bookmarkEnd w:id="6"/>
      <w:r>
        <w:rPr>
          <w:rFonts w:ascii="Times New Roman" w:hAnsi="Times New Roman"/>
          <w:b/>
          <w:color w:val="000000"/>
          <w:sz w:val="20"/>
        </w:rPr>
        <w:t>Condensed Consolidated Statements of Comprehensive Loss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26"/>
        <w:gridCol w:w="346"/>
        <w:gridCol w:w="227"/>
        <w:gridCol w:w="796"/>
        <w:gridCol w:w="395"/>
        <w:gridCol w:w="374"/>
        <w:gridCol w:w="227"/>
        <w:gridCol w:w="796"/>
        <w:gridCol w:w="166"/>
        <w:gridCol w:w="146"/>
        <w:gridCol w:w="216"/>
        <w:gridCol w:w="863"/>
        <w:gridCol w:w="375"/>
        <w:gridCol w:w="355"/>
        <w:gridCol w:w="216"/>
        <w:gridCol w:w="863"/>
        <w:gridCol w:w="418"/>
      </w:tblGrid>
      <w:tr>
        <w:trPr/>
        <w:tc>
          <w:tcPr>
            <w:tcW w:w="3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including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(114,852</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income (loss) on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 including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(110,889</w:t>
            </w:r>
          </w:p>
        </w:tc>
        <w:tc>
          <w:tcPr>
            <w:tcW w:w="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(114,617</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Total comprehensive loss attributable to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(61,078</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(74,900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 attributable to Class A common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(16,425</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(49,811</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(39,717</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tockholders_deficit"/>
      <w:bookmarkEnd w:id="7"/>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5391" w:type="dxa"/>
        <w:jc w:val="left"/>
        <w:tblInd w:w="0" w:type="dxa"/>
        <w:tblLayout w:type="fixed"/>
        <w:tblCellMar>
          <w:top w:w="28" w:type="dxa"/>
          <w:left w:w="28" w:type="dxa"/>
          <w:bottom w:w="28" w:type="dxa"/>
          <w:right w:w="28" w:type="dxa"/>
        </w:tblCellMar>
      </w:tblPr>
      <w:tblGrid>
        <w:gridCol w:w="1451"/>
        <w:gridCol w:w="246"/>
        <w:gridCol w:w="257"/>
        <w:gridCol w:w="1139"/>
        <w:gridCol w:w="266"/>
        <w:gridCol w:w="246"/>
        <w:gridCol w:w="246"/>
        <w:gridCol w:w="146"/>
        <w:gridCol w:w="1141"/>
        <w:gridCol w:w="146"/>
        <w:gridCol w:w="146"/>
        <w:gridCol w:w="312"/>
        <w:gridCol w:w="469"/>
        <w:gridCol w:w="146"/>
        <w:gridCol w:w="146"/>
        <w:gridCol w:w="146"/>
        <w:gridCol w:w="1141"/>
        <w:gridCol w:w="146"/>
        <w:gridCol w:w="146"/>
        <w:gridCol w:w="312"/>
        <w:gridCol w:w="469"/>
        <w:gridCol w:w="146"/>
        <w:gridCol w:w="146"/>
        <w:gridCol w:w="213"/>
        <w:gridCol w:w="793"/>
        <w:gridCol w:w="166"/>
        <w:gridCol w:w="146"/>
        <w:gridCol w:w="570"/>
        <w:gridCol w:w="856"/>
        <w:gridCol w:w="146"/>
        <w:gridCol w:w="146"/>
        <w:gridCol w:w="213"/>
        <w:gridCol w:w="1003"/>
        <w:gridCol w:w="166"/>
        <w:gridCol w:w="146"/>
        <w:gridCol w:w="221"/>
        <w:gridCol w:w="1040"/>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3"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September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Noncontrolling Interest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July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1,341,953</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133,418,957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159,288,931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Class A ordinary shares, net of offering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income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1,326,358</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135,977,945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159,288,931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(1,008,020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5131" w:type="dxa"/>
        <w:jc w:val="left"/>
        <w:tblInd w:w="0" w:type="dxa"/>
        <w:tblLayout w:type="fixed"/>
        <w:tblCellMar>
          <w:top w:w="28" w:type="dxa"/>
          <w:left w:w="28" w:type="dxa"/>
          <w:bottom w:w="28" w:type="dxa"/>
          <w:right w:w="28" w:type="dxa"/>
        </w:tblCellMar>
      </w:tblPr>
      <w:tblGrid>
        <w:gridCol w:w="1451"/>
        <w:gridCol w:w="246"/>
        <w:gridCol w:w="257"/>
        <w:gridCol w:w="1139"/>
        <w:gridCol w:w="166"/>
        <w:gridCol w:w="146"/>
        <w:gridCol w:w="146"/>
        <w:gridCol w:w="146"/>
        <w:gridCol w:w="1141"/>
        <w:gridCol w:w="146"/>
        <w:gridCol w:w="146"/>
        <w:gridCol w:w="312"/>
        <w:gridCol w:w="469"/>
        <w:gridCol w:w="146"/>
        <w:gridCol w:w="146"/>
        <w:gridCol w:w="146"/>
        <w:gridCol w:w="1141"/>
        <w:gridCol w:w="166"/>
        <w:gridCol w:w="146"/>
        <w:gridCol w:w="312"/>
        <w:gridCol w:w="469"/>
        <w:gridCol w:w="146"/>
        <w:gridCol w:w="146"/>
        <w:gridCol w:w="213"/>
        <w:gridCol w:w="793"/>
        <w:gridCol w:w="166"/>
        <w:gridCol w:w="146"/>
        <w:gridCol w:w="476"/>
        <w:gridCol w:w="950"/>
        <w:gridCol w:w="166"/>
        <w:gridCol w:w="146"/>
        <w:gridCol w:w="213"/>
        <w:gridCol w:w="1003"/>
        <w:gridCol w:w="166"/>
        <w:gridCol w:w="146"/>
        <w:gridCol w:w="252"/>
        <w:gridCol w:w="1009"/>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September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July 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125,856,877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163,817,953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Class B restricted stock rights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Exchange of Class B common stock for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1,423,180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127,920,274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163,741,676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(1,179,571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(979,712</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4061" w:type="dxa"/>
        <w:jc w:val="left"/>
        <w:tblInd w:w="0" w:type="dxa"/>
        <w:tblLayout w:type="fixed"/>
        <w:tblCellMar>
          <w:top w:w="28" w:type="dxa"/>
          <w:left w:w="28" w:type="dxa"/>
          <w:bottom w:w="28" w:type="dxa"/>
          <w:right w:w="28" w:type="dxa"/>
        </w:tblCellMar>
      </w:tblPr>
      <w:tblGrid>
        <w:gridCol w:w="1256"/>
        <w:gridCol w:w="246"/>
        <w:gridCol w:w="241"/>
        <w:gridCol w:w="1020"/>
        <w:gridCol w:w="166"/>
        <w:gridCol w:w="146"/>
        <w:gridCol w:w="146"/>
        <w:gridCol w:w="146"/>
        <w:gridCol w:w="1006"/>
        <w:gridCol w:w="146"/>
        <w:gridCol w:w="146"/>
        <w:gridCol w:w="305"/>
        <w:gridCol w:w="446"/>
        <w:gridCol w:w="146"/>
        <w:gridCol w:w="146"/>
        <w:gridCol w:w="146"/>
        <w:gridCol w:w="1006"/>
        <w:gridCol w:w="166"/>
        <w:gridCol w:w="146"/>
        <w:gridCol w:w="305"/>
        <w:gridCol w:w="446"/>
        <w:gridCol w:w="146"/>
        <w:gridCol w:w="146"/>
        <w:gridCol w:w="205"/>
        <w:gridCol w:w="726"/>
        <w:gridCol w:w="146"/>
        <w:gridCol w:w="146"/>
        <w:gridCol w:w="447"/>
        <w:gridCol w:w="859"/>
        <w:gridCol w:w="166"/>
        <w:gridCol w:w="146"/>
        <w:gridCol w:w="203"/>
        <w:gridCol w:w="923"/>
        <w:gridCol w:w="166"/>
        <w:gridCol w:w="146"/>
        <w:gridCol w:w="209"/>
        <w:gridCol w:w="947"/>
        <w:gridCol w:w="41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8"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 September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Balance as of January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128,054,417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163,693,707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(994,954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Class A ordinary shares, net of offering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Vesting of Class B restricted stock rights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Class B common stock for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5,364,540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(5,364,540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September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1,326,358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135,977,945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159,288,931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(1,250,604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(1,008,020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4081" w:type="dxa"/>
        <w:jc w:val="left"/>
        <w:tblInd w:w="0" w:type="dxa"/>
        <w:tblLayout w:type="fixed"/>
        <w:tblCellMar>
          <w:top w:w="28" w:type="dxa"/>
          <w:left w:w="28" w:type="dxa"/>
          <w:bottom w:w="28" w:type="dxa"/>
          <w:right w:w="28" w:type="dxa"/>
        </w:tblCellMar>
      </w:tblPr>
      <w:tblGrid>
        <w:gridCol w:w="1256"/>
        <w:gridCol w:w="246"/>
        <w:gridCol w:w="241"/>
        <w:gridCol w:w="1020"/>
        <w:gridCol w:w="166"/>
        <w:gridCol w:w="146"/>
        <w:gridCol w:w="146"/>
        <w:gridCol w:w="146"/>
        <w:gridCol w:w="1006"/>
        <w:gridCol w:w="146"/>
        <w:gridCol w:w="146"/>
        <w:gridCol w:w="305"/>
        <w:gridCol w:w="446"/>
        <w:gridCol w:w="146"/>
        <w:gridCol w:w="146"/>
        <w:gridCol w:w="146"/>
        <w:gridCol w:w="1006"/>
        <w:gridCol w:w="166"/>
        <w:gridCol w:w="146"/>
        <w:gridCol w:w="305"/>
        <w:gridCol w:w="446"/>
        <w:gridCol w:w="166"/>
        <w:gridCol w:w="146"/>
        <w:gridCol w:w="205"/>
        <w:gridCol w:w="726"/>
        <w:gridCol w:w="166"/>
        <w:gridCol w:w="146"/>
        <w:gridCol w:w="447"/>
        <w:gridCol w:w="859"/>
        <w:gridCol w:w="146"/>
        <w:gridCol w:w="146"/>
        <w:gridCol w:w="203"/>
        <w:gridCol w:w="923"/>
        <w:gridCol w:w="166"/>
        <w:gridCol w:w="146"/>
        <w:gridCol w:w="209"/>
        <w:gridCol w:w="947"/>
        <w:gridCol w:w="41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8"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 September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Common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59,880,347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168,297,916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(1,103,396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62,087,817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Vesting of Class B restricted stock rights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Class B common stock for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5,951,442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(5,951,442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September 30,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127,920,274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163,741,676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(979,712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 </w:t>
      </w: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1"/>
        <w:gridCol w:w="146"/>
        <w:gridCol w:w="253"/>
        <w:gridCol w:w="1008"/>
        <w:gridCol w:w="198"/>
        <w:gridCol w:w="174"/>
        <w:gridCol w:w="253"/>
        <w:gridCol w:w="1008"/>
        <w:gridCol w:w="814"/>
      </w:tblGrid>
      <w:tr>
        <w:trPr/>
        <w:tc>
          <w:tcPr>
            <w:tcW w:w="6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(114,852</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loss before noncontrolling interest to net cash flows used </w:t>
              <w:br/>
              <w:t>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lease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(176,676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(277,291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261,992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equipment and facility expansion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of Class A common stock,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144,285</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47,439</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Exchange of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15,357</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equity transactions and compensation on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and facility expansion included in accounts payable and</w:t>
              <w:br/>
              <w:t>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9" w:name="notes_to_unaudited_condensed"/>
      <w:bookmarkEnd w:id="9"/>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Consolidated Financial Statements</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 Description of Business and Basis of Presentation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Corp. (the “Company”, “ProKidney Delaware”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common stock. The business combination between SCS and PKLP (the “Business Combination”) closed (the “Closing”) on July 11, 2022 (the “Closing Date”). Upon consummation of the transaction, SCS changed its name to ProKidney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July 1, 2025 (the “Domestication Date”), the Company completed a domestication process through which it changed its jurisdiction of incorporation from the Cayman Islands to the State of Delaware (the “Domestication”). ProKidney Corp., the Cayman Islands exempted company (“ProKidney Cayman”) deregistered as an exempted company in the Cayman Islands pursuant to Sections 206 and 207 of the Companies Act (as amended) of the Cayman Islands (the “Companies Act”), and domesticated and continued its existence as a corporation incorporated in the State of Delaware pursuant to Section 388 of the General Corporation Law of the State of Delaware (the “DGCL”), effective as of the Domestication Date. In connection with the Domestication, the Company also completed certain other restructuring transactions (such transactions, together with the Domestication, the “Restructuring”) on the Domestication Date. Prior to the Restructuring, ProKidney Cayman. conducted its business indirectly through PKLP and its subsidiaries. As part of the Restructuring, (i) PKLP contributed substantially all of its assets to a newly formed subsidiary, ProKidney Holdings, LLC, a Delaware limited liability company (“PK Holdings”) (other than its limited liability company interests in PK Holdings), (ii) PKLP commenced winding-up and made a liquidating distribution of its limited liability company interests in PK Holdings to its partners, including ProKidney Cayman., in redemption of their interests in PKLP, and (iii) ProKidney Corp. GP Limited, the general partner of PKLP, sold its nominal economic interest in PK Holdings received in such liquidating distribution to ProKidney Cayman. (collectively, the “Substitution”). Immediately following the Domestication, ProKidney (“ProKidney-KY”), then a wholly owned subsidiary of PK Holdings and a Cayman Islands exempted company, re-registered as a Cayman Islands limited liability company and then deregistered as a limited liability company in the Cayman Islands and registered by way of continuation out for purposes of the Limited Liability Companies Act (as amended) of the Cayman Islands and domesticated and continued for purposes of the Delaware Limited Liability Company Act as a Delaware limited liability company named ProKidney IPCo, LLC (“ProKidney IPCo”). As a result of the consummation of the Domestication and the other transactions involved in the Restructuring, the Company and the other former limited partners of PKLP are now members of PK Holdings, and PK Holdings owns all of the subsidiaries that conduct the Company’s business, including ProKidney IPCo.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the Company amended and restated certain of its material agreements, each originally dated July 11, 2022, on substantially similar terms in order to reflect updates to the Company’s corporate structure resulting from the Restructuring. These amended and restated agreements included: (i) an Amended and Restated Tax Receivable Agreement, (ii) an Amended and Restated Lock-Up Agreement, and (iii) an Amended and Restated Exchange Agreement. In addition, on the Domestication Date, the Company, together with the other former limited partners of PKLP entered into the Second Amended and Restated Limited Liability Company Agreement of PK Holdings to provide for the governance of PK Holdings and reflect the changes to its capital structure resulting from the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completing the Domestication and other Restructuring transactions, the Company also underwent a series of transactions to streamline its operating subsidiaries from a tax perspective (the “Post-Domestication Reorganization”). The Post-Domestication Reorganization was finalized effective as of September 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Domestication represents a transaction between entities under common control. Assets and liabilities transferred between entities under common control are accounted for at cost. Accordingly, the assets and liabilities of ProKidney Corp. (Delaware) and its subsidiaries will be reflected at their historical carrying amounts of ProKidney Corp. (Cayman) as of the Domestication Date. Further,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Domestication and Post-Domestication Reorganization transactions did not have a significant impact on the Condensed Consolidated Financial Statements as of and for the three and nine months ended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presentation purposes, unless otherwise noted, references to common stock refer to “ordinary shares” before the Domestication and “common stock” subsequent to the Domestication. Similarly, unless otherwise noted, references to PK Holdings herein refers to PKLP prior to the Domestication and PK Holdings subsequent to the Domestication and references to ProKidney IPCo. herein refer to ProKidney-KY prior to the Domestication and ProKidney IPCo. subsequent to the Domestication.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 Corp., through its operating subsidiaries, is focused on the development of rilparencel, which has the potential to preserve kidney function in patients with advanced CKD and type 2 diabetes.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 is a holding company, and its principal asset is a controlling equity interest in PK Holdings and its wholly-owned operating subsidiaries ProKidney IPCo. and ProKidney-US. The Company has determined that PK Holdings is a variable-interest entity for accounting purposes and that ProKidney is the primary beneficiary of PK Holdings because (through its managing member interest in PK Holdings and the fact that the senior management of ProKidney is also the senior management of PK Holdings) it has the power and benefits to direct all of the activities of PK Holdings, which include those that most significantly impact PK Holdings’ economic performance. The Company has therefore consolidated PK Holdings’ results pursuant to Accounting Standards Codification Topic 810, “Consolidation” in its Condensed Consolidated Financial Statements. As of September 30, 2025, various holders own non-voting interests in PK Holdings, representing a 53.9% economic interest in PK Holdings, effectively restricting ProKidney’s interest to 46.1% of PK Holdings’ economic results, subject to increase in the future, should ProKidney purchase additional non-voting common units (“PK Holdings Units”) of PK Holdings, or should the holders of PK Holdings Units decide to exchange such units (together with shares of Class B common stock) for Class A common stock (or cash) pursuant to the Exchange Agreement (as defined in Note 6). The Company will not be required to provide financial or other support for PK Holdings. However, ProKidney will control its business and other activities through its managing member interest in PK Holdings, and its management is the management of PK Holdings. Nevertheless, because ProKidney will have no material assets other than its interests in PK Holdings and its subsidiaries, any financial difficulties at PK Holdings could result in ProKidney recognizing a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intercompany transactions and balances have been eliminated.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Unaudited Interim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The accompanying Condensed Consolidated Balance Sheet as of September 30, 2025, Condensed Consolidated Statements of Operations for the three and nine months ended September 30, 2025 and 2024, Condensed Consolidated Statements of Comprehensive Loss for the three and nine months ended September 30, 2025 and 2024, Condensed Consolidated Statement of Changes in Redeemable Noncontrolling Interest and Stockholders’ Deficit for the three and nine months ended September 30, 2025 and 2024 and Condensed Consolidated Statements of Cash Flows for the nine months ended September 30, 2025 and 2024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2025, the results of operations for the three and nine months ended September 30, 2025 and 2024 and cash flows for the nine months ended September 30, 2025 and 2024. Certain prior year amounts have been reclassified to conform to the current year presentation. The December 31, 2024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2024, contained in the Company’s Annual Report on Form 10-K filed with the SEC on March 17,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results are not necessarily indicative of results for an entire year.</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available evidence to evaluate if a credit loss exists, and if so, recognizes an allowance for credit loss.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Concentrations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as presented in the Condensed Consolidated Balance Sheets as of September 30, 2025 and December 31, 2024 consisted of the following (in thousands):</w:t>
      </w:r>
    </w:p>
    <w:p>
      <w:pPr>
        <w:pStyle w:val="TextBody"/>
        <w:bidi w:val="0"/>
        <w:jc w:val="both"/>
        <w:rPr/>
      </w:pPr>
      <w:r>
        <w:rPr/>
        <w:t> </w:t>
      </w:r>
    </w:p>
    <w:tbl>
      <w:tblPr>
        <w:tblW w:w="7529" w:type="dxa"/>
        <w:jc w:val="left"/>
        <w:tblInd w:w="0" w:type="dxa"/>
        <w:tblLayout w:type="fixed"/>
        <w:tblCellMar>
          <w:top w:w="28" w:type="dxa"/>
          <w:left w:w="28" w:type="dxa"/>
          <w:bottom w:w="28" w:type="dxa"/>
          <w:right w:w="28" w:type="dxa"/>
        </w:tblCellMar>
      </w:tblPr>
      <w:tblGrid>
        <w:gridCol w:w="3451"/>
        <w:gridCol w:w="420"/>
        <w:gridCol w:w="1350"/>
        <w:gridCol w:w="146"/>
        <w:gridCol w:w="146"/>
        <w:gridCol w:w="409"/>
        <w:gridCol w:w="1316"/>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study related costs</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related costs</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costs</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 and other</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obtaining technology licenses are charged to research and development expense as purchased in-process research and development if the technology licensed has not reached technological feasibility and has no alternative future use.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pStyle w:val="TextBody"/>
        <w:bidi w:val="0"/>
        <w:jc w:val="both"/>
        <w:rPr/>
      </w:pPr>
      <w:r>
        <w:rPr/>
        <w:t> </w:t>
      </w:r>
    </w:p>
    <w:tbl>
      <w:tblPr>
        <w:tblW w:w="4937" w:type="dxa"/>
        <w:jc w:val="left"/>
        <w:tblInd w:w="0" w:type="dxa"/>
        <w:tblLayout w:type="fixed"/>
        <w:tblCellMar>
          <w:top w:w="28" w:type="dxa"/>
          <w:left w:w="28" w:type="dxa"/>
          <w:bottom w:w="28" w:type="dxa"/>
          <w:right w:w="28" w:type="dxa"/>
        </w:tblCellMar>
      </w:tblPr>
      <w:tblGrid>
        <w:gridCol w:w="2911"/>
        <w:gridCol w:w="2026"/>
      </w:tblGrid>
      <w:tr>
        <w:trPr/>
        <w:tc>
          <w:tcPr>
            <w:tcW w:w="29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25-30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 years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lease term</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Fixed assets consisted of the following (in thousands):</w:t>
      </w:r>
    </w:p>
    <w:p>
      <w:pPr>
        <w:pStyle w:val="TextBody"/>
        <w:bidi w:val="0"/>
        <w:jc w:val="left"/>
        <w:rPr/>
      </w:pPr>
      <w:r>
        <w:rPr/>
        <w:t> </w:t>
      </w:r>
    </w:p>
    <w:tbl>
      <w:tblPr>
        <w:tblW w:w="7129" w:type="dxa"/>
        <w:jc w:val="left"/>
        <w:tblInd w:w="0" w:type="dxa"/>
        <w:tblLayout w:type="fixed"/>
        <w:tblCellMar>
          <w:top w:w="28" w:type="dxa"/>
          <w:left w:w="28" w:type="dxa"/>
          <w:bottom w:w="28" w:type="dxa"/>
          <w:right w:w="28" w:type="dxa"/>
        </w:tblCellMar>
      </w:tblPr>
      <w:tblGrid>
        <w:gridCol w:w="2911"/>
        <w:gridCol w:w="394"/>
        <w:gridCol w:w="1376"/>
        <w:gridCol w:w="166"/>
        <w:gridCol w:w="146"/>
        <w:gridCol w:w="384"/>
        <w:gridCol w:w="1341"/>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fixed assets, net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months ended September 30, 2025 and 2024 was $1,398,000 and $1,199,000, respectively. Depreciation expense for the nine months ended September 30, 2025 and 2024 was $4,273,000 and $2,996,000,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Impairment of Long-Lived Assets and Assets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real property in Greensboro, North Carolina continues to meet the criteria for held-for-sale accounting. During the three and nine months ended September 30, 2024 and 2025, the Company performed an impairment analysis to compare the building’s carrying value with its estimated fair value. The fair values used in the impairment analyses were determined through review of prices for similar assets, expected ranges of prices that the Company may be expected to receive upon sale of the property, and contractually agreed upon prices. An impairment charge of $318,000 was recorded for the three and nine month periods ended September 30, 2025. An impairment charge of $5,324,000 was recorded for the three and nine month periods ended September 30, 2024. These impairment charges are included as a component of general and administrative expenses in the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this asset has been reflected as a component of total current assets in the accompanying Condensed Consolidated Balance Sheets as of September 30, 2025 and December 31,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September 30, 2025 and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penalties related to income taxes are included in the expense for income taxes in the Company’s Condensed Consolidated Statements of Operations and Comprehensive Loss. The Company has not incurred any significant interest or penalties related to income taxes in any of the periods presented.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The three levels of inputs used to measure fair value are as follows:</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1 – Unadjusted quoted prices in active markets for identical assets or liabilities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Inputs other than quoted prices included within Level 1 that are either directly or indirectly observable through correlation with market data</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 Unobservable inputs that are supported by little or no market data, which require the reporting entity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values of cash equivalents, accounts payable, and accrued liabilities approximate fair value due to the short term nature of these instruments.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Contingent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reserves for contingent liabilities when it is probable that an asset has been impaired or a liability has been incurred at the date of the financial statements, and the amount of the loss can be reasonably estimated.</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grant date fair value of time and performance-based stock option awards is estimated using the Black-Scholes option pricing formula. Due to the lack of sufficient historical trading information with respect to its own shares, the Company estimates expected volatility based on the volatility of its own Class A common stock as well as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in only one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2023-09, Improvements to Income Tax Disclosures, which requires entities to disclose disaggregated information about their effective tax rate reconciliation and income taxes paid. The disclosure requirements will be applied on a prospective basis, with the option to apply them retrospectively. The standard is effective for annual periods beginning after December 15, 2024, with early adoption permitted. The Company is currently evaluating the disclosure requirements related to this new standard.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which requires disclosure of additional information about specific expense categories in the notes to the financial statements on an interim and annual basis. The standard is effective for fiscal years beginning after December 15, 2026, and for interim periods within annual reporting periods beginning after December 15, 2027, with early adoption permitted. The Company is currently evaluating the disclosure requirements related to this new standard.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 – Internal-Use Software (Subtopic 350-40): Targeted Improvements to the Accounting for Internal-Use Software, which removes the concept of project stages and requires the capitalization of software costs when management has committed to funding the software project and it is probable that the project will be complete. The standard is effective for fiscal years beginning after December 15, 2027, with early adoption permitted. The Company is currently evaluating the impact of adopting this new standard.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equivalents and marketable securities are measured at fair value and within Level 2 in the fair value hierarchy, because we use quoted market prices to the extent available or alternative pricing sources and models utilizing market observable inputs to determine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our cash equivalents and marketable securities measured at fair value on a recurring basis (in thousands):</w:t>
      </w:r>
    </w:p>
    <w:p>
      <w:pPr>
        <w:pStyle w:val="TextBody"/>
        <w:bidi w:val="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345"/>
        <w:gridCol w:w="691"/>
        <w:gridCol w:w="146"/>
        <w:gridCol w:w="146"/>
        <w:gridCol w:w="453"/>
        <w:gridCol w:w="583"/>
        <w:gridCol w:w="166"/>
        <w:gridCol w:w="146"/>
        <w:gridCol w:w="211"/>
        <w:gridCol w:w="781"/>
        <w:gridCol w:w="146"/>
        <w:gridCol w:w="146"/>
        <w:gridCol w:w="264"/>
        <w:gridCol w:w="847"/>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020"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176,402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345"/>
        <w:gridCol w:w="691"/>
        <w:gridCol w:w="146"/>
        <w:gridCol w:w="146"/>
        <w:gridCol w:w="372"/>
        <w:gridCol w:w="664"/>
        <w:gridCol w:w="166"/>
        <w:gridCol w:w="146"/>
        <w:gridCol w:w="211"/>
        <w:gridCol w:w="781"/>
        <w:gridCol w:w="146"/>
        <w:gridCol w:w="146"/>
        <w:gridCol w:w="264"/>
        <w:gridCol w:w="847"/>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020"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fair value of the Company’s cash equivalents and marketable securities, by contractual maturity, as of September 30, 2025 (in thousands):</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2506"/>
        <w:gridCol w:w="374"/>
        <w:gridCol w:w="1396"/>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or less</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through 5 years</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199,727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fair values and gross unrealized losses recorded to accumulated other comprehensive income, aggregated by category and the length of time that individual securities have been in a continuous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1"/>
        <w:gridCol w:w="228"/>
        <w:gridCol w:w="733"/>
        <w:gridCol w:w="153"/>
        <w:gridCol w:w="153"/>
        <w:gridCol w:w="559"/>
        <w:gridCol w:w="719"/>
        <w:gridCol w:w="166"/>
        <w:gridCol w:w="146"/>
        <w:gridCol w:w="431"/>
        <w:gridCol w:w="404"/>
        <w:gridCol w:w="200"/>
        <w:gridCol w:w="200"/>
        <w:gridCol w:w="617"/>
        <w:gridCol w:w="662"/>
        <w:gridCol w:w="146"/>
        <w:gridCol w:w="146"/>
        <w:gridCol w:w="228"/>
        <w:gridCol w:w="733"/>
        <w:gridCol w:w="146"/>
        <w:gridCol w:w="146"/>
        <w:gridCol w:w="559"/>
        <w:gridCol w:w="719"/>
        <w:gridCol w:w="320"/>
      </w:tblGrid>
      <w:tr>
        <w:trPr/>
        <w:tc>
          <w:tcPr>
            <w:tcW w:w="16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885"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12,201</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19,348</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4"/>
        <w:gridCol w:w="228"/>
        <w:gridCol w:w="733"/>
        <w:gridCol w:w="148"/>
        <w:gridCol w:w="148"/>
        <w:gridCol w:w="460"/>
        <w:gridCol w:w="820"/>
        <w:gridCol w:w="166"/>
        <w:gridCol w:w="146"/>
        <w:gridCol w:w="431"/>
        <w:gridCol w:w="405"/>
        <w:gridCol w:w="201"/>
        <w:gridCol w:w="201"/>
        <w:gridCol w:w="617"/>
        <w:gridCol w:w="662"/>
        <w:gridCol w:w="146"/>
        <w:gridCol w:w="146"/>
        <w:gridCol w:w="228"/>
        <w:gridCol w:w="733"/>
        <w:gridCol w:w="146"/>
        <w:gridCol w:w="146"/>
        <w:gridCol w:w="460"/>
        <w:gridCol w:w="820"/>
        <w:gridCol w:w="320"/>
      </w:tblGrid>
      <w:tr>
        <w:trPr/>
        <w:tc>
          <w:tcPr>
            <w:tcW w:w="16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885"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36,312</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holds debt securities of companies with high credit quality and has determined that there was no material change in the credit risk of its debt securities during the three and nine months ended September 30, 2025 and 2024. As such, the Company has not recognized an allowance for credit losses related to our marketable debt securities during the three and nine months ended September 30, 2025 and 2024. As of September 30, 2025, there were 17 investment positions that were in an unrealized loss position.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Domestication and other Restructuring transactions, ProKidney was considered an exempted Cayman Islands company and was not subject to income taxes or income tax filing requirements in the Cayman Islands or the United States. The Company’s subsidiary, PKLP, was organized as a limited partnership under the laws and regulations of Ireland and was classified as a partnership for U.S. income tax purposes. Further, the Company’s subsidiary, ProKidney-KY, had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disregarded as separate from its owner, PKLP, for U.S. tax purposes, and as a result, it did not record an income tax provision.</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Domestication and other Restructuring transactions resulted in the Company becoming subject to corporate level income taxes in the U.S. Further, the Post-Domestication Reorganization, which was effective on September 1, 2025, resulted in certain of the Company’s subsidiaries becoming part of a consolidated group and ProKidney-US becoming disregarded as separate from its owner, “PK Holdings” for U.S. federal income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periods prior to the Domestication and Post-Domestication Reorganization, the difference between the Company’s effective tax rates and the Cayman statutory rate of 0% was primarily attributable to the recording of a tax provision for U.S. federal and state taxes for the Company’s subsidiary, ProKidney-US, which was treated as a C corporation for U.S. federal income tax purposes. For periods subsequent to the Domestication and Post-Domestication Reorganization, the difference between the Company’s effective tax rates and the U.S. statutory rate of 21% was primarily attributable to the valuation allowance against the Company’s expected net operating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net unrecognized tax benefits as of September 30, 2025 which, if recognized, would affect our effective tax rate. We expect none of the gross unrecognized tax benefits will decrease within the next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in the Company’s uncertain tax positions during the three and nine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(the “OBBBA”) was signed into law. This legislation includes changes to U.S. federal tax law, which may be subject to further clarification and the issuance of interpretive guidance. The OBBBA did not have a material impact on the financial statements as of and for the three and nine months ended September 30, 2025.</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real estate (primarily its operating facilities) and certain equipment with various expiration dates. The Company also has finance leases for certain equipment. During the year ended December 31, 2024, the Company purchased two multi-tenant buildings in Winston-Salem, North Carolina, which it had previously occupied under the terms of a real estate lease. In connection with this purchase, the Company assumed the existing lease agreements held with certain third parties which leased space in these buildings.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Lessee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September 30, 2025 and 2024, the Company’s rent expense was $339,000 and $479,000, respectively. For the nine months ended September 30, 2025 and 2024, the Company’s rent expense was $959,000 and $1,413,000, respectively. Cash paid for operating leases during the nine months ended September 30, 2025 was $715,000.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 of operating and finance lease assets and obligations in the Company's Condensed Consolidated Balance Sheets as of September 30, 2025 and December 31, 2024 (in thousands):</w:t>
      </w:r>
    </w:p>
    <w:p>
      <w:pPr>
        <w:pStyle w:val="TextBody"/>
        <w:bidi w:val="0"/>
        <w:jc w:val="left"/>
        <w:rPr/>
      </w:pPr>
      <w:r>
        <w:rPr/>
        <w:t> </w:t>
      </w:r>
    </w:p>
    <w:tbl>
      <w:tblPr>
        <w:tblW w:w="7505" w:type="dxa"/>
        <w:jc w:val="left"/>
        <w:tblInd w:w="0" w:type="dxa"/>
        <w:tblLayout w:type="fixed"/>
        <w:tblCellMar>
          <w:top w:w="28" w:type="dxa"/>
          <w:left w:w="28" w:type="dxa"/>
          <w:bottom w:w="28" w:type="dxa"/>
          <w:right w:w="28" w:type="dxa"/>
        </w:tblCellMar>
      </w:tblPr>
      <w:tblGrid>
        <w:gridCol w:w="3181"/>
        <w:gridCol w:w="146"/>
        <w:gridCol w:w="477"/>
        <w:gridCol w:w="1293"/>
        <w:gridCol w:w="146"/>
        <w:gridCol w:w="146"/>
        <w:gridCol w:w="465"/>
        <w:gridCol w:w="1260"/>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lease liabilities for the Company’s operating and finance leases are as follows as of September 30, 2025 (in thousands):</w:t>
      </w:r>
    </w:p>
    <w:p>
      <w:pPr>
        <w:pStyle w:val="TextBody"/>
        <w:bidi w:val="0"/>
        <w:jc w:val="both"/>
        <w:rPr/>
      </w:pPr>
      <w:r>
        <w:rPr/>
        <w:t> </w:t>
      </w:r>
    </w:p>
    <w:tbl>
      <w:tblPr>
        <w:tblW w:w="7494" w:type="dxa"/>
        <w:jc w:val="left"/>
        <w:tblInd w:w="0" w:type="dxa"/>
        <w:tblLayout w:type="fixed"/>
        <w:tblCellMar>
          <w:top w:w="28" w:type="dxa"/>
          <w:left w:w="28" w:type="dxa"/>
          <w:bottom w:w="28" w:type="dxa"/>
          <w:right w:w="28" w:type="dxa"/>
        </w:tblCellMar>
      </w:tblPr>
      <w:tblGrid>
        <w:gridCol w:w="2686"/>
        <w:gridCol w:w="146"/>
        <w:gridCol w:w="397"/>
        <w:gridCol w:w="1193"/>
        <w:gridCol w:w="166"/>
        <w:gridCol w:w="146"/>
        <w:gridCol w:w="500"/>
        <w:gridCol w:w="895"/>
        <w:gridCol w:w="166"/>
        <w:gridCol w:w="146"/>
        <w:gridCol w:w="211"/>
        <w:gridCol w:w="63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remaining lease term for operating leases is 4.1 years and 4.2 years for finance leases. The weighted average discount rate for operating leases is 10.9% and 5.6% for finance leases.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Lessor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a portion of its facilities in Winston-Salem, North Carolina under agreements that are classified as operating leases. In addition to the rental payments, tenants pay a fixed rate for their pro rata share of real estate taxes, insurance and other facility operating expenses. These amounts are recognized as revenues on a straight-line basis over the term of the related leases. For leasing revenues where collectability is not considered probable, lease income is recognized on a cash basis and all previously recognized tenant accounts receivables, including straight-line rent, are fully reserved in the period in which the lease income is determined not to be probable of collection. These lease agreements terminate between 2026 and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leasing revenue for the three and nine months ended September 30, 2025 was $217,000 and $668,000, respectively and there was no such revenue for the three and nine months ended September 30, 2024. Future minimum lease payments under non-cancelable operating leases as of September 30, 2025 excluding the effect of straight-line rent and variable rental payments are as follows (in thousands):</w:t>
      </w:r>
    </w:p>
    <w:p>
      <w:pPr>
        <w:pStyle w:val="TextBody"/>
        <w:bidi w:val="0"/>
        <w:jc w:val="left"/>
        <w:rPr/>
      </w:pPr>
      <w:r>
        <w:rPr/>
        <w:t> </w:t>
      </w:r>
    </w:p>
    <w:tbl>
      <w:tblPr>
        <w:tblW w:w="3905" w:type="dxa"/>
        <w:jc w:val="left"/>
        <w:tblInd w:w="0" w:type="dxa"/>
        <w:tblLayout w:type="fixed"/>
        <w:tblCellMar>
          <w:top w:w="28" w:type="dxa"/>
          <w:left w:w="28" w:type="dxa"/>
          <w:bottom w:w="28" w:type="dxa"/>
          <w:right w:w="28" w:type="dxa"/>
        </w:tblCellMar>
      </w:tblPr>
      <w:tblGrid>
        <w:gridCol w:w="2686"/>
        <w:gridCol w:w="146"/>
        <w:gridCol w:w="211"/>
        <w:gridCol w:w="571"/>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6: Related Party Transactions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an exchange agreement with PKLP and certain Closing ProKidney Unitholders (as amended,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have the right from time to time at and after 180 days following the Closing to exchange their Post-Combination ProKidney Common Units and an equal number of shares of Class B common stock of the Company on a one-for-one basis for shares of Class A common stock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share of Class A common stock.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the Company amended and restated the Exchange Agreement on substantially similar terms in order to reflect updates to the Company’s corporate structure resulting from the Restructuring.</w:t>
      </w:r>
    </w:p>
    <w:p>
      <w:pPr>
        <w:pStyle w:val="TextBody"/>
        <w:bidi w:val="0"/>
        <w:spacing w:before="360" w:after="283"/>
        <w:jc w:val="both"/>
        <w:rPr>
          <w:rFonts w:ascii="Times New Roman" w:hAnsi="Times New Roman"/>
          <w:sz w:val="20"/>
        </w:rPr>
      </w:pPr>
      <w:r>
        <w:rPr>
          <w:rFonts w:ascii="Times New Roman" w:hAnsi="Times New Roman"/>
          <w:i/>
          <w:color w:val="000000"/>
          <w:sz w:val="20"/>
        </w:rPr>
        <w:t>Lock-Up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SCS Sponsor III LLC and certain Closing ProKidney Unitholders entered into a lock-up agreement (as amended, the “Lock-Up Agreement”). The Lock-Up Agreement contains certain restrictions on transfer with respect to the SCS Sponsor III LLC and the Closing ProKidney Unitholders party thereto. Such restrictions began at the Closing and end on the earlier of (i) the date that is 180 days after the Closing and (ii)(a) for 33% of the Lock-Up Shares (other than the Earnout Shares and the PIPE Shares), the date on which the last reported sale price of the Class A common stock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the Class A common stock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 Holdings receives notice of any regulatory market authorization, including full or conditional authorization, to market its lead product candidate, rilparencel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the Company amended and restated the Lock-Up Agreement on substantially similar terms in order to reflect updates to the Company’s corporate structure resulting from the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January 2023, the lock-up period for 50% of the shares held by the Closing ProKidney Unitholders (other than the Earnout Shares) expired.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 tax receivable agreement (as amended,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common stock of the Company or, subject to certain restrictions, cash, pursuant to the Exchange Agreement and certain other tax attributes of PK Holdings and tax benefits related to entering into the 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the Company amended and restated the Tax Receivable Agreement on substantially similar terms in order to reflect updates to the Company’s corporate structure resulting from the Restructuring.</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Earnout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Closing, certain stockholders were issued an aggregate of 17,500,000 Earnout Restricted Common Units and 17,500,000 Earnout Restricted Stock Rights (collectively, the “Earnout Rights”). The Earnout Rights vest in three equal tranches if, during the five-year period after Closing, the VWAP of the Company’s Class A common stock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common stock.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 IPCo. and Nefro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 IPCo. is party to a consulting services agreement with Nefro Health (“Nefro”), an Irish partnership controlled and majority-owned by Mr. Pablo Legorreta, a director of the Company and a significant shareholder,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$25,000 and $75,000 for each of the three and nine months ended September 30, 2025 and 2024,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 IPCo. will be obligated to pay Nefro any earned but unpaid consulting fee as of the termination 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ProKidney-US and Nefro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ProKidney-US is party 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$25,000 and $75,000 for each of the three and nine months ended September 30, 2025 and 2024,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the Exchange Agreement with respect to the Post-Combination ProKidney Common Units representing the outstanding 53.9% noncontrolling interest in PK Holdings (prior to the Domestication PKLP) (see Note 1). The Exchange Agreement requires the surrender of an equal number of Post-Combination ProKidney Common Units and shares of Class B common stock for (i) shares of Class A common stock on a one-for-one basis or (ii) cash (based on the fair market value of the Class A common stock as determined pursuant to the Exchange Agreement), at the Company’s option (as the managing member of PK Holdings), subject to customary conversion rate adjustments for share splits, share dividends and reclassifications. The exchange value is determined based on a five-day VWAP of the Class A common stock as defined in the Exchange Agreement, subject to customary conversion rate adjustments for share splits, share dividends and 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redeemable noncontrolling interest is recognized at the higher of (1) its initial fair value plus accumulated earnings/losses associated with the noncontrolling interest or (2) the redemption value as of the balance sheet date. At September 30, 2025, the redeemable noncontrolling interest was recorded based on its initial fair value plus accumulated losses associated with the noncontrolling interest which was higher than the redemption value as of the balance sheet date.</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Company’s ownership interest in PK Holdings while the Company retains its controlling interest in PK Holdings are accounted for as equity transactions, and the Company is required to adjust noncontrolling interest and equity for such changes. The following is a summary of net income attributable to the Company and transfers to noncontrolling interest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09"/>
        <w:gridCol w:w="283"/>
        <w:gridCol w:w="989"/>
        <w:gridCol w:w="222"/>
        <w:gridCol w:w="196"/>
        <w:gridCol w:w="283"/>
        <w:gridCol w:w="989"/>
        <w:gridCol w:w="166"/>
        <w:gridCol w:w="146"/>
        <w:gridCol w:w="278"/>
        <w:gridCol w:w="970"/>
        <w:gridCol w:w="218"/>
        <w:gridCol w:w="192"/>
        <w:gridCol w:w="278"/>
        <w:gridCol w:w="970"/>
        <w:gridCol w:w="216"/>
      </w:tblGrid>
      <w:tr>
        <w:trPr/>
        <w:tc>
          <w:tcPr>
            <w:tcW w:w="38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accumulated deficit for impact of</w:t>
              <w:br/>
              <w:t>   subsidiary equity-based compensation</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exchange</w:t>
              <w:br/>
              <w:t>   of Common Units in PK Holdings for Class A common stock</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vesting of</w:t>
              <w:br/>
              <w:t>   Restricted Common Units in PK Holdings</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from net loss available to Class A common stockholders and change</w:t>
              <w:br/>
              <w:t>   in ownership interest in PK Holdings</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(12,741</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(58,910</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(36,560</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Stockholders’ Equity</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the Company entered into an Open Market Sale Agreement</w:t>
      </w:r>
      <w:r>
        <w:rPr>
          <w:rFonts w:ascii="Times New Roman" w:hAnsi="Times New Roman"/>
          <w:color w:val="000000"/>
          <w:sz w:val="13"/>
        </w:rPr>
        <w:t>SM</w:t>
      </w:r>
      <w:r>
        <w:rPr>
          <w:rFonts w:ascii="Times New Roman" w:hAnsi="Times New Roman"/>
          <w:color w:val="000000"/>
          <w:sz w:val="20"/>
        </w:rPr>
        <w:t xml:space="preserve"> (the “2024 Sales Agreement”) with Jefferies LLC (“Jefferies”) as the sales agent, pursuant to which the Company may offer and sell, from time to time, through Jefferies, shares of its Class A common stock having an aggregate offering price of up to $100,000,000 by any method deemed to be an “at the market offering” as defined in Rule 415(a)(4) under the Securities Act of 1933 as amended (the “Securities Act”). The shares are offered and sold pursuant to the Company’s shelf registration statement on Form S-3.</w:t>
      </w:r>
    </w:p>
    <w:p>
      <w:pPr>
        <w:pStyle w:val="TextBody"/>
        <w:bidi w:val="0"/>
        <w:spacing w:before="120" w:after="283"/>
        <w:jc w:val="left"/>
        <w:rPr>
          <w:rFonts w:ascii="Times New Roman" w:hAnsi="Times New Roman"/>
          <w:sz w:val="20"/>
        </w:rPr>
      </w:pPr>
      <w:r>
        <w:rPr>
          <w:rFonts w:ascii="Times New Roman" w:hAnsi="Times New Roman"/>
          <w:color w:val="000000"/>
          <w:sz w:val="20"/>
        </w:rPr>
        <w:t>On July 14, 2025, the Company terminated the 2024 Sales Agreement with Jefferies and entered into an new Open Market Sales Agreement</w:t>
      </w:r>
      <w:r>
        <w:rPr>
          <w:rFonts w:ascii="Times New Roman" w:hAnsi="Times New Roman"/>
          <w:color w:val="000000"/>
          <w:sz w:val="10"/>
        </w:rPr>
        <w:t>SM</w:t>
      </w:r>
      <w:r>
        <w:rPr>
          <w:rFonts w:ascii="Times New Roman" w:hAnsi="Times New Roman"/>
          <w:color w:val="000000"/>
          <w:sz w:val="20"/>
        </w:rPr>
        <w:t xml:space="preserve"> (the “2025 Sales Agreement”) with Jefferies, pursuant to which the Company may offer and sell, from time to time, shares (the “Shares”) of its Class A common stock having an aggregate offering price of up to $200,000,000 through Jefferies, acting as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2025 Sales Agreement, sales of the Shares may be made by any method permitted that is deemed to be an “at the market” offering as defined in Rule 415(a)(4) under the Securities Act, in ordinary brokers’ transactions, to or through a market maker, on or through The Nasdaq Capital Market or any other market venue where the securities may be traded, in the over-the-counter market, in privately negotiated transactions or through a combination of any such methods of sale. Under the 2025 Sales Agreement, Jefferies will be entitled to compensation of up to 3.0% of the gross offering proceeds of all Shares sold through it pursuant to the 2025 Sales Agreement. The Company will also reimburse Jefferies for certain specified expenses in connection with entering into the 2025 Sales Agreement. The Company has no obligation to sell any of the Shares under the 2025 Sales Agreement and may at any time and from time to time suspend the offering of the Shares under the 2025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2024, the Company sold 1,868,891 shares of its Class A common stock under the 2024 Sales Agreement for net proceeds of $4,470,000. During the nine months ended September 30, 2024, the Company sold 4,170,791 shares of its Class A common stock under the 2024 Sales Agreement for net proceeds of $7,707,000. The Company did not sell any shares under the 2024 Sales Agreement during the three and nine months ended September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2025, the Company sold 1,989,147 shares of its Class A common stock under the 2025 Sales Agreement for net proceeds of $7,102,000. Subsequent to September 30, 2025, the Company has sold an additional 5,463,195 shares of its Class A common stock under the 2025 Sales Agreement for net proceeds of $17,144,000.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Company sold 46,886,452 shares of its Class A common stock in an underwritten public offering at a price of $2.42 per share. Additionally, in June 2024, the Company sold 11,030,574 shares of its Class A common stock to certain investment entities at price of $2.42 per share in a concurrent registered direct offering pursuant to share purchase agreements. The net proceeds to the Company from the offerings were approximately $136,618,000, after deducting the underwriting discounts and commissions and offering expenses payable by the Company. The shares were offered and sold pursuant to the Company’s shelf registration statement on Form S-3.</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9: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net loss attributable to Class A common stockholders by the weighted-average shares of the Class A common stock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for the three months ended September 30, 2025 and 2024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1"/>
        <w:gridCol w:w="213"/>
        <w:gridCol w:w="1152"/>
        <w:gridCol w:w="167"/>
        <w:gridCol w:w="147"/>
        <w:gridCol w:w="213"/>
        <w:gridCol w:w="1152"/>
        <w:gridCol w:w="166"/>
        <w:gridCol w:w="146"/>
        <w:gridCol w:w="226"/>
        <w:gridCol w:w="1225"/>
        <w:gridCol w:w="178"/>
        <w:gridCol w:w="156"/>
        <w:gridCol w:w="226"/>
        <w:gridCol w:w="1112"/>
        <w:gridCol w:w="415"/>
      </w:tblGrid>
      <w:tr>
        <w:trPr/>
        <w:tc>
          <w:tcPr>
            <w:tcW w:w="33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available to Class A common stockholders of ProKidney Corp., </w:t>
              <w:br/>
              <w:t>   basic and diluted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of Class A common stock of ProKidney Corp. outstanding, </w:t>
              <w:br/>
              <w:t>   basic and diluted</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134,992,796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131,588,705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87,818,229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Class A common stock</w:t>
            </w:r>
          </w:p>
        </w:tc>
        <w:tc>
          <w:tcPr>
            <w:tcW w:w="136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Class A common stock of ProKidney Corp., basic and diluted</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Outstanding anti-dilutive securities not included in the diluted net loss per share calculation include the following:</w:t>
      </w:r>
    </w:p>
    <w:p>
      <w:pPr>
        <w:pStyle w:val="TextBody"/>
        <w:bidi w:val="0"/>
        <w:jc w:val="left"/>
        <w:rPr/>
      </w:pPr>
      <w:r>
        <w:rPr/>
        <w:t> </w:t>
      </w:r>
    </w:p>
    <w:tbl>
      <w:tblPr>
        <w:tblW w:w="8453" w:type="dxa"/>
        <w:jc w:val="left"/>
        <w:tblInd w:w="0" w:type="dxa"/>
        <w:tblLayout w:type="fixed"/>
        <w:tblCellMar>
          <w:top w:w="28" w:type="dxa"/>
          <w:left w:w="28" w:type="dxa"/>
          <w:bottom w:w="28" w:type="dxa"/>
          <w:right w:w="28" w:type="dxa"/>
        </w:tblCellMar>
      </w:tblPr>
      <w:tblGrid>
        <w:gridCol w:w="5196"/>
        <w:gridCol w:w="146"/>
        <w:gridCol w:w="1141"/>
        <w:gridCol w:w="146"/>
        <w:gridCol w:w="146"/>
        <w:gridCol w:w="146"/>
        <w:gridCol w:w="1141"/>
        <w:gridCol w:w="391"/>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Antidilutive securities</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ProKidney Corp.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159,288,931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163,741,676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Restricted Stock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1,755,686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Earnout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granted under the 2022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22,076,832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10: Equity-Based Compensation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2022 Incentive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11, 2022, the stockholders of the Company approved the ProKidney Corp. 2022 Incentive Equity Plan (the “2022 Plan”) which provides for the issuance of equity-based awards to the Company’s employees, non-employee directors, individual consultants, advisors and other service providers.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shares of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incentive and non-qualified stock option awards under the 2022 Plan to certain employees, individual consultants and non-employee directors of the Company. Given that the Company has established a full valuation allowance against its deferred tax assets, the Company has recognized no tax benefit related to these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Time-Vested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Black-Scholes option pricing model to calculate the fair value of time-vested stock options granted. These awards generally vest ratably over a three or four-year period and the option awards expire after a term of ten years from the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of grant. The fair value of stock options granted was estimated using the following assumptions during the nine months ended September 30, 2025:</w:t>
      </w:r>
    </w:p>
    <w:p>
      <w:pPr>
        <w:pStyle w:val="TextBody"/>
        <w:bidi w:val="0"/>
        <w:jc w:val="left"/>
        <w:rPr/>
      </w:pPr>
      <w:r>
        <w:rPr/>
        <w:t> </w:t>
      </w:r>
    </w:p>
    <w:tbl>
      <w:tblPr>
        <w:tblW w:w="5981" w:type="dxa"/>
        <w:jc w:val="left"/>
        <w:tblInd w:w="0" w:type="dxa"/>
        <w:tblLayout w:type="fixed"/>
        <w:tblCellMar>
          <w:top w:w="28" w:type="dxa"/>
          <w:left w:w="28" w:type="dxa"/>
          <w:bottom w:w="28" w:type="dxa"/>
          <w:right w:w="28" w:type="dxa"/>
        </w:tblCellMar>
      </w:tblPr>
      <w:tblGrid>
        <w:gridCol w:w="2791"/>
        <w:gridCol w:w="146"/>
        <w:gridCol w:w="1477"/>
        <w:gridCol w:w="152"/>
        <w:gridCol w:w="1415"/>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99.0% - 132.5%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82.9% - 85.0%</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5.0 - 6.1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5.4 - 6.1</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- 4.4%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- 4.6%</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activity related to the Company’s time-vested stock option awards granted under the 2022 Plan for the nine months ended September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71"/>
        <w:gridCol w:w="146"/>
        <w:gridCol w:w="191"/>
        <w:gridCol w:w="1359"/>
        <w:gridCol w:w="166"/>
        <w:gridCol w:w="146"/>
        <w:gridCol w:w="819"/>
        <w:gridCol w:w="1814"/>
        <w:gridCol w:w="393"/>
      </w:tblGrid>
      <w:tr>
        <w:trPr/>
        <w:tc>
          <w:tcPr>
            <w:tcW w:w="5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19,778,670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13,075,109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27,696,888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exercisable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vested and expected to vest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27,696,888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Company had total unrecognized stock-based compensation expense of approximately $30,753,000 related to the time-vested grants under the 2022 Plan, which is expected to be recognized on a straight-line basis over a weighted average period of 2.6 years. The weighted average grant date fair value for the option grants during the nine months ended September 30, 2025 and 2024 was $0.99 and $1.37,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the in-the-money time-vested awards outstanding and those exercisable as of September 30, 2025 was $19,532,000 and $3,840,000,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nine months ended September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65"/>
        <w:gridCol w:w="146"/>
        <w:gridCol w:w="202"/>
        <w:gridCol w:w="1294"/>
        <w:gridCol w:w="166"/>
        <w:gridCol w:w="146"/>
        <w:gridCol w:w="775"/>
        <w:gridCol w:w="1718"/>
        <w:gridCol w:w="393"/>
      </w:tblGrid>
      <w:tr>
        <w:trPr/>
        <w:tc>
          <w:tcPr>
            <w:tcW w:w="5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exercisable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vested and expected to vest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the Company had no remaining unrecognized stock-based compensation expense related to its performance-based awards.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Legacy Profits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Deed for the Establishment of a Limited Partnership of PKLP,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 to employees, directors, other service providers of the Company and others denominated in the form of one or more Class B Units of PKLP (as defined in the Limited Partnership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consummation of the Domestication and other Restructuring transactions, PK Holdings issued Restricted Common Units to the then-current holders of the Profits Interest awards subject to the same provisions as existed prior to the Domestication.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activity related to the Profits Interest awards for the nine months ended September 30, 2025: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35"/>
        <w:gridCol w:w="146"/>
        <w:gridCol w:w="216"/>
        <w:gridCol w:w="1382"/>
        <w:gridCol w:w="166"/>
        <w:gridCol w:w="146"/>
        <w:gridCol w:w="1095"/>
        <w:gridCol w:w="2426"/>
        <w:gridCol w:w="393"/>
      </w:tblGrid>
      <w:tr>
        <w:trPr/>
        <w:tc>
          <w:tcPr>
            <w:tcW w:w="4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the unrecognized compensation expense related to these awards was $1,657,000. The current weighted average remaining period over which the unrecognized compensation expense is expected to be recognized is 0.3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the unvested profits interests outstanding at September 30, 2025 was $1,793,000. The aggregate fair value of profits interests vested during the nine months ended September 30, 2025 and 2024 was $1,582,000 and $2,197,000,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Equity-Based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related to equity-based awards is included in research and development and general and administrative expense as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72"/>
        <w:gridCol w:w="349"/>
        <w:gridCol w:w="948"/>
        <w:gridCol w:w="242"/>
        <w:gridCol w:w="242"/>
        <w:gridCol w:w="349"/>
        <w:gridCol w:w="948"/>
        <w:gridCol w:w="146"/>
        <w:gridCol w:w="146"/>
        <w:gridCol w:w="303"/>
        <w:gridCol w:w="971"/>
        <w:gridCol w:w="210"/>
        <w:gridCol w:w="210"/>
        <w:gridCol w:w="303"/>
        <w:gridCol w:w="971"/>
        <w:gridCol w:w="295"/>
      </w:tblGrid>
      <w:tr>
        <w:trPr/>
        <w:tc>
          <w:tcPr>
            <w:tcW w:w="357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equity-based compensation expense</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equity-based compensation by type of award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6"/>
        <w:gridCol w:w="349"/>
        <w:gridCol w:w="947"/>
        <w:gridCol w:w="241"/>
        <w:gridCol w:w="241"/>
        <w:gridCol w:w="349"/>
        <w:gridCol w:w="947"/>
        <w:gridCol w:w="146"/>
        <w:gridCol w:w="146"/>
        <w:gridCol w:w="302"/>
        <w:gridCol w:w="971"/>
        <w:gridCol w:w="209"/>
        <w:gridCol w:w="209"/>
        <w:gridCol w:w="302"/>
        <w:gridCol w:w="971"/>
        <w:gridCol w:w="299"/>
      </w:tblGrid>
      <w:tr>
        <w:trPr/>
        <w:tc>
          <w:tcPr>
            <w:tcW w:w="357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stock options</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15,889</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stock options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profits interests</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equity-based compensation expense</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review our operating segments and the approach used by management to evaluate performance and allocate resources. We manage our business as a single operating segment. The Company’s Chief Executive Officer is considered to be the Company’s chief operating decision maker under the requirements of Topic 280 of the ASC “Segments”. The primary measure of profit/loss reviewed by the chief operating decision maker (“CODM”) is net loss before noncontrolling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any product candidates approved for sale and has not generated any revenue from product sales. The Company recognizes lease revenue related to lease agreements held with certain third parties which leased space in the buildings which also house the Company’s manufacturing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our assets on a total company basis, not by operating segment. Therefore, our CODM does not regularly review any asset information other than total Company assets. See the Company’s Condensed Consolidated Balance Sheets for total assets. The majority of the Company’s long-lived assets are located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selected income statement information for our single reportable segment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1"/>
        <w:gridCol w:w="329"/>
        <w:gridCol w:w="1149"/>
        <w:gridCol w:w="259"/>
        <w:gridCol w:w="228"/>
        <w:gridCol w:w="329"/>
        <w:gridCol w:w="1149"/>
        <w:gridCol w:w="166"/>
        <w:gridCol w:w="146"/>
        <w:gridCol w:w="296"/>
        <w:gridCol w:w="1182"/>
        <w:gridCol w:w="233"/>
        <w:gridCol w:w="205"/>
        <w:gridCol w:w="296"/>
        <w:gridCol w:w="1182"/>
        <w:gridCol w:w="215"/>
      </w:tblGrid>
      <w:tr>
        <w:trPr/>
        <w:tc>
          <w:tcPr>
            <w:tcW w:w="28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income</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significant expense categories that are regularly reported to the CODM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8"/>
        <w:gridCol w:w="317"/>
        <w:gridCol w:w="1107"/>
        <w:gridCol w:w="249"/>
        <w:gridCol w:w="219"/>
        <w:gridCol w:w="317"/>
        <w:gridCol w:w="1107"/>
        <w:gridCol w:w="166"/>
        <w:gridCol w:w="146"/>
        <w:gridCol w:w="287"/>
        <w:gridCol w:w="1147"/>
        <w:gridCol w:w="226"/>
        <w:gridCol w:w="199"/>
        <w:gridCol w:w="287"/>
        <w:gridCol w:w="1147"/>
        <w:gridCol w:w="396"/>
      </w:tblGrid>
      <w:tr>
        <w:trPr/>
        <w:tc>
          <w:tcPr>
            <w:tcW w:w="288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expense</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compensation</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13,278</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operating expenses</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 (1)</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primarily include interest income, equity-based compensation and depreciation.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_item2"/>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As used in this Quarterly Report on Form 10-Q, the “Company”, the “Registrant”, “we” or “us” refer to ProKidney Corp. The following discussion and analysis of our financial condition and results of operations should be read in conjunction with our unaudited condensed consolidated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 a pioneer in the treatment of chronic kidney disease (“CKD”) through innovations in cell therapy, was founded in 2015 after a decade of research. We are a clinical-stage biotechnology company with a proprietary cell therapy platform that has the potential to treat CKD using a patient’s own cells. Our approach seeks to redefine the treatment of CKD, shifting the emphasis away from management of kidney failure to the preservation of kidney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ProKidney’s lead product candidate, rilparencel (also known as REACT®), is a first-in-class, patented, proprietary autologous cell therapy being evaluated in the ongoing Phase 3 REGEN-006 (PROACT 1) for its potential to preserve kidney function in patients with advanced CKD and type 2 diabetes. Rilparencel received Regenerative Medicine Advanced Therapy (“RMAT”) designation from the United States Food &amp; Drug Administration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business and scientific planning, conducting discovery and research activities, establishing and protecting our intellectual property portfolio, developing and progressing rilparencel, raising capital, sponsoring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PROACT 1:</w:t>
      </w:r>
    </w:p>
    <w:p>
      <w:pPr>
        <w:pStyle w:val="TextBody"/>
        <w:bidi w:val="0"/>
        <w:spacing w:before="120" w:after="283"/>
        <w:jc w:val="left"/>
        <w:rPr>
          <w:rFonts w:ascii="Times New Roman" w:hAnsi="Times New Roman"/>
          <w:sz w:val="20"/>
        </w:rPr>
      </w:pPr>
      <w:r>
        <w:rPr>
          <w:rFonts w:ascii="Times New Roman" w:hAnsi="Times New Roman"/>
          <w:color w:val="000000"/>
          <w:sz w:val="20"/>
        </w:rPr>
        <w:t>PROACT 1 is an ongoing Phase 3, randomized, blinded, sham controlled safety and efficacy study of rilparencel in subjects with advanced CKD and type 2 diabetes. The study protocol was amended in 1H 2024 to focus on a subset of patients with Stage 4 CKD (estimated glomerular filtration rate (“eGFR”) 20-30 mL/min/1.73m</w:t>
      </w:r>
      <w:r>
        <w:rPr>
          <w:rFonts w:ascii="Times New Roman" w:hAnsi="Times New Roman"/>
          <w:color w:val="000000"/>
          <w:sz w:val="13"/>
        </w:rPr>
        <w:t>2</w:t>
      </w:r>
      <w:r>
        <w:rPr>
          <w:rFonts w:ascii="Times New Roman" w:hAnsi="Times New Roman"/>
          <w:color w:val="000000"/>
          <w:sz w:val="20"/>
        </w:rPr>
        <w:t>) and late Stage 3b CKD (eGFR 30-35 mL/min/1.73m</w:t>
      </w:r>
      <w:r>
        <w:rPr>
          <w:rFonts w:ascii="Times New Roman" w:hAnsi="Times New Roman"/>
          <w:color w:val="000000"/>
          <w:sz w:val="13"/>
        </w:rPr>
        <w:t>2</w:t>
      </w:r>
      <w:r>
        <w:rPr>
          <w:rFonts w:ascii="Times New Roman" w:hAnsi="Times New Roman"/>
          <w:color w:val="000000"/>
          <w:sz w:val="20"/>
        </w:rPr>
        <w:t>) with accompanying albuminuria (UACR less than 5,000 mg/g for patients with eGFR 20-30 mL/min/1.73m</w:t>
      </w:r>
      <w:r>
        <w:rPr>
          <w:rFonts w:ascii="Times New Roman" w:hAnsi="Times New Roman"/>
          <w:color w:val="000000"/>
          <w:sz w:val="13"/>
        </w:rPr>
        <w:t>2</w:t>
      </w:r>
      <w:r>
        <w:rPr>
          <w:rFonts w:ascii="Times New Roman" w:hAnsi="Times New Roman"/>
          <w:color w:val="000000"/>
          <w:sz w:val="20"/>
        </w:rPr>
        <w:t xml:space="preserve"> and 300-5,000 mg/g for patients with eGFR 30-35 mL/min/1.73m</w:t>
      </w:r>
      <w:r>
        <w:rPr>
          <w:rFonts w:ascii="Times New Roman" w:hAnsi="Times New Roman"/>
          <w:color w:val="000000"/>
          <w:sz w:val="13"/>
        </w:rPr>
        <w:t>2</w:t>
      </w:r>
      <w:r>
        <w:rPr>
          <w:rFonts w:ascii="Times New Roman" w:hAnsi="Times New Roman"/>
          <w:color w:val="000000"/>
          <w:sz w:val="20"/>
        </w:rPr>
        <w:t>). The total planned enrollment is approximately 685 subjects. Subjects are randomized (1:1) to the treatment group and the sham control group prior to kidney biopsy or a sham biopsy procedure, respectively. The primary objective is to assess the efficacy of up to two rilparencel injections (one in each kidney) using a minimally invasive percutaneous approach. The surrogate endpoint for accelerated approval is eGFR slope, and the primary composite endpoint is the time from first injection to the earliest of: at least 40% reduction in eGFR; eGFR &lt;15 mL/min/1.73m², and/or chronic dialysis, and/or kidney transplant; or kidney or cardiovascular death.</w:t>
      </w:r>
    </w:p>
    <w:p>
      <w:pPr>
        <w:pStyle w:val="TextBody"/>
        <w:bidi w:val="0"/>
        <w:spacing w:before="120" w:after="283"/>
        <w:jc w:val="left"/>
        <w:rPr>
          <w:rFonts w:ascii="Times New Roman" w:hAnsi="Times New Roman"/>
          <w:sz w:val="20"/>
        </w:rPr>
      </w:pPr>
      <w:r>
        <w:rPr>
          <w:rFonts w:ascii="Times New Roman" w:hAnsi="Times New Roman"/>
          <w:color w:val="000000"/>
          <w:sz w:val="20"/>
        </w:rPr>
        <w:t>In a recent Type B meeting, the FDA confirmed that the slope of eGFR in patients from the ongoing Phase 3 PROACT 1 study can serve as the surrogate endpoint and primary basis for a Biologics License Application (“BLA”) submission of rilparencel under the accelerated approval pathway. The FDA agreed that a rilparencel effect size (versus sham controls) of at least 1.5 mL/min/1.73m</w:t>
      </w:r>
      <w:r>
        <w:rPr>
          <w:rFonts w:ascii="Times New Roman" w:hAnsi="Times New Roman"/>
          <w:color w:val="000000"/>
          <w:sz w:val="13"/>
        </w:rPr>
        <w:t>2</w:t>
      </w:r>
      <w:r>
        <w:rPr>
          <w:rFonts w:ascii="Times New Roman" w:hAnsi="Times New Roman"/>
          <w:color w:val="000000"/>
          <w:sz w:val="20"/>
        </w:rPr>
        <w:t xml:space="preserve">/year improvement would be an acceptable demonstration of efficacy in the setting of patients receiving appropriate standard of care therapies. We anticipate topline data readout of eGFR slope as the surrogate endpoint to support an application for accelerated approval in the second quarter of 2027. We have enrolled more than half of the patients required for the accelerated approval analysis. The FDA also confirmed that the ongoing Phase 3 PROACT 1 study may serve as the confirmatory study to support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full approval of rilparencel based on the primary time-to-event composite endpoint specified in the protocol. Updated guidance on the expected timing of the confirmatory readout will be provided in the first half of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REGEN-007: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recently completed our REGEN-007 trial, a multi-center Phase 2 open-label 1:1 randomized two-arm trial of rilparencel in patients with diabetes, CKD, and an eGFR of 20-50 mL/min/1.73m². Full results were presented as a late-breaking clinical trial at the American Society of Nephrology Kidney Week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randomization, patients were assigned to one of two treatment groups using different dosing regimens. Group 1 replicated the dosing schedule of our ongoing Phase 3 PROACT 1 study in which patients received two scheduled rilparencel injections (one in each kidney), approximately three months apart. Group 2 tested an exploratory dosing regimen to investigate whether disease progression triggers, rather than a time-based trigger, could optimize multiple administrations of rilparencel. In Group 2, patients received a single rilparencel injection in one kidney and a second injection in the contralateral kidney only if triggered by a sustained eGFR decline from baseline of ≥ 20%, and/or an increase of &gt;30% and &gt;30mg/g in the urine albumin to creatinine ratio (“UACR”) from baseline.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prespecified primary endpoint for REGEN-007 was the difference in annual eGFR slope (calculated using a linear mixed effects model) in the pre-injection period versus the period following the last rilparencel injection. The pre-injection period included all historical eGFR values collected up to 24 months before the screening visit as well as the on-study central laboratory eGFR results prior to first rilparencel injection. The period following the last injection included eGFR values from the last rilparencel injection to the end of study (EOS) visit. Median follow-up after the last injection was approximately 18 months in both Group 1 and Group 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Fifty-three patients were randomized in the study, of whom 49 patients (mITT population) received at least one rilparencel injection. Four patients did not receive any rilparencel injections. The majority of patients were male (69%), and the mean age was 60 years. At baseline, 38 of 49 patients (78%) had type 2 diabetes mellitus and 11 (22%) had type 1 diabetes. Thirty-nine (80%) patients were receiving an angiotensin-converting enzyme inhibitor (ACEi) or an angiotensin II receptor blocker (ARB), and 18 (37%) were receiving a sodium-glucose cotransporter-2 inhibitor (SGLT2i). At baseline, the mean (SD) eGFR was 33±10 mL/min/1.73m². Notably, the median UACR was higher in Group 1 (792 mg/g) compared to Group 2 (229 mg/g).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Group 1 (n=24), kidney function stabilized after receiving rilparencel. The annual decline in eGFR slope improved by 78% from -5.8 mL/min/1.73m² in the pre-injection period to -1.3 mL/min/1.73m² in the period following the last rilparencel injection. This 4.6 mL/min/1.73m² per year difference was statistically significant (p&lt;0.001) and clinically meaningful. Among Group 1 patients, 15 of 24 (63%) met key Phase 3 PROACT 1 inclusion criteria. In this subgroup, treatment with rilparencel resulted in a 5.5 mL/min/1.73m² improvement in the annual decline in eGFR slope. This 85% improvement was statistically significant and clinically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Group 2 (n=25), the annual change in kidney function as measured by eGFR slope was -3.4 mL/min/1.73m² in the pre-injection period versus -1.7 mL/min/1.73m² in the period following the last rilparencel injection, resulting in an improvement of 50%, or 1.7 mL/min/1.73m² per year. This difference was not statistically significant (p=0.085) but suggests evidence of a dose response. Out of the 25 patients in Group 2, 15 (60%) met the re-dosing trigger and received a second rilparencel injection. The median time between the first and second injections in these 15 patients was approximately 11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rilparencel-related serious adverse events were observed across all patients in the study who received at least one rilparencel injection (n=49). The overall study safety profile was consistent with previously reported study results and comparable to a kidney biopsy.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Completion of Domestication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July 1, 2025 (the “Domestication Date”), we completed a domestication process through which we changed our jurisdiction of incorporation from the Cayman Islands to the State of Delaware (the “Domestication”). In connection with the Domestication, we also completed certain other restructuring transactions (such transactions, together with the Domestication, the “Restructuring”) on the Domestication Date. Prior to the Restructuring, we conducted our business indirectly through ProKidney LP (“PKLP”), a limited partnership under the laws and regulations of Ireland, and its subsidiaries. As part of the Restructuring, (i) PKLP contributed substantially all of its assets to a newly formed subsidiary, ProKidney Holdings, LLC, a Delaware limited liability company (“PK Holdings”) (other than its limited liability company interests in PK Holdings), (ii) PKLP commenced winding-up and made a liquidating distribution of its limited liability company interests in PK Holdings to its partners, including the Company, in redemption of their interests in PKLP, and (iii) ProKidney Corp. GP Limited, the general partner of PKLP, sold its nominal economic interest in PK Holdings received in such liquidating distribution to us (collectively, the “Substitution”). Immediately following the Domestication, ProKidney, then a wholly owned subsidiary of PK Holdings and a Cayman Islands exempted company, re-registered as a Cayman Islands limited liability company and then deregistered as a limited liability company in the Cayman Islands and registered by way of continuation out for purposes of the Limited Liability Companies Act (as amended) of the Cayman Islands and domesticated and continued for purposes of the Delaware Limited Liability Company Act as a Delaware limited liability company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named ProKidney IPCo, LLC (“ProKidney IPCo”). As a result of the consummation of the Domestication and the other transactions involved in the Restructuring, we and the other former limited partners of PKLP are now members of PK Holdings, and PK Holdings owns all of the subsidiaries that conduct our business, including ProKidney IPCo.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we amended and restated certain of our material agreements, each originally dated July 11, 2022, on substantially similar terms in order to reflect updates to our corporate structure resulting from the Restructuring including (i) an Amended and Restated Tax Receivable Agreement, (ii) an Amended and Restated Lock-Up Agreement, and (iii) an Amended and Restated Exchange Agreement. In addition, on the Domestication Date, we, together with the other former limited partners of PKLP, also entered into the Second Amended and Restated Limited Liability Company Agreement of PK Holdings to provide for the governance of PK Holdings and reflect the changes to our capital structure resulting from the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completing the Domestication and other Restructuring transactions, the Company also underwent a series of transactions to streamline its operating subsidiaries from a tax perspective (the “Post-Domestication Reorganization”). The Post-Domestication Reorganization was finalized effective as of September 1, 2025. Pursuant to these steps, ProKidney LLC, a limited liability company under the laws of Delaware (“ProKidney-US”), became disregarded entity as separate from its owner, PK Holdings, for U.S. federal income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presentation purposes, unless otherwise noted, references to common stock refer to “ordinary shares” before the Domestication and “common stock” subsequent to the Domestication. Similarly, unless otherwise noted, references to PK Holdings herein refer to PKLP prior to the Domestication and PK Holdings subsequent to the Domestication and references to ProKidney IPCo. herein refer to ProKidney-KY prior to the Domestication and ProKidney IPCo. subsequent to the Domestication.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the three months ended December 31, 2024, we recognized revenue related to leasing activities associated with existing lease agreements assumed through the acquisition of two buildings in Winston-Salem, North Carolina where we also conduct our manufacturing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our research and development activities, including the development of rilparencel.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research and development expenses incurred under agreements with CROs and other scientific development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other outside consultants, including their fees and related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quality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laboratory supplies and acquiring and developing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third-party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bonuses, benefits and stock-based compensation expenses, for individuals involved in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insurance and other internal operating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significantly for the foreseeable future as rilparencel moves into later stages of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the numerous risks and uncertainties associated with developing product candidates, many of which are outside of our control,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nonclinical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nonclinical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appropriate safety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and patients involved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clinical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of, clinical trials, as well as drop out or discontinuation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the FDA and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new licensing or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future collaborators,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patient claims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rilparencel over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rilparencel, if approved,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rilparencel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facility-related expenses, which include depreciation costs and other allocated expenses for rent and maintenance of facilities, insurance costs, recruiting costs, travel expenses and other general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for the foreseeable future as our business expands and we hire additional personnel to support our operations. </w:t>
      </w:r>
    </w:p>
    <w:p>
      <w:pPr>
        <w:pStyle w:val="TextBody"/>
        <w:bidi w:val="0"/>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consists primarily of interest income earned on cash, cash equivalents and marketable securities.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reflects federal and state taxes on income earned by our subsidiary that is organized as a C corporation for U.S. income tax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September 30, 2025 and 2024 (in thousands):</w:t>
      </w:r>
    </w:p>
    <w:p>
      <w:pPr>
        <w:pStyle w:val="TextBody"/>
        <w:bidi w:val="0"/>
        <w:jc w:val="left"/>
        <w:rPr/>
      </w:pPr>
      <w:r>
        <w:rPr/>
        <w:t> </w:t>
      </w:r>
    </w:p>
    <w:tbl>
      <w:tblPr>
        <w:tblW w:w="8483" w:type="dxa"/>
        <w:jc w:val="left"/>
        <w:tblInd w:w="0" w:type="dxa"/>
        <w:tblLayout w:type="fixed"/>
        <w:tblCellMar>
          <w:top w:w="28" w:type="dxa"/>
          <w:left w:w="28" w:type="dxa"/>
          <w:bottom w:w="28" w:type="dxa"/>
          <w:right w:w="28" w:type="dxa"/>
        </w:tblCellMar>
      </w:tblPr>
      <w:tblGrid>
        <w:gridCol w:w="4261"/>
        <w:gridCol w:w="146"/>
        <w:gridCol w:w="211"/>
        <w:gridCol w:w="736"/>
        <w:gridCol w:w="166"/>
        <w:gridCol w:w="146"/>
        <w:gridCol w:w="211"/>
        <w:gridCol w:w="736"/>
        <w:gridCol w:w="166"/>
        <w:gridCol w:w="146"/>
        <w:gridCol w:w="211"/>
        <w:gridCol w:w="736"/>
        <w:gridCol w:w="6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research and development expenses of approximately $4.4 million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in clinical study costs of approximately $4.2 million from our clinical trials that have been completed or terminated;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decrease in manufacturing improvement costs of approximately $1.5 million; and</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decrease in professional fees of $0.9 million related to the remediation of quality and manufacturing compliance</w:t>
      </w:r>
      <w:r>
        <w:rPr>
          <w:color w:val="000000"/>
        </w:rPr>
        <w:t xml:space="preserve"> </w:t>
      </w:r>
      <w:r>
        <w:rPr>
          <w:rFonts w:ascii="Times New Roman" w:hAnsi="Times New Roman"/>
          <w:color w:val="000000"/>
          <w:sz w:val="20"/>
        </w:rPr>
        <w:t xml:space="preserve">deficiencies during the 2024 period; offset by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 in material costs of $1.2 million driven by increased manufacturing to support our PROACT 1 clinical trial;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increase in equity and cash-based compensation costs of approximately $1.4 million due to the hiring of additional personnel and awards made in the 2025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of approximately $5.8 million was primarily driven by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decrease in impairment charges of $5.0 million related to our Greensboro facility as the original charge was recognized in the 2024 period;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decrease in equity-based compensation of approximately $0.9 million due to forfeitures of awards and lower fair value of recent awards; and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decrease in cash-based compensation of approximately $1.0 million driven by lower severance and benefit costs; offset by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increase in professional fees of approximately $0.8 million driven by current quarter activities.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of approximately $2.3 million was driven primarily by lower investment balances and interest rates for the 2025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income tax expense was driven by the change in the taxable income associated with the U.S. entities that are treated as corporations for U.S. tax purposes. For the three months ended September 30, 2024, the income tax benefit was driven by a change in the treatment of specified research and development expenses by our U.S. subsidiary due to guidance issued by the Internal Revenue Service in 2024 such that these costs are no longer required to be capitalized and amortized ratably over a five-year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Nine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nine months ended September 30, 2025 and 2024 (in thousands):</w:t>
      </w:r>
    </w:p>
    <w:p>
      <w:pPr>
        <w:pStyle w:val="TextBody"/>
        <w:bidi w:val="0"/>
        <w:jc w:val="left"/>
        <w:rPr/>
      </w:pPr>
      <w:r>
        <w:rPr/>
        <w:t> </w:t>
      </w:r>
    </w:p>
    <w:tbl>
      <w:tblPr>
        <w:tblW w:w="8693" w:type="dxa"/>
        <w:jc w:val="left"/>
        <w:tblInd w:w="0" w:type="dxa"/>
        <w:tblLayout w:type="fixed"/>
        <w:tblCellMar>
          <w:top w:w="28" w:type="dxa"/>
          <w:left w:w="28" w:type="dxa"/>
          <w:bottom w:w="28" w:type="dxa"/>
          <w:right w:w="28" w:type="dxa"/>
        </w:tblCellMar>
      </w:tblPr>
      <w:tblGrid>
        <w:gridCol w:w="4261"/>
        <w:gridCol w:w="146"/>
        <w:gridCol w:w="211"/>
        <w:gridCol w:w="841"/>
        <w:gridCol w:w="166"/>
        <w:gridCol w:w="146"/>
        <w:gridCol w:w="211"/>
        <w:gridCol w:w="841"/>
        <w:gridCol w:w="166"/>
        <w:gridCol w:w="146"/>
        <w:gridCol w:w="211"/>
        <w:gridCol w:w="736"/>
        <w:gridCol w:w="6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research and development expenses of $7.9 million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 in clinical study costs of approximately $13.3 million from our clinical trials that have been completed or terminated; and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decrease in professional fees of $2.8 million related to the remediation of quality and manufacturing compliance</w:t>
      </w:r>
      <w:r>
        <w:rPr>
          <w:color w:val="000000"/>
        </w:rPr>
        <w:t xml:space="preserve"> </w:t>
      </w:r>
      <w:r>
        <w:rPr>
          <w:rFonts w:ascii="Times New Roman" w:hAnsi="Times New Roman"/>
          <w:color w:val="000000"/>
          <w:sz w:val="20"/>
        </w:rPr>
        <w:t>deficiencies during the 2024 period; offset by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 in costs for our ongoing Phase 3 trial (PROACT 1) of $4.5 million driven by continued enrollment and increased activities for the trial;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increase in cash-based compensation costs of approximately $3.4 million due to the hiring of additional personnel.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of approximately $3.9 million was primarily driven by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decrease in impairment charges of $5.0 million related to our Greensboro facility as the original charge was recognized in the 2024 period;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decrease in equity-based compensation of approximately $2.4 million due to forfeitures of awards and lower fair value of recent awards; offset by</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 in professional fees and other operating expenses of approximately $2.5 million driven by current quarter activities;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increase in cash-based compensation of approximately $1.0 million related to the hiring of new employees.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of approximately $4.1 million was driven primarily by lower investment balances and interest rates for the 2025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income tax expense was driven by the change in the taxable income associated with the U.S. entities that are treated as corporations for U.S. tax purposes. For the nine months ended September 30, 2024, the income tax benefit was driven by a change in the treatment of specified research and development expenses by our U.S. subsidiary due to guidance issued by the Internal Revenue Service in 2024 such that these costs are no longer required to be capitalized and amortized ratably over a five-year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September 30, 2025, we funded our operations primarily through capital contributions from the holders of PKLP, the proceeds obtained through the Business Combination and related private placement financing, and public equity offerings.</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we entered into an Open Market Sale Agreement</w:t>
      </w:r>
      <w:r>
        <w:rPr>
          <w:rFonts w:ascii="Times New Roman" w:hAnsi="Times New Roman"/>
          <w:color w:val="000000"/>
          <w:sz w:val="13"/>
        </w:rPr>
        <w:t>SM</w:t>
      </w:r>
      <w:r>
        <w:rPr>
          <w:rFonts w:ascii="Times New Roman" w:hAnsi="Times New Roman"/>
          <w:color w:val="000000"/>
          <w:sz w:val="20"/>
        </w:rPr>
        <w:t xml:space="preserve"> (“2024 Sales Agreement”) with Jefferies LLC (“Jefferies”) as the sales agent, pursuant to which we could offer and sell, from time to time, through Jefferies, shares of our Class A common stock having an aggregate offering price of up to $100.0 million by any method deemed to be an “at the market offering” as defined in Rule 415(a)(4) under the Securities Act of 1933, as amended (the “Securities Act”). The shares were offered and sold pursuant to our shelf registration statement on Form S-3.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2024, we sold 1,868,891 shares of its Class A common stock under the 2024 Sales Agreement for net proceeds of approximately $4.5 million. During the nine months ended September 30, 2024, we sold 4,170,791 shares of our Class A common stock under the 2024 Sales Agreement for net proceeds of approximately $7.7 million. </w:t>
      </w:r>
    </w:p>
    <w:p>
      <w:pPr>
        <w:pStyle w:val="TextBody"/>
        <w:bidi w:val="0"/>
        <w:spacing w:before="120" w:after="283"/>
        <w:jc w:val="left"/>
        <w:rPr>
          <w:rFonts w:ascii="Times New Roman" w:hAnsi="Times New Roman"/>
          <w:sz w:val="20"/>
        </w:rPr>
      </w:pPr>
      <w:r>
        <w:rPr>
          <w:rFonts w:ascii="Times New Roman" w:hAnsi="Times New Roman"/>
          <w:color w:val="000000"/>
          <w:sz w:val="20"/>
        </w:rPr>
        <w:t>In July 2025, we terminated the 2024 Sales Agreement and entered into a new Open Market Sale Agreement</w:t>
      </w:r>
      <w:r>
        <w:rPr>
          <w:rFonts w:ascii="Times New Roman" w:hAnsi="Times New Roman"/>
          <w:color w:val="000000"/>
          <w:sz w:val="13"/>
        </w:rPr>
        <w:t>SM</w:t>
      </w:r>
      <w:r>
        <w:rPr>
          <w:rFonts w:ascii="Times New Roman" w:hAnsi="Times New Roman"/>
          <w:color w:val="000000"/>
          <w:sz w:val="20"/>
        </w:rPr>
        <w:t xml:space="preserve"> (“2025 Sales Agreement”) with Jefferies, as the sales agent, pursuant to which we may offer and sell, from time to time, through Jefferies, shares of our Class A common stock having an aggregate offering price of up to $200.0 million by any method deemed to be an “at the market offering” as defined in Rule 415(a)(4) under the Securities Act. The shares are offered and sold pursuant to our shelf registration statement on Form S-3. During the three and nine months ended September 30, 2025, we sold 1,989,147 shares of our Class A common stock under the 2025 Sales Agreement for net proceeds of approximately $7.1 million. As of September 30, 2025, there was approximately $192.7 million remaining available to be sold under the 2025 Sales Agreement. Subsequent to September 30, 2025, we have sold an additional 5,463,195 shares of its Class A common stock under the 2025 Sales Agreement for net proceeds of $17.1 million.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we sold 46,886,452 shares of our Class A common stock in an underwritten public offering at a price of $2.42 per share. Additionally, in June 2024, the Company sold 11,030,574 shares of its Class A common stock to certain investors at a price of $2.42 per share in a concurrent registered direct offering pursuant to share purchase agreements. The net proceeds to us from the offerings were approximately $136.7 million, after deducting the underwriting discounts and commissions and offering expenses payable by us. The shares were offered and sold pursuant to our shelf registration statement on Form S-3.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existing cash, cash equivalents and marketable securities held at September 30, 2025, will enable us to fund our operating expenses and capital expenditure requirements into mid-2027. We have based this estimate on assumptions that may prove to be wrong and we could exhaust our capital resources sooner than we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continue research and clinical development of our product candidates, including in particular our clinical trials for rilparencel;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third-party manufacturing costs to support our nonclinical studies and clinical trials of our product candidate and, if approved, its commercialization;</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investments in developing internal manufacturing capabilities;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since the closing of the Business Combination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stockholders.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pStyle w:val="TextBody"/>
        <w:bidi w:val="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for the Nine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nine months ended September 30, 2025 and 2024 (in thousands): </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3946"/>
        <w:gridCol w:w="146"/>
        <w:gridCol w:w="273"/>
        <w:gridCol w:w="955"/>
        <w:gridCol w:w="215"/>
        <w:gridCol w:w="189"/>
        <w:gridCol w:w="273"/>
        <w:gridCol w:w="1092"/>
        <w:gridCol w:w="3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$87.6 million for the nine months ended September 30, 2025, reflecting a net loss of approximately $110.8 million. The net loss was partially offset by non-cash charges and gains on investments of approximately $22.1 million and changes in working capital of $0.5 million. The non-cash charges primarily consisted of equity-based compensation expense of $19.6 million, depreciation and amortization expense of $4.7 million and were partially offset by gains on marketable securities of $2.7 million. The changes in working capital primarily relate to the timing of payments made to our vendors for services performed and the recognition of receivable amounts related to interest on our marketable security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$102.2 million for the nine months ended September 30, 2024, reflecting net loss of $114.9 million, and uses driven by changes in working capital of approximately $13.6 million and non-cash charges and gains on investments of $26.1 million. The non-cash charges primarily consisted of equity-based compensation expense of $22.4 million, impairment charges of $5.3 million and depreciation and amortization expense of $3.9 million, which were partially offset by gains on marketable securities of $5.5 million.</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approximately $14.5 million decrease in cash used in operating activities for the nine months ended September 30, 2025 compared to the nine months ended September 30, 2024 was primarily driven by a decrease in the use of cash related to the timing of payments to our vendors and receipt of interest due.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approximately $75.9 million and $5.3 million for the nine months ended September 30, 2025 and 2024, respectively. The cash provided by investing activities during the nine months ended September 30, 2025 and 2024 was primarily related to timing of the conversion of investments to cash and cash equivalents or use to fund our operations.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2025 of $7.9 million was primarily related to the sale of our Class A common stock through the 2025 Sales Agreement and stock option exercises. The cash provided by financing activities during the nine months ended September 30, 2024 of $144.3 million was primarily related to the sale of our Class A common stock through an underwritten public offering and concurrent registered direct offering in June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consolidated financial statements. Our condensed consolidated financial statements are prepared in accordance with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are described in Note 2 to our unaudited condensed consolidated financial statements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 </w:t>
      </w:r>
    </w:p>
    <w:p>
      <w:pPr>
        <w:pStyle w:val="TextBody"/>
        <w:bidi w:val="0"/>
        <w:spacing w:before="360" w:after="283"/>
        <w:jc w:val="left"/>
        <w:rPr>
          <w:rFonts w:ascii="Times New Roman" w:hAnsi="Times New Roman"/>
          <w:b/>
          <w:color w:val="000000"/>
          <w:sz w:val="20"/>
        </w:rPr>
      </w:pPr>
      <w:bookmarkStart w:id="11" w:name="i_item3"/>
      <w:bookmarkEnd w:id="11"/>
      <w:r>
        <w:rPr>
          <w:rFonts w:ascii="Times New Roman" w:hAnsi="Times New Roman"/>
          <w:b/>
          <w:color w:val="000000"/>
          <w:sz w:val="20"/>
        </w:rPr>
        <w:t>Item 3. Quantitative and Qualitative Disclosures About Market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otherwise required under this item.</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_item4"/>
      <w:bookmarkEnd w:id="12"/>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supervision and with the participation of our Chief Executive Officer and Chief Financial Officer, management has evaluated the effectiveness of the design and operation of our disclosure controls and procedures (as defined in Rules 13a-15(e) or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15d-15(e) of the Securities Exchange Act of 1934, as amended) as of September 30, 2025. Based upon that evaluation, our Chief Executive Officer and Chief Financial Officer concluded that, as of September 30, 2025,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to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Website Availability of Reports and other Corporate Governance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maintains a comprehensive corporate governance program, including Corporate Governance Guidelines for its Board of Directors, Board Guidelines for Assessing Director Independence and charters for its Audit Committee, Nominating and Corporate Governance Committee and Talent and Compensation Committee. The Company maintains a corporate investor relations website, </w:t>
      </w:r>
      <w:r>
        <w:rPr>
          <w:rFonts w:ascii="Times New Roman" w:hAnsi="Times New Roman"/>
          <w:sz w:val="20"/>
        </w:rPr>
        <w:t>https://investors.prokidney.com/</w:t>
      </w:r>
      <w:r>
        <w:rPr>
          <w:rFonts w:ascii="Times New Roman" w:hAnsi="Times New Roman"/>
          <w:color w:val="000000"/>
          <w:sz w:val="20"/>
        </w:rPr>
        <w:t>,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i_item1"/>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spacing w:before="360" w:after="283"/>
        <w:jc w:val="left"/>
        <w:rPr>
          <w:rFonts w:ascii="Times New Roman" w:hAnsi="Times New Roman"/>
          <w:b/>
          <w:color w:val="000000"/>
          <w:sz w:val="20"/>
        </w:rPr>
      </w:pPr>
      <w:bookmarkStart w:id="15" w:name="ii_item1a"/>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Annual Report on Form 10-K filed with the SEC on March 17, 2025 (the “2024 Annual Report”), and in our Quarterly Report on Form 10-Q for the quarter ended March 31, 2025, filed with the SEC on May 12, 2025 (“1Q Form 10-Q”). There have been no material changes to the risk factors described in the 2024 Annual Report and the 1Q Form 10-Q.</w:t>
      </w:r>
    </w:p>
    <w:p>
      <w:pPr>
        <w:pStyle w:val="TextBody"/>
        <w:bidi w:val="0"/>
        <w:spacing w:before="360" w:after="283"/>
        <w:jc w:val="left"/>
        <w:rPr>
          <w:rFonts w:ascii="Times New Roman" w:hAnsi="Times New Roman"/>
          <w:b/>
          <w:color w:val="000000"/>
          <w:sz w:val="20"/>
        </w:rPr>
      </w:pPr>
      <w:bookmarkStart w:id="16" w:name="ii_item2"/>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sales of unregistered equity securities during the three months ended September 30, 2025. </w:t>
      </w:r>
    </w:p>
    <w:p>
      <w:pPr>
        <w:pStyle w:val="TextBody"/>
        <w:bidi w:val="0"/>
        <w:spacing w:before="360" w:after="283"/>
        <w:jc w:val="left"/>
        <w:rPr>
          <w:rFonts w:ascii="Times New Roman" w:hAnsi="Times New Roman"/>
          <w:b/>
          <w:color w:val="000000"/>
          <w:sz w:val="20"/>
        </w:rPr>
      </w:pPr>
      <w:bookmarkStart w:id="17" w:name="ii_item3"/>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i_item4"/>
      <w:bookmarkEnd w:id="18"/>
      <w:r>
        <w:rPr>
          <w:rFonts w:ascii="Times New Roman" w:hAnsi="Times New Roman"/>
          <w:b/>
          <w:color w:val="000000"/>
          <w:sz w:val="20"/>
        </w:rPr>
        <w:t>Item 4. Mine Safety Disclosures.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i_item5"/>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September 30, 2025, none of the Company’s directors or officers adopted or terminated a “Rule 10b5-1 trading arrangement” or “non-Rule 10b5-1 trading arrangement,” as those terms are defined in Regulation S-K, Item 408, that was intended to satisfy the affirmative defense conditions of Rule 10b5-1(c).</w:t>
      </w:r>
    </w:p>
    <w:p>
      <w:pPr>
        <w:pStyle w:val="TextBody"/>
        <w:bidi w:val="0"/>
        <w:spacing w:before="360" w:after="283"/>
        <w:jc w:val="left"/>
        <w:rPr>
          <w:rFonts w:ascii="Times New Roman" w:hAnsi="Times New Roman"/>
          <w:b/>
          <w:color w:val="000000"/>
          <w:sz w:val="20"/>
        </w:rPr>
      </w:pPr>
      <w:bookmarkStart w:id="20" w:name="ii_item6"/>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Incorporation of ProKidney (incorporated by reference to Exhibit 3.1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Bylaws of ProKidney (incorporated by reference to Exhibit 3.2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Corporate Domestication of ProKidney (incorporated by reference to Exhibit 3.3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Stock Certificate for Class A Common Stock ProKidney (incorporated by reference to Exhibit 4.1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Stock Certificate for Class B Common Stock ProKidney (incorporated by reference to Exhibit 4.2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Tax Receivable Agreement, dated July 1, 2025, by and among ProKidney and the TRA Parties (as defined therein) (incorporated by reference to Exhibit 10.1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Lock-Up Agreement, dated July 1, 2025, by and among ProKidney and certain of the ProKidney Holders (as defined therein) (incorporated by reference to Exhibit 10.2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Exchange Agreement, dated July 1, 2025, by and among ProKidney, ProKidney Holdings, LLC and the other members of ProKidney Holdings, LLC party thereto (incorporated by reference to Exhibit 10.3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First Amendment to the ProKidney Corp. Employee Stock Purchase Plan (incorporated by reference to Exhibit 10.4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First Amendment to the ProKidney Corp. 2022 Incentive Equity Plan (incorporated by reference to Exhibit 10.5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Indemnification Agreement, dated July 1, 2025, by and among ProKidney and its directors and officers (incorporated by reference to Exhibit 10.6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Second Amended and Restated Limited Liability Company Agreement of ProKidney Holdings, dated July 1, 2025, by and among the members and managers party thereto (incorporated by reference to Exhibit 10.7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Open Market Sale Agreement</w:t>
              </w:r>
            </w:hyperlink>
            <w:hyperlink r:id="rId15">
              <w:r>
                <w:rPr>
                  <w:rStyle w:val="InternetLink"/>
                  <w:rFonts w:ascii="Times New Roman" w:hAnsi="Times New Roman"/>
                  <w:color w:val="0000FF"/>
                  <w:sz w:val="13"/>
                  <w:u w:val="single"/>
                </w:rPr>
                <w:t>SM</w:t>
              </w:r>
            </w:hyperlink>
            <w:hyperlink r:id="rId16">
              <w:r>
                <w:rPr>
                  <w:rStyle w:val="InternetLink"/>
                  <w:rFonts w:ascii="Times New Roman" w:hAnsi="Times New Roman"/>
                  <w:color w:val="0000FF"/>
                  <w:sz w:val="20"/>
                  <w:u w:val="single"/>
                </w:rPr>
                <w:t xml:space="preserve"> dated July 14, 2025, by and between ProKidney Corp. and Jefferies LLC (incorporated by reference from Exhibit 1.1 to Form 8-K filed with the SEC on July 14, 2025 (File No. 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
        <w:gridCol w:w="146"/>
        <w:gridCol w:w="9608"/>
      </w:tblGrid>
      <w:tr>
        <w:trPr/>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08" w:type="dxa"/>
            <w:tcBorders/>
            <w:vAlign w:val="center"/>
          </w:tcPr>
          <w:p>
            <w:pPr>
              <w:pStyle w:val="TableContents"/>
              <w:bidi w:val="0"/>
              <w:spacing w:before="0" w:after="283"/>
              <w:jc w:val="left"/>
              <w:rPr>
                <w:sz w:val="4"/>
                <w:szCs w:val="4"/>
              </w:rPr>
            </w:pPr>
            <w:r>
              <w:rPr>
                <w:sz w:val="4"/>
                <w:szCs w:val="4"/>
              </w:rPr>
            </w:r>
          </w:p>
        </w:tc>
      </w:tr>
      <w:tr>
        <w:trPr/>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the Company’s Quarterly Report on Form 10-Q for the quarter ended September 30, 2025, formatted in iXBRL (Inline Extensible Business Reporting Language): (i) Condensed Consolidated Balance Sheets (unaudited), (ii) Condensed Consolidated Statements of Operations (unaudited), (iii) Condensed Consolidated Statements of Comprehensive Loss (unaudited), (iv) Condensed Consolidated Statements of Changes in Redeemable Noncontrolling Interest and Stockholders’ Deficit (unaudited), (v) Consolidated Statements of Cash Flows (unaudited) and (vi) Notes to Condensed Consolidated Financial Statements (unaudited), tagged as blocks of text and including detailed tags.</w:t>
            </w:r>
          </w:p>
        </w:tc>
      </w:tr>
      <w:tr>
        <w:trPr/>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Quarterly Report on Form 10-Q for the quarter ended September 30, 2025, formatted in Inline XBRL.</w:t>
            </w:r>
          </w:p>
        </w:tc>
      </w:tr>
      <w:tr>
        <w:trPr/>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524" w:type="dxa"/>
        <w:jc w:val="left"/>
        <w:tblInd w:w="0" w:type="dxa"/>
        <w:tblLayout w:type="fixed"/>
        <w:tblCellMar>
          <w:top w:w="28" w:type="dxa"/>
          <w:left w:w="28" w:type="dxa"/>
          <w:bottom w:w="28" w:type="dxa"/>
          <w:right w:w="28" w:type="dxa"/>
        </w:tblCellMar>
      </w:tblPr>
      <w:tblGrid>
        <w:gridCol w:w="2206"/>
        <w:gridCol w:w="146"/>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Bruce Culleton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James Coulston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prok-ex31_1.htm"/>
      <w:bookmarkStart w:id="23" w:name="ksprok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Culleton,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34" w:type="dxa"/>
        <w:jc w:val="left"/>
        <w:tblInd w:w="0" w:type="dxa"/>
        <w:tblLayout w:type="fixed"/>
        <w:tblCellMar>
          <w:top w:w="28" w:type="dxa"/>
          <w:left w:w="28" w:type="dxa"/>
          <w:bottom w:w="28" w:type="dxa"/>
          <w:right w:w="28" w:type="dxa"/>
        </w:tblCellMar>
      </w:tblPr>
      <w:tblGrid>
        <w:gridCol w:w="2206"/>
        <w:gridCol w:w="146"/>
        <w:gridCol w:w="406"/>
        <w:gridCol w:w="247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prok-ex31_2.htm"/>
      <w:bookmarkStart w:id="25" w:name="ksprok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Coulston,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24" w:type="dxa"/>
        <w:jc w:val="left"/>
        <w:tblInd w:w="0" w:type="dxa"/>
        <w:tblLayout w:type="fixed"/>
        <w:tblCellMar>
          <w:top w:w="28" w:type="dxa"/>
          <w:left w:w="28" w:type="dxa"/>
          <w:bottom w:w="28" w:type="dxa"/>
          <w:right w:w="28" w:type="dxa"/>
        </w:tblCellMar>
      </w:tblPr>
      <w:tblGrid>
        <w:gridCol w:w="2206"/>
        <w:gridCol w:w="146"/>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prok-ex32_1.htm"/>
      <w:bookmarkStart w:id="27" w:name="ksprok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34" w:type="dxa"/>
        <w:jc w:val="left"/>
        <w:tblInd w:w="0" w:type="dxa"/>
        <w:tblLayout w:type="fixed"/>
        <w:tblCellMar>
          <w:top w:w="28" w:type="dxa"/>
          <w:left w:w="28" w:type="dxa"/>
          <w:bottom w:w="28" w:type="dxa"/>
          <w:right w:w="28" w:type="dxa"/>
        </w:tblCellMar>
      </w:tblPr>
      <w:tblGrid>
        <w:gridCol w:w="2206"/>
        <w:gridCol w:w="146"/>
        <w:gridCol w:w="406"/>
        <w:gridCol w:w="247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prok-ex32_2.htm"/>
      <w:bookmarkStart w:id="29" w:name="ksprokex32_2"/>
      <w:bookmarkEnd w:id="28"/>
      <w:bookmarkEnd w:id="2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524" w:type="dxa"/>
        <w:jc w:val="left"/>
        <w:tblInd w:w="0" w:type="dxa"/>
        <w:tblLayout w:type="fixed"/>
        <w:tblCellMar>
          <w:top w:w="28" w:type="dxa"/>
          <w:left w:w="28" w:type="dxa"/>
          <w:bottom w:w="28" w:type="dxa"/>
          <w:right w:w="28" w:type="dxa"/>
        </w:tblCellMar>
      </w:tblPr>
      <w:tblGrid>
        <w:gridCol w:w="2206"/>
        <w:gridCol w:w="146"/>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270/000114036125024839/ef20051439_ex3-1.htm" TargetMode="External"/><Relationship Id="rId3" Type="http://schemas.openxmlformats.org/officeDocument/2006/relationships/hyperlink" Target="https://www.sec.gov/Archives/edgar/data/1850270/000114036125024839/ef20051439_ex3-2.htm" TargetMode="External"/><Relationship Id="rId4" Type="http://schemas.openxmlformats.org/officeDocument/2006/relationships/hyperlink" Target="https://www.sec.gov/Archives/edgar/data/1850270/000114036125024839/ef20051439_ex3-3.htm" TargetMode="External"/><Relationship Id="rId5" Type="http://schemas.openxmlformats.org/officeDocument/2006/relationships/hyperlink" Target="https://www.sec.gov/Archives/edgar/data/1850270/000114036125024839/ef20051439_ex4-1.htm" TargetMode="External"/><Relationship Id="rId6" Type="http://schemas.openxmlformats.org/officeDocument/2006/relationships/hyperlink" Target="https://www.sec.gov/Archives/edgar/data/1850270/000114036125024839/ef20051439_ex4-2.htm" TargetMode="External"/><Relationship Id="rId7" Type="http://schemas.openxmlformats.org/officeDocument/2006/relationships/hyperlink" Target="https://www.sec.gov/Archives/edgar/data/1850270/000114036125024839/ef20051439_ex10-1.htm" TargetMode="External"/><Relationship Id="rId8" Type="http://schemas.openxmlformats.org/officeDocument/2006/relationships/hyperlink" Target="https://www.sec.gov/Archives/edgar/data/1850270/000114036125024839/ef20051439_ex10-2.htm" TargetMode="External"/><Relationship Id="rId9" Type="http://schemas.openxmlformats.org/officeDocument/2006/relationships/hyperlink" Target="https://www.sec.gov/Archives/edgar/data/1850270/000114036125024839/ef20051439_ex10-3.htm" TargetMode="External"/><Relationship Id="rId10" Type="http://schemas.openxmlformats.org/officeDocument/2006/relationships/hyperlink" Target="https://www.sec.gov/Archives/edgar/data/1850270/000114036125024839/ef20051439_ex10-4.htm" TargetMode="External"/><Relationship Id="rId11" Type="http://schemas.openxmlformats.org/officeDocument/2006/relationships/hyperlink" Target="https://www.sec.gov/Archives/edgar/data/1850270/000114036125024839/ef20051439_ex10-5.htm" TargetMode="External"/><Relationship Id="rId12" Type="http://schemas.openxmlformats.org/officeDocument/2006/relationships/hyperlink" Target="https://www.sec.gov/Archives/edgar/data/1850270/000114036125024839/ef20051439_ex10-6.htm" TargetMode="External"/><Relationship Id="rId13" Type="http://schemas.openxmlformats.org/officeDocument/2006/relationships/hyperlink" Target="https://www.sec.gov/Archives/edgar/data/1850270/000114036125024839/ef20051439_ex10-7.htm" TargetMode="External"/><Relationship Id="rId14" Type="http://schemas.openxmlformats.org/officeDocument/2006/relationships/hyperlink" Target="https://www.sec.gov/Archives/edgar/data/1850270/000119312525158806/d918608dex11.htm" TargetMode="External"/><Relationship Id="rId15" Type="http://schemas.openxmlformats.org/officeDocument/2006/relationships/hyperlink" Target="https://www.sec.gov/Archives/edgar/data/1850270/000119312525158806/d918608dex11.htm" TargetMode="External"/><Relationship Id="rId16" Type="http://schemas.openxmlformats.org/officeDocument/2006/relationships/hyperlink" Target="https://www.sec.gov/Archives/edgar/data/1850270/000119312525158806/d918608dex1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21628</Words>
  <Characters>120483</Characters>
  <CharactersWithSpaces>143337</CharactersWithSpaces>
  <Paragraphs>6222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