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5101x2_424b3_101-cov_pg1"/>
        <w:bookmarkStart w:id="1" w:name="ny20045101x2_424b3.htm"/>
        <w:bookmarkStart w:id="2" w:name="ksny20045101x2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424(b)(3)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333-286278</w:t>
      </w:r>
    </w:p>
    <w:p>
      <w:pPr>
        <w:pStyle w:val="TextBody"/>
        <w:bidi w:val="0"/>
        <w:spacing w:before="1245" w:after="283"/>
        <w:jc w:val="center"/>
        <w:rPr>
          <w:color w:val="000000"/>
        </w:rPr>
      </w:pPr>
      <w:r>
        <w:rPr>
          <w:color w:val="000000"/>
        </w:rPr>
        <w:drawing>
          <wp:inline distT="0" distB="0" distL="0" distR="0">
            <wp:extent cx="27432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76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ANNUAL GENERAL MEETING </w:t>
      </w:r>
    </w:p>
    <w:p>
      <w:pPr>
        <w:pStyle w:val="TextBody"/>
        <w:bidi w:val="0"/>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FOR UP TO 292,707,888 SHARES OF CLASS A COMMON STOCK AND CLASS B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IN EACH CASE OF PROKIDNEY CORP. AFTER ITS DOMESTICATION AS 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CORPORATION INCORPORATED IN THE STATE OF DELAWARE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2000 Frontis Plaza Blvd., Suite 250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Winston-Salem, NC 27103 </w:t>
      </w:r>
    </w:p>
    <w:p>
      <w:pPr>
        <w:pStyle w:val="TextBody"/>
        <w:bidi w:val="0"/>
        <w:spacing w:before="130" w:after="283"/>
        <w:jc w:val="right"/>
        <w:rPr>
          <w:rFonts w:ascii="Times New Roman;Times;serif" w:hAnsi="Times New Roman;Times;serif"/>
          <w:color w:val="000000"/>
          <w:sz w:val="18"/>
        </w:rPr>
      </w:pPr>
      <w:r>
        <w:rPr>
          <w:rFonts w:ascii="Times New Roman;Times;serif" w:hAnsi="Times New Roman;Times;serif"/>
          <w:color w:val="000000"/>
          <w:sz w:val="18"/>
        </w:rPr>
        <w:t xml:space="preserve">April 28, 2025 </w:t>
      </w:r>
    </w:p>
    <w:p>
      <w:pPr>
        <w:pStyle w:val="TextBody"/>
        <w:bidi w:val="0"/>
        <w:spacing w:before="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Fellow Shareholders: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the 2025 annual general meeting (“annual general meeting”) of shareholders of ProKidney Corp., a Cayman Islands exempted company (“ProKidney,” the “Company,” “we,” “us” or “our”), to be held at 399 Boylston Street, Ste. 350, Boston, MA 02116 and virtually via live webcast at 10:00 a.m. Eastern Time on May 29, 2025.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Details regarding the meeting, the business to be conducted at the meeting, and information about ProKidney that you should consider when you vote your shares are described in the accompanying proxy statement/prospectus. </w:t>
      </w:r>
    </w:p>
    <w:p>
      <w:pPr>
        <w:pStyle w:val="TextBody"/>
        <w:bidi w:val="0"/>
        <w:spacing w:before="13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The following is a summary of the proposals to be put to the annual general meeting.</w:t>
      </w:r>
    </w:p>
    <w:p>
      <w:pPr>
        <w:pStyle w:val="TextBody"/>
        <w:bidi w:val="0"/>
        <w:spacing w:before="370" w:after="283"/>
        <w:ind w:left="40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Domestication Proposal. </w:t>
      </w:r>
    </w:p>
    <w:p>
      <w:pPr>
        <w:pStyle w:val="TextBody"/>
        <w:bidi w:val="0"/>
        <w:spacing w:before="120" w:after="283"/>
        <w:ind w:left="0" w:right="0" w:firstLine="400"/>
        <w:jc w:val="left"/>
        <w:rPr/>
      </w:pPr>
      <w:r>
        <w:rPr>
          <w:rFonts w:ascii="Times New Roman;Times;serif" w:hAnsi="Times New Roman;Times;serif"/>
          <w:color w:val="000000"/>
          <w:sz w:val="18"/>
        </w:rPr>
        <w:t>Each of (i) the full board of directors (the “Board”) of ProKidney and (ii) the directors of the Board who do not own Class B ordinary shares (as defined below) unanimously approved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 These separate votes were taken out of an abundance of caution because certain of our directors who own Class B ordinary shares and common units in ProKidney LP might be deemed to have potential interests in the domestication that are different from or in addition to ProKidney’s public shareholders because they are party to the Tax Receivable Agreement entered into in connection with our business combination. See the section entitled “</w:t>
      </w:r>
      <w:r>
        <w:rPr>
          <w:rFonts w:ascii="Times New Roman;Times;serif" w:hAnsi="Times New Roman;Times;serif"/>
          <w:i/>
          <w:color w:val="000000"/>
          <w:sz w:val="18"/>
        </w:rPr>
        <w:t>Interests of Certain Persons in the Domestication</w:t>
      </w:r>
      <w:r>
        <w:rPr>
          <w:rFonts w:ascii="Times New Roman;Times;serif" w:hAnsi="Times New Roman;Times;serif"/>
          <w:color w:val="000000"/>
          <w:sz w:val="18"/>
        </w:rPr>
        <w:t xml:space="preserve">” of the accompanying proxy statement/prospectus on page </w:t>
      </w:r>
      <w:hyperlink w:anchor="tIOC">
        <w:r>
          <w:rPr>
            <w:rStyle w:val="InternetLink"/>
          </w:rPr>
          <w:t>28</w:t>
        </w:r>
      </w:hyperlink>
      <w:r>
        <w:rPr>
          <w:rFonts w:ascii="Times New Roman;Times;serif" w:hAnsi="Times New Roman;Times;serif"/>
          <w:color w:val="000000"/>
          <w:sz w:val="18"/>
        </w:rPr>
        <w:t xml:space="preserve"> for a further discussion of these considerations. The domestication would be effected pursuant to Section 388 of the General Corporation Law of the State of Delaware and Sections 206 and 207 of the Companies Act (as amended) of the Cayman Islands. The continuing entity following the domestication, which we refer to as “ProKidney Delaware,” will continue to be named ProKidney Corp. after the domestication.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As described in this proxy statement/prospectus, ProKidney’s shareholders are being asked to consider and vote to approve the domestication. At the effective time of the domestication, by virtue of the domestication and without any further action on the part of any holder thereof, (i) each Class A ordinary share, par value $0.0001 per share (the “Class A ordinary shares”), issued and outstanding immediately prior to the effective time of the domestication will be automatically converted into one share of Class A common stock, par value $0.0001 per share, of ProKidney Delaware (the “Class A common stock”) and (ii) each Class B ordinary share, par value $0.0001 per share (the “Class B ordinary shares”), issued and outstanding immediately prior to the effective time of the domestication will be automatically converted into one share of Class B common stock, par value $0.0001 per share, of ProKidney Delaware (the “Class B common stock”).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ProKidney’s Class A ordinary shares are currently listed on The Nasdaq Capital Market under the symbol “PROK.” ProKidney Delaware’s Class A common stock will continue to trade under the same symbol following the domestication. There is no public market for our Class B ordinary shares. </w:t>
      </w:r>
    </w:p>
    <w:p>
      <w:pPr>
        <w:pStyle w:val="TextBody"/>
        <w:bidi w:val="0"/>
        <w:spacing w:before="370" w:after="283"/>
        <w:ind w:left="40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New Charter Proposal.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ProKidney’s shareholders will be asked to approve by special resolution the proposed new certificate of incorporation of ProKidney Delaware, a copy of which is attached to the proxy statement/prospectus as Annex B, to be effective at the effective time of the domestication, which will alter the rights of shareholders under ProKidney’s second amended and restated memorandum and articles of association, a copy of which is attached to the proxy statement/prospectus as Annex A (the “new charter proposal”). Approvals of both the domestication proposal and the new charter proposal are required to effect the domestication. The approval of each of the domestication proposal and the new charter proposal is conditioned upon the other proposal being approved. </w:t>
      </w:r>
    </w:p>
    <w:p>
      <w:pPr>
        <w:pStyle w:val="TextBody"/>
        <w:bidi w:val="0"/>
        <w:spacing w:before="370" w:after="283"/>
        <w:ind w:left="40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Advisory Charter Proposals.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ProKidney’s shareholders will be asked to consider and vote upon five separate non-binding, advisory proposals to approve material differences between the current second amended and restated memorandum and articles of association of ProKidney and the proposed new certificate of incorporation of ProKidney Delaware that will become effective at the effective time of the domestication.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This proxy statement/prospectus is dated April 28, 2025, and is first being mailed to ProKidney’s shareholders on or about April 28, 2025. </w:t>
      </w:r>
    </w:p>
    <w:p>
      <w:pPr>
        <w:pStyle w:val="TextBody"/>
        <w:bidi w:val="0"/>
        <w:spacing w:before="130" w:after="283"/>
        <w:jc w:val="right"/>
        <w:rPr>
          <w:rFonts w:ascii="Times New Roman;Times;serif" w:hAnsi="Times New Roman;Times;serif"/>
          <w:i/>
          <w:color w:val="000000"/>
          <w:sz w:val="18"/>
        </w:rPr>
      </w:pPr>
      <w:r>
        <w:rPr>
          <w:rFonts w:ascii="Times New Roman;Times;serif" w:hAnsi="Times New Roman;Times;serif"/>
          <w:i/>
          <w:color w:val="000000"/>
          <w:sz w:val="18"/>
        </w:rPr>
        <w:t xml:space="preserve">Cover continued on next page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45101x2_424b3_101-cov_pg2"/>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Other Annual Meeting Proposals.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ProKidney’s shareholders will be asked to approve by ordinary resolution other proposals at the annual general meeting, including: (i) the election of three director nominees to our Board and (ii) the ratification of the appointment of Ernst &amp; Young LLP as our independent registered public accounting firm for our fiscal year ending December 31, 2025. </w:t>
      </w:r>
    </w:p>
    <w:p>
      <w:pPr>
        <w:pStyle w:val="TextBody"/>
        <w:bidi w:val="0"/>
        <w:spacing w:before="370" w:after="283"/>
        <w:ind w:left="40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The Adjournment Proposal.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ProKidney’s shareholders will be asked 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w:t>
      </w:r>
    </w:p>
    <w:p>
      <w:pPr>
        <w:pStyle w:val="TextBody"/>
        <w:bidi w:val="0"/>
        <w:spacing w:before="120" w:after="283"/>
        <w:ind w:left="0" w:right="0" w:firstLine="400"/>
        <w:jc w:val="left"/>
        <w:rPr/>
      </w:pPr>
      <w:r>
        <w:rPr>
          <w:rFonts w:ascii="Times New Roman;Times;serif" w:hAnsi="Times New Roman;Times;serif"/>
          <w:color w:val="000000"/>
          <w:sz w:val="18"/>
        </w:rPr>
        <w:t>The Board unanimously recommends the approval of each of these proposals. Such other business will be transacted as may properly come before the annual general meeting. This proxy statement/prospectus provides you with detailed information about the domestication and other matters to be considered at the annual general meeting. We urge you to carefully read this entire document and the documents incorporated herein by reference. You should also carefully consider the risk factors described in “</w:t>
      </w:r>
      <w:r>
        <w:rPr>
          <w:rFonts w:ascii="Times New Roman;Times;serif" w:hAnsi="Times New Roman;Times;serif"/>
          <w:i/>
          <w:color w:val="000000"/>
          <w:sz w:val="18"/>
        </w:rPr>
        <w:t>Risk Factors</w:t>
      </w:r>
      <w:r>
        <w:rPr>
          <w:rFonts w:ascii="Times New Roman;Times;serif" w:hAnsi="Times New Roman;Times;serif"/>
          <w:color w:val="000000"/>
          <w:sz w:val="18"/>
        </w:rPr>
        <w:t xml:space="preserve">” beginning on page </w:t>
      </w:r>
      <w:hyperlink w:anchor="tRFS">
        <w:r>
          <w:rPr>
            <w:rStyle w:val="InternetLink"/>
          </w:rPr>
          <w:t>24</w:t>
        </w:r>
      </w:hyperlink>
      <w:r>
        <w:rPr>
          <w:rFonts w:ascii="Times New Roman;Times;serif" w:hAnsi="Times New Roman;Times;serif"/>
          <w:color w:val="000000"/>
          <w:sz w:val="18"/>
        </w:rPr>
        <w:t xml:space="preserve"> of this proxy statement/prospectus. </w:t>
      </w:r>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We hope you will be able to attend the annual general meeting. Whether you plan to attend the annual general meeting or not, it is important that you cast your vote either in person or by proxy. You may vote over the Internet as well as by telephone or by mail. When you have finished reading the proxy statement/prospectus, you are urged to vote in accordance with the instructions set forth in the proxy statement/prospectus. We encourage you to vote by proxy so that your shares will be represented and voted at the meeting, whether or not you can attend. </w:t>
      </w:r>
    </w:p>
    <w:p>
      <w:pPr>
        <w:pStyle w:val="TextBody"/>
        <w:bidi w:val="0"/>
        <w:spacing w:before="13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Thank you for your continued support of ProKidney Corp. </w:t>
      </w:r>
    </w:p>
    <w:tbl>
      <w:tblPr>
        <w:tblW w:w="2150" w:type="dxa"/>
        <w:jc w:val="left"/>
        <w:tblInd w:w="0" w:type="dxa"/>
        <w:tblLayout w:type="fixed"/>
        <w:tblCellMar>
          <w:top w:w="0" w:type="dxa"/>
          <w:left w:w="0" w:type="dxa"/>
          <w:bottom w:w="0" w:type="dxa"/>
          <w:right w:w="0" w:type="dxa"/>
        </w:tblCellMar>
      </w:tblPr>
      <w:tblGrid>
        <w:gridCol w:w="155"/>
        <w:gridCol w:w="140"/>
        <w:gridCol w:w="140"/>
        <w:gridCol w:w="17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57225"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225" cy="609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Bruce Culleton, M.D.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45101x2_424b3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43200"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876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2000 Frontis Plaza Blvd., Suite 250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Winston-Salem, NC 27103 </w:t>
      </w:r>
    </w:p>
    <w:p>
      <w:pPr>
        <w:pStyle w:val="TextBody"/>
        <w:bidi w:val="0"/>
        <w:spacing w:before="16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April 28, 2025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2025 ANNUAL GENERAL MEETING OF SHAREHOLDERS </w:t>
      </w:r>
    </w:p>
    <w:p>
      <w:pPr>
        <w:pStyle w:val="TextBody"/>
        <w:bidi w:val="0"/>
        <w:spacing w:before="2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TIME: 10:00 a.m., Eastern Time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May 29, 2025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PHYSICAL LOCATION: 399 Boylston Street, Ste. 350, Boston, MA 02116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VIRTUAL ACCESS: www.virtualshareholdermeeting.com/PROK2025 </w:t>
      </w:r>
    </w:p>
    <w:p>
      <w:pPr>
        <w:pStyle w:val="TextBody"/>
        <w:bidi w:val="0"/>
        <w:spacing w:before="120" w:after="283"/>
        <w:ind w:left="0" w:right="0" w:firstLine="400"/>
        <w:jc w:val="left"/>
        <w:rPr/>
      </w:pPr>
      <w:r>
        <w:rPr>
          <w:rFonts w:ascii="Times New Roman;Times;serif" w:hAnsi="Times New Roman;Times;serif"/>
          <w:color w:val="000000"/>
          <w:sz w:val="20"/>
        </w:rPr>
        <w:t>This year’s annual general meeting (the “annual general meeting”) will be held on May 29, 2025 at 10:00 a.m., Eastern Time, physically at 399 Boylston Street, Ste. 350, Boston, MA 02116 and virtually via live webcast at www.virtualshareholdermeeting.com/PROK2025 or at such other time, on such other date and at such other place to which the meeting may be adjourned or postponed. For purposes of attendance at the annual general meeting, all references in this proxy statement/prospectus to “present in person” or “in person” shall mean physically or virtually present at the annual general meeting. You will be able to attend the annual general meeting, vote and submit your questions during the meeting by visiting www.proxyvote.com and entering the 16-digit control number included in the proxy card that you receive. For further information about the virtual annual general meeting, please see the section “</w:t>
      </w:r>
      <w:r>
        <w:rPr>
          <w:rFonts w:ascii="Times New Roman;Times;serif" w:hAnsi="Times New Roman;Times;serif"/>
          <w:i/>
          <w:color w:val="000000"/>
          <w:sz w:val="20"/>
        </w:rPr>
        <w:t>Important Information About the Annual Meeting, Voting and the Domestication Proposal</w:t>
      </w:r>
      <w:r>
        <w:rPr>
          <w:rFonts w:ascii="Times New Roman;Times;serif" w:hAnsi="Times New Roman;Times;serif"/>
          <w:color w:val="000000"/>
          <w:sz w:val="20"/>
        </w:rPr>
        <w:t xml:space="preserve">” beginning on page </w:t>
      </w:r>
      <w:hyperlink w:anchor="tIIA">
        <w:r>
          <w:rPr>
            <w:rStyle w:val="InternetLink"/>
            <w:rFonts w:ascii="Times New Roman;Times;serif" w:hAnsi="Times New Roman;Times;serif"/>
            <w:color w:val="000080"/>
            <w:sz w:val="20"/>
          </w:rPr>
          <w:t>3</w:t>
        </w:r>
      </w:hyperlink>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PURPOSES: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approve by special resolution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 </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approve by special resolution the alteration of ProKidney’s second amended and restated memorandum and articles of association, a copy of which is attached to the proxy statement/prospectus as Annex A (the “Existing Organizational Documents”), by replacing the Existing Organizational Documents with, and to approve and adopt, the proposed new certificate of incorporation of the post-domestication company (“ProKidney Delaware”) (the “Proposed Charter”), a copy of which is attached to the proxy statement/prospectus as Annex B, to be effective at the effective time of the domestication (the “new charter proposal”);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upon five separate non-binding, advisory proposals (collectively, the “advisory charter proposals”) to approve by ordinary resolution, the following material differences between the current second amended and restated memorandum and articles of association of ProKidney (the “Existing Organizational Documents”) and the Proposed Charter that will become effective at the effective time of the domestication: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 A—to approve changes in connection with the new charter proposal as part of the domestication, including, among other things, (i) adopting the state and federal courts in the State of Delaware, as applicable, as the exclusive forum for certain stockholder litigation (as more fully set forth in the Proposed Charter) and (ii) renouncing, in the Proposed Charter, any interest or expectancy of ProKidney Delaware in, or in being offered an opportunity to participate in, certain corporate opportunities, subject to certain exceptions; </w:t>
            </w:r>
          </w:p>
        </w:tc>
      </w:tr>
    </w:tbl>
    <w:tbl>
      <w:tblPr>
        <w:tblW w:w="8155" w:type="dxa"/>
        <w:jc w:val="left"/>
        <w:tblInd w:w="0" w:type="dxa"/>
        <w:tblLayout w:type="fixed"/>
        <w:tblCellMar>
          <w:top w:w="0" w:type="dxa"/>
          <w:left w:w="0" w:type="dxa"/>
          <w:bottom w:w="0" w:type="dxa"/>
          <w:right w:w="0" w:type="dxa"/>
        </w:tblCellMar>
      </w:tblPr>
      <w:tblGrid>
        <w:gridCol w:w="170"/>
        <w:gridCol w:w="798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 B—to approve a provision in the Proposed Charter such that, subject to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45101x2_424b3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 Section 242(b)(2) of the General Corporation Law of the State of Delaware, and no vote of the holders of any class of the common stock, Class A common stock, Class B common stock or the preferred stock voting separately as a class will be required therefor;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 C—to approve the provision in the Proposed Charter removing the ability of shareholders to act by written resolution in lieu of a meeting, subject to certain exceptions, as applicable, for the holders of Class B common stock and the holders of one or more series of preferred stock;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 D—to approve a provision to change the authorized share capital of ProKidney from US$100,500 divided into 500,000,000 Class A ordinary shares, 500,000,000 Class B ordinary shares and 5,000,000 preference shares to 700,000,000 shares of Class A common stock, 500,000,000 shares of Class B common stock and 50,000,000 shares of preferred stock;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 E—to approve a provision to require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new bylaws of ProKidney Delaware;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by ordinary resolution the following three director nominees named in this proxy statement/prospectus to serve as Class III directors for three-year terms expiring at the annual general meeting in 2028 and until their successors are duly elected and qualified: Bruce Culleton, M.D., Pablo Legorreta and Uma Sinha, Ph.D.;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by ordinary resolution the appointment of Ernst &amp; Young LLP as our independent registered public accounting firm for the fiscal year ending December 31, 2025;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and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that is properly presented at the annual general meeting and any adjournments or postponements thereof. </w:t>
            </w:r>
          </w:p>
        </w:tc>
      </w:tr>
    </w:tbl>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WHO MAY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vote if you were the record owner of ProKidney Corp. Class A ordinary shares or Class B ordinary shares at the close of business on April 24, 2025. A list of shareholders of record will be available at the annual general meeting and, during the 10 days prior to the annual general meeting, at our principal executive offices located at 2000 Frontis Plaza Blvd, Suite 250, Winston-Salem, North Carolina 27103.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45101x2_424b3_102-notice_pg3"/>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shareholders are cordially invited to attend the annual general meeting. Whether you plan to attend the annual general meeting or not, we urge you to vote and submit your proxy by the Internet, telephone or mail in order to ensure the presence of a quorum. You may change or revoke your proxy at any time before it is voted at the annual general meeting. If you participate in and vote your shares at the annual general meeting, your proxy will not be used.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OUR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/s/ Bruce Culleton, M.D.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Bruce Culleton, M.D.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Winston-Salem, North Carolina</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45101x2_424b3_103-referenc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REFERENCES TO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important business and financial information about ProKidney from other documents that are not included in or delivered with this proxy statement/prospectus. This information is available to you without charge upon your request. You can obtain the documents incorporated by reference into this proxy statement/prospectus free of charge by sending a written request to: ProKidney Corp., Attn: Todd Girolamo, 2000 Frontis Plaza Blvd, Suite 250, Winston-Salem, North Carolina 27103.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that are incorporated by reference into this proxy statement/prospectus, please do so at least five business days before the annual general meeting to be held on May 29, 2025, which is May 21, 2025, in order to receive them before the annual general meeting.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the Notice of 2025 Annual General Meeting of Shareholders, our form of proxy card and our 2024 annual report to shareholders are also available for viewing, printing and downloading at www.proxyvote.com. To view these materials please have your 16-digit control number(s) available that appears on your proxy card. On this website, you can also elect to receive future distributions of our proxy statements and annual reports to shareholders by electronic delivery.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Additionally, you can find a copy of additional information and our Annual Report on Form 10-K, which includes our financial statements for the fiscal year ended December 31, 2024, on the website of the Securities and Exchange Commission (the “SEC”), at www.sec.gov, or in the “SEC Filings” section of the “Investors” section of our website at www.prokidney.com. You may also obtain a printed copy of our Annual Report on Form 10-K, including our financial statements, free of charge, from us by sending a written request to: ProKidney Corp., Attn: Todd Girolamo, 2000 Frontis Plaza Blvd, Suite 250, Winston-Salem, North Carolina 27103 or contact by telephone number at (336) 999-7019. Exhibits to the Annual Report on Form 10-K or any additional documents incorporated by reference into this proxy statement/prospectus will be provided upon written request and payment of an appropriate processing fee. </w:t>
      </w:r>
    </w:p>
    <w:p>
      <w:pPr>
        <w:pStyle w:val="TextBody"/>
        <w:bidi w:val="0"/>
        <w:spacing w:before="120" w:after="283"/>
        <w:ind w:left="0" w:right="0" w:firstLine="400"/>
        <w:jc w:val="left"/>
        <w:rPr/>
      </w:pPr>
      <w:r>
        <w:rPr>
          <w:rFonts w:ascii="Times New Roman;Times;serif" w:hAnsi="Times New Roman;Times;serif"/>
          <w:b/>
          <w:color w:val="000000"/>
          <w:sz w:val="20"/>
        </w:rPr>
        <w:t>For more information, see “</w:t>
      </w:r>
      <w:r>
        <w:rPr>
          <w:rFonts w:ascii="Times New Roman;Times;serif" w:hAnsi="Times New Roman;Times;serif"/>
          <w:b/>
          <w:i/>
          <w:color w:val="000000"/>
          <w:sz w:val="20"/>
        </w:rPr>
        <w:t>Where You Can Find More Information and Incorporation by Reference</w:t>
      </w:r>
      <w:r>
        <w:rPr>
          <w:rFonts w:ascii="Times New Roman;Times;serif" w:hAnsi="Times New Roman;Times;serif"/>
          <w:b/>
          <w:color w:val="000000"/>
          <w:sz w:val="20"/>
        </w:rPr>
        <w:t xml:space="preserve">” beginning on page </w:t>
      </w:r>
      <w:hyperlink w:anchor="tWYC">
        <w:r>
          <w:rPr>
            <w:rStyle w:val="InternetLink"/>
          </w:rPr>
          <w:t>97</w:t>
        </w:r>
      </w:hyperlink>
      <w:r>
        <w:rPr>
          <w:rFonts w:ascii="Times New Roman;Times;serif" w:hAnsi="Times New Roman;Times;serif"/>
          <w:b/>
          <w:color w:val="000000"/>
          <w:sz w:val="20"/>
        </w:rPr>
        <w:t xml:space="preserve"> of this proxy statement/prospectus.</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45101x2_424b3_104-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680"/>
        <w:gridCol w:w="140"/>
        <w:gridCol w:w="140"/>
        <w:gridCol w:w="245"/>
      </w:tblGrid>
      <w:tr>
        <w:trPr/>
        <w:tc>
          <w:tcPr>
            <w:tcW w:w="9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968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1</w:t>
              </w:r>
            </w:hyperlink>
          </w:p>
        </w:tc>
      </w:tr>
      <w:tr>
        <w:trPr/>
        <w:tc>
          <w:tcPr>
            <w:tcW w:w="9680" w:type="dxa"/>
            <w:tcBorders/>
            <w:vAlign w:val="center"/>
          </w:tcPr>
          <w:p>
            <w:pPr>
              <w:pStyle w:val="TableContents"/>
              <w:bidi w:val="0"/>
              <w:spacing w:before="0" w:after="283"/>
              <w:ind w:left="0" w:right="0" w:hanging="0"/>
              <w:jc w:val="left"/>
              <w:rPr/>
            </w:pPr>
            <w:hyperlink w:anchor="tIIA">
              <w:r>
                <w:rPr>
                  <w:rStyle w:val="InternetLink"/>
                  <w:rFonts w:ascii="Times New Roman;Times;serif" w:hAnsi="Times New Roman;Times;serif"/>
                  <w:color w:val="000000"/>
                  <w:sz w:val="20"/>
                </w:rPr>
                <w:t>IMPORTANT INFORMATION ABOUT THE ANNUAL GENERAL MEETING, VOTING AND THE DOMESTICATION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IA">
              <w:r>
                <w:rPr>
                  <w:rStyle w:val="InternetLink"/>
                  <w:rFonts w:ascii="Times New Roman;Times;serif" w:hAnsi="Times New Roman;Times;serif"/>
                  <w:color w:val="000000"/>
                  <w:sz w:val="20"/>
                </w:rPr>
                <w:t>3</w:t>
              </w:r>
            </w:hyperlink>
          </w:p>
        </w:tc>
      </w:tr>
      <w:tr>
        <w:trPr/>
        <w:tc>
          <w:tcPr>
            <w:tcW w:w="9680" w:type="dxa"/>
            <w:tcBorders/>
            <w:shd w:fill="CCEEFF" w:val="clear"/>
            <w:vAlign w:val="center"/>
          </w:tcPr>
          <w:p>
            <w:pPr>
              <w:pStyle w:val="TableContents"/>
              <w:bidi w:val="0"/>
              <w:spacing w:before="0" w:after="283"/>
              <w:ind w:left="0" w:right="0" w:hanging="0"/>
              <w:jc w:val="left"/>
              <w:rPr/>
            </w:pPr>
            <w:hyperlink w:anchor="tSOPS">
              <w:r>
                <w:rPr>
                  <w:rStyle w:val="InternetLink"/>
                  <w:rFonts w:ascii="Times New Roman;Times;serif" w:hAnsi="Times New Roman;Times;serif"/>
                  <w:color w:val="000000"/>
                  <w:sz w:val="20"/>
                </w:rPr>
                <w:t>SUMMARY OF THE PROXY STATEMENT/PROSPECTUS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OPS">
              <w:r>
                <w:rPr>
                  <w:rStyle w:val="InternetLink"/>
                  <w:rFonts w:ascii="Times New Roman;Times;serif" w:hAnsi="Times New Roman;Times;serif"/>
                  <w:color w:val="000000"/>
                  <w:sz w:val="20"/>
                </w:rPr>
                <w:t>15</w:t>
              </w:r>
            </w:hyperlink>
          </w:p>
        </w:tc>
      </w:tr>
      <w:tr>
        <w:trPr/>
        <w:tc>
          <w:tcPr>
            <w:tcW w:w="9680" w:type="dxa"/>
            <w:tcBorders/>
            <w:vAlign w:val="center"/>
          </w:tcPr>
          <w:p>
            <w:pPr>
              <w:pStyle w:val="TableContents"/>
              <w:bidi w:val="0"/>
              <w:spacing w:before="0" w:after="283"/>
              <w:ind w:left="0" w:right="0" w:hanging="0"/>
              <w:jc w:val="left"/>
              <w:rPr/>
            </w:pPr>
            <w:hyperlink w:anchor="tRFS">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S">
              <w:r>
                <w:rPr>
                  <w:rStyle w:val="InternetLink"/>
                  <w:rFonts w:ascii="Times New Roman;Times;serif" w:hAnsi="Times New Roman;Times;serif"/>
                  <w:color w:val="000000"/>
                  <w:sz w:val="20"/>
                </w:rPr>
                <w:t>24</w:t>
              </w:r>
            </w:hyperlink>
          </w:p>
        </w:tc>
      </w:tr>
      <w:tr>
        <w:trPr/>
        <w:tc>
          <w:tcPr>
            <w:tcW w:w="9680"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INTERESTS OF CERTAIN PERSONS IN THE DOMESTICATION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28</w:t>
              </w:r>
            </w:hyperlink>
          </w:p>
        </w:tc>
      </w:tr>
      <w:tr>
        <w:trPr/>
        <w:tc>
          <w:tcPr>
            <w:tcW w:w="968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THE DOMESTICATION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29</w:t>
              </w:r>
            </w:hyperlink>
          </w:p>
        </w:tc>
      </w:tr>
      <w:tr>
        <w:trPr/>
        <w:tc>
          <w:tcPr>
            <w:tcW w:w="968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NEW CHARTER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32</w:t>
              </w:r>
            </w:hyperlink>
          </w:p>
        </w:tc>
      </w:tr>
      <w:tr>
        <w:trPr/>
        <w:tc>
          <w:tcPr>
            <w:tcW w:w="9680"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NO. 3 ADVISORY CHARTER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33</w:t>
              </w:r>
            </w:hyperlink>
          </w:p>
        </w:tc>
      </w:tr>
      <w:tr>
        <w:trPr/>
        <w:tc>
          <w:tcPr>
            <w:tcW w:w="9680" w:type="dxa"/>
            <w:tcBorders/>
            <w:shd w:fill="CCEEFF" w:val="clear"/>
            <w:vAlign w:val="center"/>
          </w:tcPr>
          <w:p>
            <w:pPr>
              <w:pStyle w:val="TableContents"/>
              <w:bidi w:val="0"/>
              <w:spacing w:before="0" w:after="283"/>
              <w:ind w:left="200" w:right="0" w:hanging="0"/>
              <w:jc w:val="left"/>
              <w:rPr/>
            </w:pPr>
            <w:hyperlink w:anchor="tPROP3A">
              <w:r>
                <w:rPr>
                  <w:rStyle w:val="InternetLink"/>
                  <w:rFonts w:ascii="Times New Roman;Times;serif" w:hAnsi="Times New Roman;Times;serif"/>
                  <w:color w:val="000000"/>
                  <w:sz w:val="20"/>
                </w:rPr>
                <w:t>PROPOSAL NO. 3-ADVISORY CHARTER PROPOSAL 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3A">
              <w:r>
                <w:rPr>
                  <w:rStyle w:val="InternetLink"/>
                  <w:rFonts w:ascii="Times New Roman;Times;serif" w:hAnsi="Times New Roman;Times;serif"/>
                  <w:color w:val="000000"/>
                  <w:sz w:val="20"/>
                </w:rPr>
                <w:t>36</w:t>
              </w:r>
            </w:hyperlink>
          </w:p>
        </w:tc>
      </w:tr>
      <w:tr>
        <w:trPr/>
        <w:tc>
          <w:tcPr>
            <w:tcW w:w="9680" w:type="dxa"/>
            <w:tcBorders/>
            <w:vAlign w:val="center"/>
          </w:tcPr>
          <w:p>
            <w:pPr>
              <w:pStyle w:val="TableContents"/>
              <w:bidi w:val="0"/>
              <w:spacing w:before="0" w:after="283"/>
              <w:ind w:left="200" w:right="0" w:hanging="0"/>
              <w:jc w:val="left"/>
              <w:rPr/>
            </w:pPr>
            <w:hyperlink w:anchor="tPROP3B">
              <w:r>
                <w:rPr>
                  <w:rStyle w:val="InternetLink"/>
                  <w:rFonts w:ascii="Times New Roman;Times;serif" w:hAnsi="Times New Roman;Times;serif"/>
                  <w:color w:val="000000"/>
                  <w:sz w:val="20"/>
                </w:rPr>
                <w:t>PROPOSAL NO. 3-ADVISORY CHARTER PROPOSAL 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3B">
              <w:r>
                <w:rPr>
                  <w:rStyle w:val="InternetLink"/>
                  <w:rFonts w:ascii="Times New Roman;Times;serif" w:hAnsi="Times New Roman;Times;serif"/>
                  <w:color w:val="000000"/>
                  <w:sz w:val="20"/>
                </w:rPr>
                <w:t>37</w:t>
              </w:r>
            </w:hyperlink>
          </w:p>
        </w:tc>
      </w:tr>
      <w:tr>
        <w:trPr/>
        <w:tc>
          <w:tcPr>
            <w:tcW w:w="9680" w:type="dxa"/>
            <w:tcBorders/>
            <w:shd w:fill="CCEEFF" w:val="clear"/>
            <w:vAlign w:val="center"/>
          </w:tcPr>
          <w:p>
            <w:pPr>
              <w:pStyle w:val="TableContents"/>
              <w:bidi w:val="0"/>
              <w:spacing w:before="0" w:after="283"/>
              <w:ind w:left="200" w:right="0" w:hanging="0"/>
              <w:jc w:val="left"/>
              <w:rPr/>
            </w:pPr>
            <w:hyperlink w:anchor="tPROP3C">
              <w:r>
                <w:rPr>
                  <w:rStyle w:val="InternetLink"/>
                  <w:rFonts w:ascii="Times New Roman;Times;serif" w:hAnsi="Times New Roman;Times;serif"/>
                  <w:color w:val="000000"/>
                  <w:sz w:val="20"/>
                </w:rPr>
                <w:t>PROPOSAL NO. 3-ADVISORY CHARTER PROPOSAL 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3C">
              <w:r>
                <w:rPr>
                  <w:rStyle w:val="InternetLink"/>
                  <w:rFonts w:ascii="Times New Roman;Times;serif" w:hAnsi="Times New Roman;Times;serif"/>
                  <w:color w:val="000000"/>
                  <w:sz w:val="20"/>
                </w:rPr>
                <w:t>38</w:t>
              </w:r>
            </w:hyperlink>
          </w:p>
        </w:tc>
      </w:tr>
      <w:tr>
        <w:trPr/>
        <w:tc>
          <w:tcPr>
            <w:tcW w:w="9680" w:type="dxa"/>
            <w:tcBorders/>
            <w:vAlign w:val="center"/>
          </w:tcPr>
          <w:p>
            <w:pPr>
              <w:pStyle w:val="TableContents"/>
              <w:bidi w:val="0"/>
              <w:spacing w:before="0" w:after="283"/>
              <w:ind w:left="200" w:right="0" w:hanging="0"/>
              <w:jc w:val="left"/>
              <w:rPr/>
            </w:pPr>
            <w:hyperlink w:anchor="tPROP3D">
              <w:r>
                <w:rPr>
                  <w:rStyle w:val="InternetLink"/>
                  <w:rFonts w:ascii="Times New Roman;Times;serif" w:hAnsi="Times New Roman;Times;serif"/>
                  <w:color w:val="000000"/>
                  <w:sz w:val="20"/>
                </w:rPr>
                <w:t>PROPOSAL NO. 3-ADVISORY CHARTER PROPOSAL 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3D">
              <w:r>
                <w:rPr>
                  <w:rStyle w:val="InternetLink"/>
                  <w:rFonts w:ascii="Times New Roman;Times;serif" w:hAnsi="Times New Roman;Times;serif"/>
                  <w:color w:val="000000"/>
                  <w:sz w:val="20"/>
                </w:rPr>
                <w:t>40</w:t>
              </w:r>
            </w:hyperlink>
          </w:p>
        </w:tc>
      </w:tr>
      <w:tr>
        <w:trPr/>
        <w:tc>
          <w:tcPr>
            <w:tcW w:w="9680" w:type="dxa"/>
            <w:tcBorders/>
            <w:shd w:fill="CCEEFF" w:val="clear"/>
            <w:vAlign w:val="center"/>
          </w:tcPr>
          <w:p>
            <w:pPr>
              <w:pStyle w:val="TableContents"/>
              <w:bidi w:val="0"/>
              <w:spacing w:before="0" w:after="283"/>
              <w:ind w:left="200" w:right="0" w:hanging="0"/>
              <w:jc w:val="left"/>
              <w:rPr/>
            </w:pPr>
            <w:hyperlink w:anchor="tPROP3E">
              <w:r>
                <w:rPr>
                  <w:rStyle w:val="InternetLink"/>
                  <w:rFonts w:ascii="Times New Roman;Times;serif" w:hAnsi="Times New Roman;Times;serif"/>
                  <w:color w:val="000000"/>
                  <w:sz w:val="20"/>
                </w:rPr>
                <w:t>PROPOSAL NO. 3-ADVISORY CHARTER PROPOSAL 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3E">
              <w:r>
                <w:rPr>
                  <w:rStyle w:val="InternetLink"/>
                  <w:rFonts w:ascii="Times New Roman;Times;serif" w:hAnsi="Times New Roman;Times;serif"/>
                  <w:color w:val="000000"/>
                  <w:sz w:val="20"/>
                </w:rPr>
                <w:t>42</w:t>
              </w:r>
            </w:hyperlink>
          </w:p>
        </w:tc>
      </w:tr>
      <w:tr>
        <w:trPr/>
        <w:tc>
          <w:tcPr>
            <w:tcW w:w="9680"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PROPOSAL NO. 4 ELECTION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43</w:t>
              </w:r>
            </w:hyperlink>
          </w:p>
        </w:tc>
      </w:tr>
      <w:tr>
        <w:trPr/>
        <w:tc>
          <w:tcPr>
            <w:tcW w:w="9680" w:type="dxa"/>
            <w:tcBorders/>
            <w:shd w:fill="CCEEFF" w:val="clear"/>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PROPOSAL NO. 5 RATIFICATION OF SELECTION OF INDEPENDENT REGISTERED PUBLIC ACCOUNTING FIRM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44</w:t>
              </w:r>
            </w:hyperlink>
          </w:p>
        </w:tc>
      </w:tr>
      <w:tr>
        <w:trPr/>
        <w:tc>
          <w:tcPr>
            <w:tcW w:w="9680" w:type="dxa"/>
            <w:tcBorders/>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PROPOSAL NO. 6 THE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46</w:t>
              </w:r>
            </w:hyperlink>
          </w:p>
        </w:tc>
      </w:tr>
      <w:tr>
        <w:trPr/>
        <w:tc>
          <w:tcPr>
            <w:tcW w:w="9680" w:type="dxa"/>
            <w:tcBorders/>
            <w:shd w:fill="CCEEFF" w:val="clear"/>
            <w:vAlign w:val="center"/>
          </w:tcPr>
          <w:p>
            <w:pPr>
              <w:pStyle w:val="TableContents"/>
              <w:bidi w:val="0"/>
              <w:spacing w:before="0" w:after="283"/>
              <w:ind w:left="0" w:right="0" w:hanging="0"/>
              <w:jc w:val="left"/>
              <w:rPr/>
            </w:pPr>
            <w:hyperlink w:anchor="tCOC">
              <w:r>
                <w:rPr>
                  <w:rStyle w:val="InternetLink"/>
                  <w:rFonts w:ascii="Times New Roman;Times;serif" w:hAnsi="Times New Roman;Times;serif"/>
                  <w:color w:val="000000"/>
                  <w:sz w:val="20"/>
                </w:rPr>
                <w:t>COMPARISON OF CORPORATE GOVERNANCE AND SHAREHOLDER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OC">
              <w:r>
                <w:rPr>
                  <w:rStyle w:val="InternetLink"/>
                  <w:rFonts w:ascii="Times New Roman;Times;serif" w:hAnsi="Times New Roman;Times;serif"/>
                  <w:color w:val="000000"/>
                  <w:sz w:val="20"/>
                </w:rPr>
                <w:t>47</w:t>
              </w:r>
            </w:hyperlink>
          </w:p>
        </w:tc>
      </w:tr>
      <w:tr>
        <w:trPr/>
        <w:tc>
          <w:tcPr>
            <w:tcW w:w="9680" w:type="dxa"/>
            <w:tcBorders/>
            <w:vAlign w:val="center"/>
          </w:tcPr>
          <w:p>
            <w:pPr>
              <w:pStyle w:val="TableContents"/>
              <w:bidi w:val="0"/>
              <w:spacing w:before="0" w:after="283"/>
              <w:ind w:left="0" w:right="0" w:hanging="0"/>
              <w:jc w:val="left"/>
              <w:rPr/>
            </w:pPr>
            <w:hyperlink w:anchor="tMAC">
              <w:r>
                <w:rPr>
                  <w:rStyle w:val="InternetLink"/>
                  <w:rFonts w:ascii="Times New Roman;Times;serif" w:hAnsi="Times New Roman;Times;serif"/>
                  <w:color w:val="000000"/>
                  <w:sz w:val="20"/>
                </w:rPr>
                <w:t>MANAGEMENT AND CORPORATE GOVERNANCE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MAC">
              <w:r>
                <w:rPr>
                  <w:rStyle w:val="InternetLink"/>
                  <w:rFonts w:ascii="Times New Roman;Times;serif" w:hAnsi="Times New Roman;Times;serif"/>
                  <w:color w:val="000000"/>
                  <w:sz w:val="20"/>
                </w:rPr>
                <w:t>53</w:t>
              </w:r>
            </w:hyperlink>
          </w:p>
        </w:tc>
      </w:tr>
      <w:tr>
        <w:trPr/>
        <w:tc>
          <w:tcPr>
            <w:tcW w:w="9680"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63</w:t>
              </w:r>
            </w:hyperlink>
          </w:p>
        </w:tc>
      </w:tr>
      <w:tr>
        <w:trPr/>
        <w:tc>
          <w:tcPr>
            <w:tcW w:w="9680" w:type="dxa"/>
            <w:tcBorders/>
            <w:vAlign w:val="center"/>
          </w:tcPr>
          <w:p>
            <w:pPr>
              <w:pStyle w:val="TableContents"/>
              <w:bidi w:val="0"/>
              <w:spacing w:before="0" w:after="283"/>
              <w:ind w:left="0" w:right="0" w:hanging="0"/>
              <w:jc w:val="left"/>
              <w:rPr/>
            </w:pPr>
            <w:hyperlink w:anchor="tECP">
              <w:r>
                <w:rPr>
                  <w:rStyle w:val="InternetLink"/>
                  <w:rFonts w:ascii="Times New Roman;Times;serif" w:hAnsi="Times New Roman;Times;serif"/>
                  <w:color w:val="000000"/>
                  <w:sz w:val="20"/>
                </w:rPr>
                <w:t>EQUITY COMPENSATION PLAN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CP">
              <w:r>
                <w:rPr>
                  <w:rStyle w:val="InternetLink"/>
                  <w:rFonts w:ascii="Times New Roman;Times;serif" w:hAnsi="Times New Roman;Times;serif"/>
                  <w:color w:val="000000"/>
                  <w:sz w:val="20"/>
                </w:rPr>
                <w:t>70</w:t>
              </w:r>
            </w:hyperlink>
          </w:p>
        </w:tc>
      </w:tr>
      <w:tr>
        <w:trPr/>
        <w:tc>
          <w:tcPr>
            <w:tcW w:w="9680" w:type="dxa"/>
            <w:tcBorders/>
            <w:shd w:fill="CCEEFF" w:val="clear"/>
            <w:vAlign w:val="center"/>
          </w:tcPr>
          <w:p>
            <w:pPr>
              <w:pStyle w:val="TableContents"/>
              <w:bidi w:val="0"/>
              <w:spacing w:before="0" w:after="283"/>
              <w:ind w:left="0" w:right="0" w:hanging="0"/>
              <w:jc w:val="left"/>
              <w:rPr/>
            </w:pPr>
            <w:hyperlink w:anchor="tROA">
              <w:r>
                <w:rPr>
                  <w:rStyle w:val="InternetLink"/>
                  <w:rFonts w:ascii="Times New Roman;Times;serif" w:hAnsi="Times New Roman;Times;serif"/>
                  <w:color w:val="000000"/>
                  <w:sz w:val="20"/>
                </w:rPr>
                <w:t>REPORT OF AUDIT COMMITTEE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OA">
              <w:r>
                <w:rPr>
                  <w:rStyle w:val="InternetLink"/>
                  <w:rFonts w:ascii="Times New Roman;Times;serif" w:hAnsi="Times New Roman;Times;serif"/>
                  <w:color w:val="000000"/>
                  <w:sz w:val="20"/>
                </w:rPr>
                <w:t>71</w:t>
              </w:r>
            </w:hyperlink>
          </w:p>
        </w:tc>
      </w:tr>
      <w:tr>
        <w:trPr/>
        <w:tc>
          <w:tcPr>
            <w:tcW w:w="9680" w:type="dxa"/>
            <w:tcBorders/>
            <w:vAlign w:val="center"/>
          </w:tcPr>
          <w:p>
            <w:pPr>
              <w:pStyle w:val="TableContents"/>
              <w:bidi w:val="0"/>
              <w:spacing w:before="0" w:after="283"/>
              <w:ind w:left="0" w:right="0" w:hanging="0"/>
              <w:jc w:val="left"/>
              <w:rPr/>
            </w:pPr>
            <w:hyperlink w:anchor="tSO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OOC">
              <w:r>
                <w:rPr>
                  <w:rStyle w:val="InternetLink"/>
                  <w:rFonts w:ascii="Times New Roman;Times;serif" w:hAnsi="Times New Roman;Times;serif"/>
                  <w:color w:val="000000"/>
                  <w:sz w:val="20"/>
                </w:rPr>
                <w:t>72</w:t>
              </w:r>
            </w:hyperlink>
          </w:p>
        </w:tc>
      </w:tr>
      <w:tr>
        <w:trPr/>
        <w:tc>
          <w:tcPr>
            <w:tcW w:w="9680" w:type="dxa"/>
            <w:tcBorders/>
            <w:shd w:fill="CCEEFF" w:val="clear"/>
            <w:vAlign w:val="center"/>
          </w:tcPr>
          <w:p>
            <w:pPr>
              <w:pStyle w:val="TableContents"/>
              <w:bidi w:val="0"/>
              <w:spacing w:before="0" w:after="283"/>
              <w:ind w:left="0" w:right="0" w:hanging="0"/>
              <w:jc w:val="left"/>
              <w:rPr/>
            </w:pPr>
            <w:hyperlink w:anchor="tCRAR">
              <w:r>
                <w:rPr>
                  <w:rStyle w:val="InternetLink"/>
                  <w:rFonts w:ascii="Times New Roman;Times;serif" w:hAnsi="Times New Roman;Times;serif"/>
                  <w:color w:val="000000"/>
                  <w:sz w:val="20"/>
                </w:rPr>
                <w:t>CERTAIN RELATIONSHIPS AND RELATED PERSON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RAR">
              <w:r>
                <w:rPr>
                  <w:rStyle w:val="InternetLink"/>
                  <w:rFonts w:ascii="Times New Roman;Times;serif" w:hAnsi="Times New Roman;Times;serif"/>
                  <w:color w:val="000000"/>
                  <w:sz w:val="20"/>
                </w:rPr>
                <w:t>74</w:t>
              </w:r>
            </w:hyperlink>
          </w:p>
        </w:tc>
      </w:tr>
      <w:tr>
        <w:trPr/>
        <w:tc>
          <w:tcPr>
            <w:tcW w:w="9680" w:type="dxa"/>
            <w:tcBorders/>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DESCRIPTION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78</w:t>
              </w:r>
            </w:hyperlink>
          </w:p>
        </w:tc>
      </w:tr>
      <w:tr>
        <w:trPr/>
        <w:tc>
          <w:tcPr>
            <w:tcW w:w="9680"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MATERIAL U.S. FEDERAL INCOME TAX CONSIDERATIONS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84</w:t>
              </w:r>
            </w:hyperlink>
          </w:p>
        </w:tc>
      </w:tr>
      <w:tr>
        <w:trPr/>
        <w:tc>
          <w:tcPr>
            <w:tcW w:w="9680" w:type="dxa"/>
            <w:tcBorders/>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92</w:t>
              </w:r>
            </w:hyperlink>
          </w:p>
        </w:tc>
      </w:tr>
      <w:tr>
        <w:trPr/>
        <w:tc>
          <w:tcPr>
            <w:tcW w:w="9680" w:type="dxa"/>
            <w:tcBorders/>
            <w:shd w:fill="CCEEFF" w:val="clear"/>
            <w:vAlign w:val="center"/>
          </w:tcPr>
          <w:p>
            <w:pPr>
              <w:pStyle w:val="TableContents"/>
              <w:bidi w:val="0"/>
              <w:spacing w:before="0" w:after="283"/>
              <w:ind w:left="0" w:right="0" w:hanging="0"/>
              <w:jc w:val="left"/>
              <w:rPr/>
            </w:pPr>
            <w:hyperlink w:anchor="tSNAP">
              <w:r>
                <w:rPr>
                  <w:rStyle w:val="InternetLink"/>
                  <w:rFonts w:ascii="Times New Roman;Times;serif" w:hAnsi="Times New Roman;Times;serif"/>
                  <w:color w:val="000000"/>
                  <w:sz w:val="20"/>
                </w:rPr>
                <w:t>STOCKHOLDER NOMINATIONS AND PROPOSALS OF PROKIDNEY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NAP">
              <w:r>
                <w:rPr>
                  <w:rStyle w:val="InternetLink"/>
                  <w:rFonts w:ascii="Times New Roman;Times;serif" w:hAnsi="Times New Roman;Times;serif"/>
                  <w:color w:val="000000"/>
                  <w:sz w:val="20"/>
                </w:rPr>
                <w:t>92</w:t>
              </w:r>
            </w:hyperlink>
          </w:p>
        </w:tc>
      </w:tr>
      <w:tr>
        <w:trPr/>
        <w:tc>
          <w:tcPr>
            <w:tcW w:w="9680" w:type="dxa"/>
            <w:tcBorders/>
            <w:vAlign w:val="center"/>
          </w:tcPr>
          <w:p>
            <w:pPr>
              <w:pStyle w:val="TableContents"/>
              <w:bidi w:val="0"/>
              <w:spacing w:before="0" w:after="283"/>
              <w:ind w:left="0" w:right="0" w:hanging="0"/>
              <w:jc w:val="left"/>
              <w:rPr/>
            </w:pPr>
            <w:hyperlink w:anchor="tSNAPD">
              <w:r>
                <w:rPr>
                  <w:rStyle w:val="InternetLink"/>
                  <w:rFonts w:ascii="Times New Roman;Times;serif" w:hAnsi="Times New Roman;Times;serif"/>
                  <w:color w:val="000000"/>
                  <w:sz w:val="20"/>
                </w:rPr>
                <w:t>STOCKHOLDER NOMINATIONS AND PROPOSALS OF PROKIDNEY DELAWARE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NAPD">
              <w:r>
                <w:rPr>
                  <w:rStyle w:val="InternetLink"/>
                  <w:rFonts w:ascii="Times New Roman;Times;serif" w:hAnsi="Times New Roman;Times;serif"/>
                  <w:color w:val="000000"/>
                  <w:sz w:val="20"/>
                </w:rPr>
                <w:t>92</w:t>
              </w:r>
            </w:hyperlink>
          </w:p>
        </w:tc>
      </w:tr>
      <w:tr>
        <w:trPr/>
        <w:tc>
          <w:tcPr>
            <w:tcW w:w="9680" w:type="dxa"/>
            <w:tcBorders/>
            <w:shd w:fill="CCEEFF" w:val="clear"/>
            <w:vAlign w:val="center"/>
          </w:tcPr>
          <w:p>
            <w:pPr>
              <w:pStyle w:val="TableContents"/>
              <w:bidi w:val="0"/>
              <w:spacing w:before="0" w:after="283"/>
              <w:ind w:left="0" w:right="0" w:hanging="0"/>
              <w:jc w:val="left"/>
              <w:rPr/>
            </w:pPr>
            <w:hyperlink w:anchor="tSC">
              <w:r>
                <w:rPr>
                  <w:rStyle w:val="InternetLink"/>
                  <w:rFonts w:ascii="Times New Roman;Times;serif" w:hAnsi="Times New Roman;Times;serif"/>
                  <w:color w:val="000000"/>
                  <w:sz w:val="20"/>
                </w:rPr>
                <w:t>SHAREHOLDER COMMUNICATIONS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C">
              <w:r>
                <w:rPr>
                  <w:rStyle w:val="InternetLink"/>
                  <w:rFonts w:ascii="Times New Roman;Times;serif" w:hAnsi="Times New Roman;Times;serif"/>
                  <w:color w:val="000000"/>
                  <w:sz w:val="20"/>
                </w:rPr>
                <w:t>95</w:t>
              </w:r>
            </w:hyperlink>
          </w:p>
        </w:tc>
      </w:tr>
      <w:tr>
        <w:trPr/>
        <w:tc>
          <w:tcPr>
            <w:tcW w:w="968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96</w:t>
              </w:r>
            </w:hyperlink>
          </w:p>
        </w:tc>
      </w:tr>
      <w:tr>
        <w:trPr/>
        <w:tc>
          <w:tcPr>
            <w:tcW w:w="968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96</w:t>
              </w:r>
            </w:hyperlink>
          </w:p>
        </w:tc>
      </w:tr>
      <w:tr>
        <w:trPr/>
        <w:tc>
          <w:tcPr>
            <w:tcW w:w="968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 INCORPORATION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97</w:t>
              </w:r>
            </w:hyperlink>
          </w:p>
        </w:tc>
      </w:tr>
      <w:tr>
        <w:trPr/>
        <w:tc>
          <w:tcPr>
            <w:tcW w:w="9680" w:type="dxa"/>
            <w:tcBorders/>
            <w:shd w:fill="CCEEFF" w:val="clear"/>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DELINQUENT SECTION 16(A) REPORTS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98</w:t>
              </w:r>
            </w:hyperlink>
          </w:p>
        </w:tc>
      </w:tr>
      <w:tr>
        <w:trPr/>
        <w:tc>
          <w:tcPr>
            <w:tcW w:w="9680" w:type="dxa"/>
            <w:tcBorders/>
            <w:vAlign w:val="center"/>
          </w:tcPr>
          <w:p>
            <w:pPr>
              <w:pStyle w:val="TableContents"/>
              <w:bidi w:val="0"/>
              <w:spacing w:before="0" w:after="283"/>
              <w:ind w:left="0" w:right="0" w:hanging="0"/>
              <w:jc w:val="left"/>
              <w:rPr/>
            </w:pPr>
            <w:hyperlink w:anchor="tCOE">
              <w:r>
                <w:rPr>
                  <w:rStyle w:val="InternetLink"/>
                  <w:rFonts w:ascii="Times New Roman;Times;serif" w:hAnsi="Times New Roman;Times;serif"/>
                  <w:color w:val="000000"/>
                  <w:sz w:val="20"/>
                </w:rPr>
                <w:t>CODE OF ETHICS AND BUSINESS CONDUCT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OE">
              <w:r>
                <w:rPr>
                  <w:rStyle w:val="InternetLink"/>
                  <w:rFonts w:ascii="Times New Roman;Times;serif" w:hAnsi="Times New Roman;Times;serif"/>
                  <w:color w:val="000000"/>
                  <w:sz w:val="20"/>
                </w:rPr>
                <w:t>98</w:t>
              </w:r>
            </w:hyperlink>
          </w:p>
        </w:tc>
      </w:tr>
      <w:tr>
        <w:trPr/>
        <w:tc>
          <w:tcPr>
            <w:tcW w:w="968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98</w:t>
              </w:r>
            </w:hyperlink>
          </w:p>
        </w:tc>
      </w:tr>
      <w:tr>
        <w:trPr/>
        <w:tc>
          <w:tcPr>
            <w:tcW w:w="9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45101x2_424b3_105-fls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FLS"/>
      <w:bookmarkEnd w:id="12"/>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included in this proxy statement/prospectus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 </w:t>
      </w:r>
    </w:p>
    <w:tbl>
      <w:tblPr>
        <w:tblW w:w="8815" w:type="dxa"/>
        <w:jc w:val="left"/>
        <w:tblInd w:w="0" w:type="dxa"/>
        <w:tblLayout w:type="fixed"/>
        <w:tblCellMar>
          <w:top w:w="0" w:type="dxa"/>
          <w:left w:w="0" w:type="dxa"/>
          <w:bottom w:w="0" w:type="dxa"/>
          <w:right w:w="0" w:type="dxa"/>
        </w:tblCellMar>
      </w:tblPr>
      <w:tblGrid>
        <w:gridCol w:w="110"/>
        <w:gridCol w:w="8705"/>
      </w:tblGrid>
      <w:tr>
        <w:trPr/>
        <w:tc>
          <w:tcPr>
            <w:tcW w:w="11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Class A ordinary shares on the Nasdaq Capital Market (“Nasdaq”); </w:t>
            </w:r>
          </w:p>
        </w:tc>
      </w:tr>
    </w:tbl>
    <w:tbl>
      <w:tblPr>
        <w:tblW w:w="3820" w:type="dxa"/>
        <w:jc w:val="left"/>
        <w:tblInd w:w="0" w:type="dxa"/>
        <w:tblLayout w:type="fixed"/>
        <w:tblCellMar>
          <w:top w:w="0" w:type="dxa"/>
          <w:left w:w="0" w:type="dxa"/>
          <w:bottom w:w="0" w:type="dxa"/>
          <w:right w:w="0" w:type="dxa"/>
        </w:tblCellMar>
      </w:tblPr>
      <w:tblGrid>
        <w:gridCol w:w="110"/>
        <w:gridCol w:w="3710"/>
      </w:tblGrid>
      <w:tr>
        <w:trPr/>
        <w:tc>
          <w:tcPr>
            <w:tcW w:w="11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manage our growth effectively;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 cost and timing of our product development activities;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attributes and benefits of our product candidates, and if approved, our products;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manufacture rilparencel, our lead product candidate;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regulatory approval for our products, and any related restrictions and limitations of any approved product;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identify, in-license or acquire additional technology;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our existing license, manufacturing and supply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reliance on third parties to conduct, supervise and monitor a certain portion of our research and nonclinical testing and clinical trials for rilparencel;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compete with other companies currently marketing or engaged in the biologics market and in the area of treatment of kidney disease, many of which have greater financial and marketing resources than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size and growth potential of the markets for our products, and the ability of each to serve those markets, either alone or in partnership with others;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applicable laws or regulations;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estimates regarding expenses, revenue, capital requirements and needs for additional financing;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raise financing in the future;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financial performance; </w:t>
            </w:r>
          </w:p>
        </w:tc>
      </w:tr>
    </w:tbl>
    <w:tbl>
      <w:tblPr>
        <w:tblW w:w="2725" w:type="dxa"/>
        <w:jc w:val="left"/>
        <w:tblInd w:w="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intellectual property rights; </w:t>
            </w:r>
          </w:p>
        </w:tc>
      </w:tr>
    </w:tbl>
    <w:tbl>
      <w:tblPr>
        <w:tblW w:w="4345" w:type="dxa"/>
        <w:jc w:val="left"/>
        <w:tblInd w:w="0" w:type="dxa"/>
        <w:tblLayout w:type="fixed"/>
        <w:tblCellMar>
          <w:top w:w="0" w:type="dxa"/>
          <w:left w:w="0" w:type="dxa"/>
          <w:bottom w:w="0" w:type="dxa"/>
          <w:right w:w="0" w:type="dxa"/>
        </w:tblCellMar>
      </w:tblPr>
      <w:tblGrid>
        <w:gridCol w:w="110"/>
        <w:gridCol w:w="4235"/>
      </w:tblGrid>
      <w:tr>
        <w:trPr/>
        <w:tc>
          <w:tcPr>
            <w:tcW w:w="11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security breaches with respect to computer systems;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economic downturns and political and market conditions beyond our control; </w:t>
            </w:r>
          </w:p>
        </w:tc>
      </w:tr>
    </w:tbl>
    <w:tbl>
      <w:tblPr>
        <w:tblW w:w="4750" w:type="dxa"/>
        <w:jc w:val="left"/>
        <w:tblInd w:w="0" w:type="dxa"/>
        <w:tblLayout w:type="fixed"/>
        <w:tblCellMar>
          <w:top w:w="0" w:type="dxa"/>
          <w:left w:w="0" w:type="dxa"/>
          <w:bottom w:w="0" w:type="dxa"/>
          <w:right w:w="0" w:type="dxa"/>
        </w:tblCellMar>
      </w:tblPr>
      <w:tblGrid>
        <w:gridCol w:w="110"/>
        <w:gridCol w:w="4640"/>
      </w:tblGrid>
      <w:tr>
        <w:trPr/>
        <w:tc>
          <w:tcPr>
            <w:tcW w:w="11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use of proceeds from this offering,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the required shareholder vote to adopt the domestication proposal (as defined below) at the annual general meeting;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satisfaction of other conditions to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take advantage of the potential strategic opportunities provided by, and realize the potential benefits of, the domestication;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rights as a shareholder will change as a result of the domestication;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45101x2_424b3_105-fls_pg2"/>
        <w:bookmarkEnd w:id="13"/>
        <w:r>
          <w:rPr>
            <w:rStyle w:val="InternetLink"/>
            <w:rFonts w:ascii="Times New Roman;Times;Serif" w:hAnsi="Times New Roman;Times;Serif"/>
            <w:b/>
            <w:caps w:val="false"/>
            <w:smallCaps w:val="false"/>
            <w:color w:val="000000"/>
            <w:sz w:val="16"/>
          </w:rPr>
          <w:t>TABLE OF CONTENTS</w:t>
        </w:r>
      </w:hyperlink>
    </w:p>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domestication disrupts current plans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shareholders may recognize gain or other income with respect to their shares at the effective time of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anti-takeover provisions in our Proposed Organizational Documents (as defined below) and under Delaware law could make an acquisition of us more difficult and limit attempts by our shareholders to replace or remove our current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Organizational Documents designate the state courts in the State of Delaware or, if no state court located within the State of Delaware has jurisdiction, the federal court for the District of Delaware, as the sole and exclusive forum for certain types of actions and proceedings that may be initiated by our shareholders, which could discourage lawsuits against us and our directors and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even if the domestication qualifies as a reorganization under Section 368(a) of the Internal Revenue Code of 1986, as amended (the “Code”), a U.S. shareholder may still recognize gain or other income with respect to their shares at the effective time of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likely to be treated as a passive foreign investment company (“PFIC”) which could result in adverse United States federal income tax consequences to U.S. investors;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transaction costs in connection with the completion of the domestication and related transactions, some of which will be incurred whether or not the domestication is completed; and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choose to or need to defer the domestication, or we may abandon the domestication.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proxy statement/prospectus and the information incorporated by reference herein, particularly in the “Risk Factors” sections of this proxy statement/prospectus and of our Annual Report on Form 10-K for the year ended December 31, 2024, which is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this proxy statement/prospectus and the information incorporated by reference herein completely and with the understanding that our actual future results may be materially different from what we expect. Any forward-looking statement speaks only as of the date of this proxy statement/prospectus. We do not assume any obligation to update any forward-looking statements, whether as a result of new information, future events or otherwise, except as required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45101x2_424b3_106-imp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IIA"/>
      <w:bookmarkEnd w:id="15"/>
      <w:r>
        <w:rPr>
          <w:rFonts w:ascii="Times New Roman;Times;serif" w:hAnsi="Times New Roman;Times;serif"/>
          <w:b/>
          <w:color w:val="000000"/>
          <w:sz w:val="20"/>
        </w:rPr>
        <w:t xml:space="preserve">IMPORTANT INFORMATION ABOUT THE ANNUAL GENERAL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VOTING AND THE DOMESTICATION PROPOSAL</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Company soliciting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of ProKidney Corp., a Cayman Islands exempted company (“ProKidney,” the “Company,” “we,” “us” or “our”) is soliciting your proxy to vote at the 2025 annual general meeting of shareholders (the “annual general meeting”) to be held physically at 399 Boylston Street, Ste. 350, Boston, MA 02116 and virtually via live webcast at www.virtualshareholdermeeting.com/PROK2025, on May 29, 2025, at 10:00 a.m., Eastern Time and any adjournments or postponements of the meeting. This proxy statement/prospectus, along with the accompanying Notice of 2025 Annual General Meeting of Shareholders, summarizes the purposes of the meeting and the information you need to know to vote at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made available to you on the Internet and have sent you this proxy statement/prospectus, the Notice of 2025 Annual General Meeting of Shareholders, the proxy card and a copy of our Annual Report on Form 10-K for the fiscal year ended December 31, 2024 because you owned ProKidney’s Class A ordinary shares, par value $0.0001 per share (the “Class A ordinary shares”), or Class B ordinary shares, par value $0.0001 per share (the “Class B ordinary shares”, and together with the Class A ordinary shares, the “existing ordinary shares”) at the close of business on April 24, 2025 (the “record date”). We intend to commence distribution of proxy materials to shareholders on or about April 28,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ProKidney proposing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seeking approval of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 as discussed in greater detail in the section entitled “</w:t>
      </w:r>
      <w:r>
        <w:rPr>
          <w:rFonts w:ascii="Times New Roman;Times;serif" w:hAnsi="Times New Roman;Times;serif"/>
          <w:i/>
          <w:color w:val="000000"/>
          <w:sz w:val="20"/>
        </w:rPr>
        <w:t>Proposal No.1 The Domestication Proposal—Reasons for the Domestication</w:t>
      </w:r>
      <w:r>
        <w:rPr>
          <w:rFonts w:ascii="Times New Roman;Times;serif" w:hAnsi="Times New Roman;Times;serif"/>
          <w:color w:val="000000"/>
          <w:sz w:val="20"/>
        </w:rPr>
        <w:t>.” Our Board believes that there are significant advantages to the domestication that will arise as a result of a change of domicile to Delaware and that any direct benefit that Delaware law provides to a corporation also indirectly benefits the shareholders, who are the owners of the corporation. Specifically, our Board believes that there are several reasons why a domestication from the Cayman Islands to Delaware is in the best interests of the Company and its shareholders, including, (i) the prominence, predictability and flexibility of Delaware law, (ii) Delaware’s well-established principles of corporate governance, (iii) the increased ability for Delaware corporations to attract and retain qualified directors, (iv) reduce the need for related party arrangements as required by global transfer pricing rules, and (v) the mitigation of certain tax inefficiencies that would result if ProKidney were to conduct a U.S. operating business as a foreign corporation, each of foregoing as discussed in greater detail in the section entitled “</w:t>
      </w:r>
      <w:r>
        <w:rPr>
          <w:rFonts w:ascii="Times New Roman;Times;serif" w:hAnsi="Times New Roman;Times;serif"/>
          <w:i/>
          <w:color w:val="000000"/>
          <w:sz w:val="20"/>
        </w:rPr>
        <w:t>Proposal No.1 The Domestication Proposal—Reasons for the Domestication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effect the domestication, upon approval of the domestication proposal and the new charter proposal (as defined below), ProKidney will file an application for deregistration with the Cayman Islands Registrar of Companies, together with the necessary accompanying documents and fees, and will file the Proposed Charter (as defined below) and the certificate of corporate domestication (the “Certificate of Corporate Domestication”), a copy of which is attached to the proxy statement/prospectus as Annex D, with the Secretary of State of the State of Delaware, pursuant to which ProKidney will be domesticated and continue as a Delaware corporation (the post-domestication company,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domestication proposal requires a special resolution under the Companies Act (as amended) of the Cayman Islands (the “Cayman Islands Companies Act”) and the Company’s second amended and restated memorandum and articles, being the affirmative vote of the holders of at least two-thirds of the Class A and Class B ordinary shares, voting as a single class, represented in person or by proxy, entitled to vote at the annual general meeting and who vote at the annual general meeting. Abstentions and broker non-votes, while considered present for the purposes of establishing a quorum, will not count as a vote cast at the annual general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45101x2_424b3_106-imp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conduct our operating business indirectly through ProKidney LP (“PKLP”), a limited partnership organized under the laws of Ireland of which we are a limited partner, and its subsidiaries. Certain restructuring transactions are also intended to occur around the time of the domestication as follows (such transactions, together with the domestication, the “Restructuring”): (i) prior to the domestication, PKLP will contribute substantially all of its assets to a newly formed subsidiary, ProKidney Holdings, LLC, a Delaware limited liability company (“ProKidney Holdings”), and PKLP will then make a liquidating distribution of its limited liability company interests in ProKidney Holdings to its partners, including the Company, (ii) assuming the domestication proposal and the new charter proposal (as defined below) are approved, the domestication will be consummated, and (iii) following the domestication, ProKidney a wholly owned subsidiary of ProKidney Holdings and a Cayman Islands exempted company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Delaware limited liability company expected to be named ProKidney IPCo, LLC (“ProKidney IPCo”).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amendments will be made to the Existing Organizational Documents of ProKidney?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will be asked to approve by special resolution the alteration of ProKidney’s second amended and restated memorandum and articles of association, a copy of which is attached to the proxy statement/prospectus as Annex A (the “Existing Organizational Documents”), by replacing the Existing Organizational Documents with, and approving and adopting, the proposed new certificate of incorporation of ProKidney Delaware (the “Proposed Charter”), a copy of which is attached to the proxy statement/prospectus as Annex B, to be effective at the effective time of the domestication (the “new charter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new charter proposal is approved and the domestication is to be effected, the Existing Organizational Documents will be altered and replaced in full with the Proposed Charter and the proposed new bylaws of ProKidney Delaware, a copy of which is attached to the proxy statement/prospectus as Annex C (the “Proposed Bylaws” and, together with the Proposed Charter, the “Proposed Organizational Documents”) in full. The Proposed Organizational Documents will become the organizational documents of ProKidney Delaware at the effective time of the domestication, in each case, under the General Corporation Law of the State of Delaware (the “DGCL”). The approvals of both the domestication proposal and the new charter proposal are required to effect the domestication. Each of the domestication proposal and the new charter proposal is conditioned upon the approval of the other proposal to effect the domestication. ProKidney’s shareholders are being asked to consider and vote upon five separate advisory and non-binding proposals (collectively, the “advisory charter proposals”) with respect to the material differences between the Existing Organizational Documents and the Proposed Charter that will become effective at the effective time of the domestication in the following respects: </w:t>
      </w:r>
    </w:p>
    <w:tbl>
      <w:tblPr>
        <w:tblW w:w="10205" w:type="dxa"/>
        <w:jc w:val="left"/>
        <w:tblInd w:w="0" w:type="dxa"/>
        <w:tblLayout w:type="fixed"/>
        <w:tblCellMar>
          <w:top w:w="0" w:type="dxa"/>
          <w:left w:w="0" w:type="dxa"/>
          <w:bottom w:w="0" w:type="dxa"/>
          <w:right w:w="0" w:type="dxa"/>
        </w:tblCellMar>
      </w:tblPr>
      <w:tblGrid>
        <w:gridCol w:w="1359"/>
        <w:gridCol w:w="140"/>
        <w:gridCol w:w="140"/>
        <w:gridCol w:w="4136"/>
        <w:gridCol w:w="140"/>
        <w:gridCol w:w="140"/>
        <w:gridCol w:w="4150"/>
      </w:tblGrid>
      <w:tr>
        <w:trPr/>
        <w:tc>
          <w:tcPr>
            <w:tcW w:w="13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0" w:type="dxa"/>
            <w:tcBorders/>
            <w:vAlign w:val="center"/>
          </w:tcPr>
          <w:p>
            <w:pPr>
              <w:pStyle w:val="TableContents"/>
              <w:bidi w:val="0"/>
              <w:spacing w:before="0" w:after="0"/>
              <w:jc w:val="left"/>
              <w:rPr/>
            </w:pPr>
            <w:r>
              <w:rPr/>
              <w:t> </w:t>
            </w:r>
          </w:p>
        </w:tc>
      </w:tr>
      <w:tr>
        <w:trPr/>
        <w:tc>
          <w:tcPr>
            <w:tcW w:w="13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35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do not contain a provision adopting an exclusive forum for certain shareholder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adopts the state and federal courts in the State of Delaware as the exclusive forum for certain stockholder litigation.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12 of the Proposed Charter.</w:t>
            </w:r>
            <w:r>
              <w:rPr>
                <w:rFonts w:ascii="Times New Roman;Times;serif" w:hAnsi="Times New Roman;Times;serif"/>
                <w:color w:val="000000"/>
                <w:sz w:val="20"/>
              </w:rPr>
              <w:t xml:space="preserve"> </w:t>
            </w:r>
          </w:p>
        </w:tc>
      </w:tr>
      <w:tr>
        <w:trPr/>
        <w:tc>
          <w:tcPr>
            <w:tcW w:w="13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0" w:type="dxa"/>
            <w:tcBorders/>
            <w:vAlign w:val="center"/>
          </w:tcPr>
          <w:p>
            <w:pPr>
              <w:pStyle w:val="TableContents"/>
              <w:bidi w:val="0"/>
              <w:spacing w:before="0" w:after="0"/>
              <w:jc w:val="left"/>
              <w:rPr>
                <w:color w:val="000000"/>
              </w:rPr>
            </w:pPr>
            <w:r>
              <w:rPr>
                <w:color w:val="000000"/>
              </w:rPr>
              <w:t> </w:t>
            </w:r>
          </w:p>
        </w:tc>
      </w:tr>
      <w:tr>
        <w:trPr/>
        <w:tc>
          <w:tcPr>
            <w:tcW w:w="13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45101x2_424b3_106-imp_pg3"/>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95"/>
        <w:gridCol w:w="140"/>
        <w:gridCol w:w="140"/>
        <w:gridCol w:w="4222"/>
        <w:gridCol w:w="140"/>
        <w:gridCol w:w="140"/>
        <w:gridCol w:w="4128"/>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Waiver of Corporate Opportunities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While the Existing Organizational Documents do provide an explicit waiver of corporate opportunities for directors, they do not provide an explicit waiver of corporate opportunities for ProKidney or its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Proposed Charter, the Corporation renounces any interest or expectancy of ProKidney Delaware in, or in being offered an opportunity to participate in, certain corporate opportunities, subject to certain exceptions.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15 of the Proposed Charter.</w:t>
            </w:r>
            <w:r>
              <w:rPr>
                <w:rFonts w:ascii="Times New Roman;Times;serif" w:hAnsi="Times New Roman;Times;serif"/>
                <w:color w:val="000000"/>
                <w:sz w:val="20"/>
              </w:rPr>
              <w:t xml:space="preserve">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Section 242(b)(2) of the DGCL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(i) ProKidney may increase its share capital by an ordinary resolution, being a resolution passed by the holders of not less than a simple majority of the Class A and Class B ordinary shares, voting as a single class, represented in person or by proxy and entitled to vote thereon and who vote at the general meeting, or by unanimous written resolution and (ii) ProKidney may reduce its share capital by a special resolution, being the affirmative vote of the holders of at least two-thirds of the Class A and Class B ordinary shares, voting as a single class, represented in person or by proxy and entitled to vote at the general meeting and who vote at the general meeting, or by unanimous written resolution.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20.1 and 20.3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provides that, subject to 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 Section 242(b)(2) of the DGCL, and no vote of the holders of any class of the common stock, Class A common stock, Class B common stock or the preferred stock voting separately as a class will be required therefor.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4.2 of the Proposed Charter.</w:t>
            </w:r>
            <w:r>
              <w:rPr>
                <w:rFonts w:ascii="Times New Roman;Times;serif" w:hAnsi="Times New Roman;Times;serif"/>
                <w:color w:val="000000"/>
                <w:sz w:val="20"/>
              </w:rPr>
              <w:t xml:space="preserve">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Action by Written Consent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 resolution in writing signed by all the shareholders entitled to vote at a general meeting shall be as valid and effective as if the same had been passed at a duly convened and held general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24.3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provides that, subject to the rights in certain instances of the holders of shares of Class B common stock and the holders of one or more series of preferred stock, any action required or permitted to be taken by ProKidney Delaware’s stockholders must be effected by a duly called annual or special meeting of such stockholders and may not be effected by consent of the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8.1 of the Proposed Charter.</w:t>
            </w:r>
            <w:r>
              <w:rPr>
                <w:rFonts w:ascii="Times New Roman;Times;serif" w:hAnsi="Times New Roman;Times;serif"/>
                <w:color w:val="000000"/>
                <w:sz w:val="20"/>
              </w:rPr>
              <w:t xml:space="preserve">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45101x2_424b3_106-imp_pg4"/>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39"/>
        <w:gridCol w:w="140"/>
        <w:gridCol w:w="140"/>
        <w:gridCol w:w="4435"/>
        <w:gridCol w:w="140"/>
        <w:gridCol w:w="140"/>
        <w:gridCol w:w="3771"/>
      </w:tblGrid>
      <w:tr>
        <w:trPr/>
        <w:tc>
          <w:tcPr>
            <w:tcW w:w="14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vAlign w:val="center"/>
          </w:tcPr>
          <w:p>
            <w:pPr>
              <w:pStyle w:val="TableContents"/>
              <w:bidi w:val="0"/>
              <w:spacing w:before="0" w:after="0"/>
              <w:jc w:val="left"/>
              <w:rPr/>
            </w:pPr>
            <w:r>
              <w:rPr/>
              <w:t> </w:t>
            </w:r>
          </w:p>
        </w:tc>
      </w:tr>
      <w:tr>
        <w:trPr/>
        <w:tc>
          <w:tcPr>
            <w:tcW w:w="14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43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 Capital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share capital under the Existing Organizational Documents is US$100,500 divided into 500,000,000 Class A ordinary shares of a par value of US$0.0001 each, 500,000,000 Class B ordinary shares of a par value of US$0.0001 each and 5,000,000 preference shares of a par value of US$0.0001 each.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paragraph 5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authorizes 1,250,000,000 shares of ProKidney Delaware consisting of 700,000,000 shares of Class A common stock, par value $0.0001 per share, 500,000,000 shares of Class B common stock, par value $0.0001 per share, and 50,000,000 shares of preferred stock, par value $0.0001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4.1 of the Proposed Charter.</w:t>
            </w:r>
            <w:r>
              <w:rPr>
                <w:rFonts w:ascii="Times New Roman;Times;serif" w:hAnsi="Times New Roman;Times;serif"/>
                <w:color w:val="000000"/>
                <w:sz w:val="20"/>
              </w:rPr>
              <w:t xml:space="preserve"> </w:t>
            </w:r>
          </w:p>
        </w:tc>
      </w:tr>
      <w:tr>
        <w:trPr/>
        <w:tc>
          <w:tcPr>
            <w:tcW w:w="14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vAlign w:val="center"/>
          </w:tcPr>
          <w:p>
            <w:pPr>
              <w:pStyle w:val="TableContents"/>
              <w:bidi w:val="0"/>
              <w:spacing w:before="0" w:after="0"/>
              <w:jc w:val="left"/>
              <w:rPr>
                <w:color w:val="000000"/>
              </w:rPr>
            </w:pPr>
            <w:r>
              <w:rPr>
                <w:color w:val="000000"/>
              </w:rPr>
              <w:t> </w:t>
            </w:r>
          </w:p>
        </w:tc>
      </w:tr>
      <w:tr>
        <w:trPr/>
        <w:tc>
          <w:tcPr>
            <w:tcW w:w="143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Adoption of Supermajority Vote Requirement to Amend the Proposed Charter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amendments to change ProKidney’s name, alter or add to the Articles (as defined therein), alter or add to the Memorandum (as defined therein) with respect to any objects, powers or other matters specified therein or to reduce its share capital or any capital redemption reserve fund may be made by a Special Resolution (as defined under the Cayman Islands Companies Act), being the affirmative vote of holders of a majority of at least two-thirds of such members as, being entitled to do so, vote in person or, where proxies are allowed, by proxy at a general meeting. There are certain matters that require only an Ordinary Resolution (as defined therein), including increasing the share capital, consolidating and dividing all or any part of the share capital into larger amounts than the existing shares, converting all or any of the Company’s paid-up shares into stock, and reconverting that stock into paid-up shares of any denomination, by subdividing the Company’s existing shares or any of them dividing the whole or any part of its share capital into shares of smaller amount than is fixed by the Memorandum or into shares without par value, and cancelling any shares that at the date of the passing of the Ordinary Resolution have not been taken or agreed to be taken by 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requires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w:t>
            </w:r>
            <w:r>
              <w:rPr>
                <w:rFonts w:ascii="Times New Roman;Times;serif" w:hAnsi="Times New Roman;Times;serif"/>
                <w:color w:val="000000"/>
                <w:sz w:val="14"/>
              </w:rPr>
              <w:t>3</w:t>
            </w:r>
            <w:r>
              <w:rPr>
                <w:rFonts w:ascii="Times New Roman;Times;serif" w:hAnsi="Times New Roman;Times;serif"/>
                <w:color w:val="000000"/>
                <w:sz w:val="20"/>
              </w:rPr>
              <w:t>)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7.4, 10 and 11 of the Proposed Charter.</w:t>
            </w:r>
          </w:p>
        </w:tc>
      </w:tr>
      <w:tr>
        <w:trPr/>
        <w:tc>
          <w:tcPr>
            <w:tcW w:w="14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45101x2_424b3_106-imp_pg5"/>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582"/>
        <w:gridCol w:w="140"/>
        <w:gridCol w:w="140"/>
        <w:gridCol w:w="90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 and diminish the amount of its share capital by the amount of the shares so cancelled. An Ordinary Resolution is a resolution passed by a simple majority of the Members as, being entitled to do so, vote in person or, where proxies are allowed, by proxy at a general meeting, and includes a unanimous written resolution.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20 of our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domestication affect the 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par value $0.0001 per share, of ProKidney Delaware (the “Class A common stock”), and (ii) each Class B ordinary share issued and outstanding immediately prior to the effective time of the domestication will be automatically converted into one (1) share of Class B common stock, par value $0.0001 per share, of ProKidney Delaware (the “Class B common stock,” and together with the Class A common stock, the “common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in connection with the proposed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ProKidney shareholders do not have appraisal rights in connection with the domestication under the Cayman Islands Companies Act or under the DGCL.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discussed more fully under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below, we believe the domestication will constitute a tax-free reorganization within the meaning of Section 368(a)(l)(F) of the Code. Assuming that the domestication so qualifies, and subject to the discussion of the “passive foreign investment company” (“PFIC”) rules below, U.S. Holders (as defined in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below) will be subject to Section 367(b)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ProKidney does not expect that its cumulative earnings and profits will be greater than zero at the time of the domestication. As a result, as discussed in further detail under “</w:t>
      </w:r>
      <w:r>
        <w:rPr>
          <w:rFonts w:ascii="Times New Roman;Times;serif" w:hAnsi="Times New Roman;Times;serif"/>
          <w:i/>
          <w:color w:val="000000"/>
          <w:sz w:val="20"/>
        </w:rPr>
        <w:t>Material U.S. Federal Income Tax Considerations—U.S. Holders—Effects of Section 367 to U.S. Holders</w:t>
      </w:r>
      <w:r>
        <w:rPr>
          <w:rFonts w:ascii="Times New Roman;Times;serif" w:hAnsi="Times New Roman;Times;serif"/>
          <w:color w:val="000000"/>
          <w:sz w:val="20"/>
        </w:rPr>
        <w:t xml:space="preserve">,” a U.S. Holder of ProKidney Class A ordinary shares will generally not have any gain or loss to recognize, provided, in the case of certain U.S. Holders whose Class A ordinary shares have a fair market value of $50,000 or more, such U.S. Holder either (i) is required to, or (ii) can file an election to, include in income the “all earnings and profits amount” (as defined in the Treasury Regulations under Section 367) attributable to its ProKidney Class A ordinary shares, which amount is expected to be zero, and provided certain other requirements are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discussed further under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below, ProKidney believes that it is likely (and likely has been) treated as a PFIC for U.S. federal income tax purposes. Even if the domestication qualifies as a “reorganization” under Section 368(a)(1)(F) of the Code, a U.S. Holder of ProKidney Class A ordinary shares may, in certain circumstances, still recognize gain (but not loss) upon the exchange of its Class A ordinary shares for common shares of ProKidney Delaware pursuant to the domestication under the PFIC rules of the Code. In the event that ProKidney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domestication unless the U.S. Holder makes (or has made) certain elections (including, for example, a QEF election) discussed further under “</w:t>
      </w:r>
      <w:r>
        <w:rPr>
          <w:rFonts w:ascii="Times New Roman;Times;serif" w:hAnsi="Times New Roman;Times;serif"/>
          <w:i/>
          <w:color w:val="000000"/>
          <w:sz w:val="20"/>
        </w:rPr>
        <w:t>Material U.S. Federal Income Tax Considerations—U.S. Holders—PFIC Considerations</w:t>
      </w:r>
      <w:r>
        <w:rPr>
          <w:rFonts w:ascii="Times New Roman;Times;serif" w:hAnsi="Times New Roman;Times;serif"/>
          <w:color w:val="000000"/>
          <w:sz w:val="20"/>
        </w:rPr>
        <w:t xml:space="preserve">.” The tax on any such gain so recognized would be imposed at the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45101x2_424b3_106-imp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For a more complete discussion of the potential application of the PFIC rules to U.S. Holders as a result of the domestication, see “</w:t>
      </w:r>
      <w:r>
        <w:rPr>
          <w:rFonts w:ascii="Times New Roman;Times;serif" w:hAnsi="Times New Roman;Times;serif"/>
          <w:i/>
          <w:color w:val="000000"/>
          <w:sz w:val="20"/>
        </w:rPr>
        <w:t>Material U.S. Federal Income Tax Considerations—U.S. Holders—PFIC Considerations</w:t>
      </w:r>
      <w:r>
        <w:rPr>
          <w:rFonts w:ascii="Times New Roman;Times;serif" w:hAnsi="Times New Roman;Times;serif"/>
          <w:color w:val="000000"/>
          <w:sz w:val="20"/>
        </w:rPr>
        <w:t xml:space="preserve">”. Each U.S. Holder of ProKidney Class A ordinary shares is urged to consult its own tax advisor concerning the application of the PFIC rules to the exchange of ProKidney Class A ordinary shares for ProKidney Delaware Class A common stock pursuant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Additionally, the domestication may cause non-U.S. Holders (as defined in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below) to become subject to U.S. federal income withholding taxes on any dividends in respect of such non-U.S. Holder’s ProKidney common stock subsequent to the domestication. ProKidney does not expect to make any dividend distributions to its shareholders in the near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tax consequences of the domestication are complex and will depend on a holder’s particular circumstances. All holders are strongly urged to consult their tax advisor for a full description and understanding of the tax consequences of the domestication, including the applicability and effect of U.S. federal, state, local and foreign income and other tax laws. For a more complete discussion of the U.S. federal income tax considerations of the domestication, see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annual general meeting virtually?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live audio webcast of the annual general meeting will begin promptly at 10:00 a.m., Eastern Time. Online access to the audio webcast will open 15 minutes prior to the start of the annual general meeting to allow time for you to log-in and test your device’s audio system. The annual general meeting is running the most updated version of the applicable software and plugins. You should ensure you have a strong Internet connection wherever you intend to participate virtually in the annual general meeting. You should also allow plenty of time to log in and ensure that you can hear streaming audio prior to the start of the annual general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Log-in Instructions</w:t>
      </w:r>
      <w:r>
        <w:rPr>
          <w:rFonts w:ascii="Times New Roman;Times;serif" w:hAnsi="Times New Roman;Times;serif"/>
          <w:b w:val="false"/>
          <w:i w:val="false"/>
          <w:caps w:val="false"/>
          <w:smallCaps w:val="false"/>
          <w:color w:val="000000"/>
          <w:sz w:val="20"/>
        </w:rPr>
        <w:t xml:space="preserve">. To be admitted to the annual general meeting virtually, you will need to log-in at www.virtualshareholdermeeting.com/PROK2025 using the 16-digit control number found on the proxy card or voting instruction card previously mailed or made available to shareholders entitled to vote at the annual general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attend the annual general meeting virtually, will I be able to ask questions and have these questions answered during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who choose to attend the annual general meeting virtually may submit questions for the annual general meeting after logging in. If such shareholders wish to submit a question, they may do so by logging into the virtual meeting platform at www.virtualshareholdermeeting.com/PROK2025, typing their question into the “Ask a Question” field, and clicking “Submit.” Please submit any questions before the start time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Appropriate questions related to the business of the annual general meeting (the proposals being voted on) will be answered during the annual general meeting, subject to time constraints. Any such questions that cannot be answered during the annual general meeting due to time constraints will be posted and answered at https://investors.prokidney.com/ as soon as practical after the annual general meeting. Additional information regarding the ability of shareholders to ask questions during the annual general meeting, related to rules of conduct and other materials for the annual general meeting will be available at https://investors.prokidney.com/.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there are technical difficulties during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encounter any difficulties accessing the annual general meeting during the check-in or meeting time, please call the technical support number that will be posted on the meeting log-in page for assistance. Technical support will be available beginning approximately 15 minutes prior to the start of the annual general meeting through its conclusion. Additional information regarding matters addressing technical and logistical issues, including technical support during the annual general meeting, will be available on the meeting website.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may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our Class A ordinary shares or Class B ordinary shares at the close of business on April 24, 2025 will be entitled to vote at the annual general meeting. On this record date, there were 129,536,121 Class A ordinary shares and 163,166,903 Class B ordinary shares outstanding and entitled to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45101x2_424b3_106-imp_pg7"/>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April 24, 2025 your ordinary shares were registered directly in your name with our transfer agent, Continental Stock Transfer &amp; Trust, then you are a shareholder of record.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April 24, 2025 your ordinary shares were held, not in your name, but rather in an account at a brokerage firm, bank, dealer or other similar organization, then you are the beneficial owner of shares held in “street name” and the Notice of 2025 Annual General Meeting of Shareholders is being forwarded to you by that organization. The organization holding your account is considered to be the shareholder of record for purposes of voting at the annual general meeting. As a beneficial owner, you have the right to direct your broker or other agent regarding how to vote the shares in your account. You are also invited to attend the annual general meeting. However, since you are not the shareholder of record, you may not vote your shares at the annual general meeting unless you request and obtain a valid proxy from your broker or other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do not need to attend the annual general meeting to vote your shares. Shares represented by valid proxies, received in time for the annual general meeting and not revoked prior to the annual general meeting, will be voted at the annual general meeting. For instructions on how to change or revoke your proxy, see “</w:t>
      </w:r>
      <w:r>
        <w:rPr>
          <w:rFonts w:ascii="Times New Roman;Times;serif" w:hAnsi="Times New Roman;Times;serif"/>
          <w:i/>
          <w:color w:val="000000"/>
          <w:sz w:val="20"/>
        </w:rPr>
        <w:t>May I change or revoke my proxy?</w:t>
      </w:r>
      <w:r>
        <w:rPr>
          <w:rFonts w:ascii="Times New Roman;Times;serif" w:hAnsi="Times New Roman;Times;serif"/>
          <w:color w:val="000000"/>
          <w:sz w:val="20"/>
        </w:rPr>
        <w:t xml:space="preserve">” below.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Class A ordinary share or Class B ordinary share that you own entitles you to one vote.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you plan to attend the annual general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Board’s recommendations as noted below. Voting by proxy will not affect your right to attend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through our transfer agent, Continental Stock Transfer &amp; Trust, or you have share certificates registered in your name, you may vote: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By Internet or by telephone.</w:t>
            </w:r>
            <w:r>
              <w:rPr>
                <w:rFonts w:ascii="Times New Roman;Times;serif" w:hAnsi="Times New Roman;Times;serif"/>
                <w:color w:val="000000"/>
                <w:sz w:val="20"/>
              </w:rPr>
              <w:t xml:space="preserve"> Follow the instructions included in the proxy card to vote over the Internet or by telephone.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By mail.</w:t>
            </w:r>
            <w:r>
              <w:rPr>
                <w:rFonts w:ascii="Times New Roman;Times;serif" w:hAnsi="Times New Roman;Times;serif"/>
                <w:color w:val="000000"/>
                <w:sz w:val="20"/>
              </w:rPr>
              <w:t xml:space="preserve"> You can also vote by mail by completing, signing, dating and returning the proxy card as instructed on the card. If you sign the proxy card but do not specify how you want your shares voted, they will be voted in accordance with the Board’s recommendations as noted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In person at the meeting.</w:t>
            </w:r>
            <w:r>
              <w:rPr>
                <w:rFonts w:ascii="Times New Roman;Times;serif" w:hAnsi="Times New Roman;Times;serif"/>
                <w:color w:val="000000"/>
                <w:sz w:val="20"/>
              </w:rPr>
              <w:t xml:space="preserve"> If you attend the meeting in person, you may deliver a completed proxy card in person or you may vote by completing a ballot, which will be available at the meeting.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Telephone and Internet voting facilities for shareholders of record will be available 24 hours a day and will close at 11:59 p.m. Eastern Time on May 28,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shareholders owning shares through certain banks and brokers. If your shares are not registered in your own name and you plan to vote your shares in person at the annual general meeting, you should contact your broker or agent to obtain a legal proxy or broker’s proxy card and bring it to the annual general meeting in order to vote.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will be voted on at the annual general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general meeting, shareholders will be asked to vote: </w:t>
      </w:r>
    </w:p>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domestication proposal; </w:t>
            </w:r>
          </w:p>
        </w:tc>
      </w:tr>
    </w:tbl>
    <w:tbl>
      <w:tblPr>
        <w:tblW w:w="3250" w:type="dxa"/>
        <w:jc w:val="left"/>
        <w:tblInd w:w="0" w:type="dxa"/>
        <w:tblLayout w:type="fixed"/>
        <w:tblCellMar>
          <w:top w:w="0" w:type="dxa"/>
          <w:left w:w="0" w:type="dxa"/>
          <w:bottom w:w="0" w:type="dxa"/>
          <w:right w:w="0" w:type="dxa"/>
        </w:tblCellMar>
      </w:tblPr>
      <w:tblGrid>
        <w:gridCol w:w="170"/>
        <w:gridCol w:w="308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new charter proposal; </w:t>
            </w:r>
          </w:p>
        </w:tc>
      </w:tr>
    </w:tbl>
    <w:tbl>
      <w:tblPr>
        <w:tblW w:w="8395" w:type="dxa"/>
        <w:jc w:val="left"/>
        <w:tblInd w:w="0" w:type="dxa"/>
        <w:tblLayout w:type="fixed"/>
        <w:tblCellMar>
          <w:top w:w="0" w:type="dxa"/>
          <w:left w:w="0" w:type="dxa"/>
          <w:bottom w:w="0" w:type="dxa"/>
          <w:right w:w="0" w:type="dxa"/>
        </w:tblCellMar>
      </w:tblPr>
      <w:tblGrid>
        <w:gridCol w:w="170"/>
        <w:gridCol w:w="82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and advisory basis each of the five separate advisory charter proposals;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45101x2_424b3_106-imp_pg8"/>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following three director nominees named in this proxy statement/prospectus to serve as Class III directors for three-year terms expiring at the annual general meeting in 2028 and until their successors are duly elected and qualified: Bruce Culleton, M.D., Pablo Legorreta and Uma Sinha, Ph.D. (the “election of directors proposal”);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Ernst &amp; Young LLP as our independent registered public accounting firm for the fiscal year ending December 31, 2025 (the “appointment of independent registered public accounting firm proposal”);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(the “adjournment proposal”); and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that is properly presented at the annual general meeting and any adjournments or postponements thereof.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on the proposals?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as follows: </w:t>
      </w:r>
    </w:p>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domestication proposal;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new charter proposal;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five advisory charter proposals;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of the Class III nominees for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Ernst &amp; Young LLP as our independent registered public accounting firm for our fiscal year ending December 31, 2025; and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 is presented at the annual general meeting, your proxy provides that your shares will be voted by the proxy holder listed in the proxy in accordance with the proxy holder’s best judgment. At the time this proxy statement/prospectus was first made available, we knew of no matters that needed to be acted on at the annual general meeting, other than those discussed in this proxy statement/prospectus.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May I change or revoke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give us your proxy, you may change or revoke it at any time before the annual general meeting. You may change or revoke your proxy in any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received a proxy card, by signing a new proxy card with a date later than your previously delivered proxy and submitting it as instructed above;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re-voting by Internet or by telephone as instructed above;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notifying ProKidney Corp.’s Secretary/Clerk in writing before the annual general meeting that you have revoked your proxy;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the annual general meeting and voting at the meeting. Attending the annual general meeting will not in and of itself revoke a previously submitted proxy. You must specifically request at the annual general meeting that it be revoked.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vote, whether by telephone, Internet or proxy card is the one that will be counted.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receive more than one proxy card?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may receive more than one proxy card if you hold our Class A or Class B ordinary shares in more than one account, which may be in registered form or held in street name. Please vote in the manner described above under “</w:t>
      </w:r>
      <w:r>
        <w:rPr>
          <w:rFonts w:ascii="Times New Roman;Times;serif" w:hAnsi="Times New Roman;Times;serif"/>
          <w:i/>
          <w:color w:val="000000"/>
          <w:sz w:val="20"/>
        </w:rPr>
        <w:t>How do I vote?</w:t>
      </w:r>
      <w:r>
        <w:rPr>
          <w:rFonts w:ascii="Times New Roman;Times;serif" w:hAnsi="Times New Roman;Times;serif"/>
          <w:color w:val="000000"/>
          <w:sz w:val="20"/>
        </w:rPr>
        <w:t xml:space="preserve">” for each account to ensure that all of your shares are voted.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45101x2_424b3_106-imp_pg9"/>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be voted if I do not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your shares are registered in your name or if you have share certificates, they will not be counted if you do not vote as described above under “</w:t>
      </w:r>
      <w:r>
        <w:rPr>
          <w:rFonts w:ascii="Times New Roman;Times;serif" w:hAnsi="Times New Roman;Times;serif"/>
          <w:i/>
          <w:color w:val="000000"/>
          <w:sz w:val="20"/>
        </w:rPr>
        <w:t>How do I vote?</w:t>
      </w:r>
      <w:r>
        <w:rPr>
          <w:rFonts w:ascii="Times New Roman;Times;serif" w:hAnsi="Times New Roman;Times;serif"/>
          <w:color w:val="000000"/>
          <w:sz w:val="20"/>
        </w:rPr>
        <w:t xml:space="preserve">”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independent registered public accounting firm proposal without receiving instructions from you. Therefore, we encourage you to provide voting instructions to your bank, broker or other nominee. This ensures your shares will be voted at the annual general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Abstentions and broker non-votes, while considered present for the purposes of establishing a quorum, will not count as votes cast and will have no effect on the outcome of the vote on any of the proposals. If a shareholder does not give the broker voting instructions, under applicable self-regulatory organization rules, its broker may not vote its shares on “non-routine” proposals, such as the domestication proposal, new charter proposal, the advisory charter proposals, the election of directors proposal and the adjournment proposal.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proposal and how are votes counted? </w:t>
      </w:r>
    </w:p>
    <w:tbl>
      <w:tblPr>
        <w:tblW w:w="10205" w:type="dxa"/>
        <w:jc w:val="left"/>
        <w:tblInd w:w="0" w:type="dxa"/>
        <w:tblLayout w:type="fixed"/>
        <w:tblCellMar>
          <w:top w:w="0" w:type="dxa"/>
          <w:left w:w="0" w:type="dxa"/>
          <w:bottom w:w="0" w:type="dxa"/>
          <w:right w:w="0" w:type="dxa"/>
        </w:tblCellMar>
      </w:tblPr>
      <w:tblGrid>
        <w:gridCol w:w="1174"/>
        <w:gridCol w:w="140"/>
        <w:gridCol w:w="140"/>
        <w:gridCol w:w="8751"/>
      </w:tblGrid>
      <w:tr>
        <w:trPr/>
        <w:tc>
          <w:tcPr>
            <w:tcW w:w="11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0"/>
              <w:jc w:val="left"/>
              <w:rPr/>
            </w:pPr>
            <w:r>
              <w:rPr/>
              <w:t> </w:t>
            </w:r>
          </w:p>
        </w:tc>
      </w:tr>
      <w:tr>
        <w:trPr/>
        <w:tc>
          <w:tcPr>
            <w:tcW w:w="11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 Domestication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special resolution, being the affirmative vote of the holders of at least two-thirds of the Class A and Class B ordinary shares, voting as a single class, represented in person or by proxy, entitled to vote thereon, and who vote at the annual general meeting is required to approve the domestication proposal.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t>
            </w:r>
          </w:p>
        </w:tc>
      </w:tr>
      <w:tr>
        <w:trPr/>
        <w:tc>
          <w:tcPr>
            <w:tcW w:w="11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0"/>
              <w:jc w:val="left"/>
              <w:rPr>
                <w:color w:val="000000"/>
              </w:rPr>
            </w:pPr>
            <w:r>
              <w:rPr>
                <w:color w:val="000000"/>
              </w:rPr>
              <w:t> </w:t>
            </w:r>
          </w:p>
        </w:tc>
      </w:tr>
      <w:tr>
        <w:trPr/>
        <w:tc>
          <w:tcPr>
            <w:tcW w:w="11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 New Charter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special resolution, being the affirmative vote of the holders of at least two-thirds of the Class A and Class B ordinary shares, voting as a single class, represented in person or by proxy, entitled to vote thereon, and who vote at the annual general meeting is required to approve the new charter proposal.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t>
            </w:r>
          </w:p>
        </w:tc>
      </w:tr>
      <w:tr>
        <w:trPr/>
        <w:tc>
          <w:tcPr>
            <w:tcW w:w="11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0"/>
              <w:jc w:val="left"/>
              <w:rPr>
                <w:color w:val="000000"/>
              </w:rPr>
            </w:pPr>
            <w:r>
              <w:rPr>
                <w:color w:val="000000"/>
              </w:rPr>
              <w:t> </w:t>
            </w:r>
          </w:p>
        </w:tc>
      </w:tr>
      <w:tr>
        <w:trPr/>
        <w:tc>
          <w:tcPr>
            <w:tcW w:w="11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3: Advisory Charter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on a non-binding and advisory basis, each of the advisory charter proposals.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w:t>
            </w:r>
          </w:p>
        </w:tc>
      </w:tr>
      <w:tr>
        <w:trPr/>
        <w:tc>
          <w:tcPr>
            <w:tcW w:w="11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45101x2_424b3_106-imp_pg10"/>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88"/>
        <w:gridCol w:w="140"/>
        <w:gridCol w:w="140"/>
        <w:gridCol w:w="8437"/>
      </w:tblGrid>
      <w:tr>
        <w:trPr/>
        <w:tc>
          <w:tcPr>
            <w:tcW w:w="14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0"/>
              <w:jc w:val="left"/>
              <w:rPr/>
            </w:pPr>
            <w:r>
              <w:rPr/>
              <w:t> </w:t>
            </w:r>
          </w:p>
        </w:tc>
      </w:tr>
      <w:tr>
        <w:trPr/>
        <w:tc>
          <w:tcPr>
            <w:tcW w:w="14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consummation of the domestication, assuming adoption of the domestication proposal and the new charter proposal.</w:t>
            </w:r>
          </w:p>
        </w:tc>
      </w:tr>
      <w:tr>
        <w:trPr/>
        <w:tc>
          <w:tcPr>
            <w:tcW w:w="14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0"/>
              <w:jc w:val="left"/>
              <w:rPr>
                <w:color w:val="000000"/>
              </w:rPr>
            </w:pPr>
            <w:r>
              <w:rPr>
                <w:color w:val="000000"/>
              </w:rPr>
              <w:t> </w:t>
            </w:r>
          </w:p>
        </w:tc>
      </w:tr>
      <w:tr>
        <w:trPr/>
        <w:tc>
          <w:tcPr>
            <w:tcW w:w="148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4: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for the election of each director. If the number of shares voted “FOR” a director nominee exceeds the number of votes cast “AGAINST,” the nominee will be elected as a director. You may vote “FOR,” “AGAINST” or “ABSTAIN” on each of the nominees for election as director. Brokerage firms do not have authority to vote customers’ unvoted shares held by the firms in street name for the election of the directors.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t>
            </w:r>
          </w:p>
        </w:tc>
      </w:tr>
      <w:tr>
        <w:trPr/>
        <w:tc>
          <w:tcPr>
            <w:tcW w:w="14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0"/>
              <w:jc w:val="left"/>
              <w:rPr>
                <w:color w:val="000000"/>
              </w:rPr>
            </w:pPr>
            <w:r>
              <w:rPr>
                <w:color w:val="000000"/>
              </w:rPr>
              <w:t> </w:t>
            </w:r>
          </w:p>
        </w:tc>
      </w:tr>
      <w:tr>
        <w:trPr/>
        <w:tc>
          <w:tcPr>
            <w:tcW w:w="148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5: Appointment of Independent Registered Public Accounting Firm Proposal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ordinary resolution, being a resolution passed by the holders of not less than a simple majority of the Class A and Class B ordinary shares, voting as a single class, represented in person or by proxy and entitled to vote thereon and who vote at the annual general meeting for this proposal is required to ratify the selection of our independent registered public accounting firm. If the number of shares voted “FOR” the ratification of the appointment of Ernst &amp; Young LLP as our independent registered public accounting firm exceeds the number of votes cast “AGAINST,” the appointment of Ernst &amp; Young LLP as our independent registered public accounting firm will be ratified. You may vote “FOR,” “AGAINST” or “ABSTAIN.” Abstentions will have no effect on the results of this vote. Brokerage firms have authority to vote customers’ unvoted shares held by the firms in street name on this proposal. Accordingly, there will be no broker non-votes with respect to this proposal. We are not required to obtain the approval of our shareholders to select our independent registered public accounting firm. However, if our shareholders do not ratify the appointment of Ernst &amp; Young LLP as our independent registered public accounting firm for 2025, our Audit Committee of the Board (the “Audit Committee”) will reconsider its selection. </w:t>
            </w:r>
          </w:p>
        </w:tc>
      </w:tr>
      <w:tr>
        <w:trPr/>
        <w:tc>
          <w:tcPr>
            <w:tcW w:w="14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0"/>
              <w:jc w:val="left"/>
              <w:rPr>
                <w:color w:val="000000"/>
              </w:rPr>
            </w:pPr>
            <w:r>
              <w:rPr>
                <w:color w:val="000000"/>
              </w:rPr>
              <w:t> </w:t>
            </w:r>
          </w:p>
        </w:tc>
      </w:tr>
      <w:tr>
        <w:trPr/>
        <w:tc>
          <w:tcPr>
            <w:tcW w:w="148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6: Adjournment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ordinary resolution, being the affirmative vote of the holders of a majority of the Class A and Class B ordinary shares, voting as a single class, represented in person or by proxy and entitled to vote at the annual general meeting and who vote at the annual general meeting. The adjournment proposal is not conditioned upon any other proposal. You may vote “FOR,” “AGAINST” or “ABSTAIN” on the adjournment proposal. Brokerage firms do not have authority to vote customers’ unvoted shares held by the firms in street name for the adjournment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4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3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45101x2_424b3_106-imp_pg1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voting results will be announced at the annual general meeting, and we will publish preliminary, or final results if available, in a Current Report on Form 8-K within four business days of the annual general meeting. If final results are unavailable at the time we file the Form 8-K, then we will file an amended report on Form 8-K to disclose the final voting results within four business days after the final voting results are known.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costs of soliciting these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annual general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the holders of a majority of the issued and outstanding ordinary shares entitled to vote at the annual general meeting is necessary to constitute a quorum at the annual general meeting. Votes of shareholders of record who are present at the annual general meeting in person or by proxy, abstentions, and broker non-votes are counted for purposes of determining whether a quorum exists.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Attending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pleased to offer two options for our 2025 annual general meeting: (1) viewing a live Webcast at www.virtualshareholdermeeting.com/PROK2025 or (2) attending in person. The annual general meeting will be held at 10:00 a.m., Eastern Time on May 29, 2025 at 399 Boylston Street, Ste. 350, Boston, MA 02116. When you arrive at the meeting, signs will direct you to the appropriate meeting rooms. If you choose to view the Webcast, go to www.virtualshareholdermeeting.com/PROK2025 shortly before the meeting time, and follow the instructions for attending the Webcast. If you miss the annual general meeting, you can view a replay of the Webcast at www.proxyvote.com until June 29, 2025. You need not attend the annual general meeting in order to vote.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Annual Disclosure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brokers or other nominee record holders may be sending you a single set of our proxy materials if multiple ProKidney’s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promptly deliver a separate copy of our proxy materials to you if you write or call our corporate secretary at: 2000 Frontis Plaza Blvd, Suite 250, Winston-Salem, North Carolina 27103 or (336) 999-7019.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Electronic Delivery of Future Company Shareholder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Most shareholders can elect to view or receive copies of future proxy materials over the Internet instead of receiving paper copies in the mail.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choose this option and save us the cost of producing and mailing these documents by: </w:t>
      </w:r>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following the instructions provided on your proxy card;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following the instructions provided when you vote over the Internet;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45101x2_424b3_106-imp_pg12"/>
        <w:bookmarkEnd w:id="26"/>
        <w:r>
          <w:rPr>
            <w:rStyle w:val="InternetLink"/>
            <w:rFonts w:ascii="Times New Roman;Times;Serif" w:hAnsi="Times New Roman;Times;Serif"/>
            <w:b/>
            <w:caps w:val="false"/>
            <w:smallCaps w:val="false"/>
            <w:color w:val="000000"/>
            <w:sz w:val="16"/>
          </w:rPr>
          <w:t>TABLE OF CONTENTS</w:t>
        </w:r>
      </w:hyperlink>
    </w:p>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 to www.proxyvote.com and following the instructions provided.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45101x2_424b3_107-sum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8" w:name="tSOPS"/>
      <w:bookmarkEnd w:id="28"/>
      <w:r>
        <w:rPr>
          <w:rFonts w:ascii="Times New Roman;Times;serif" w:hAnsi="Times New Roman;Times;serif"/>
          <w:b/>
          <w:color w:val="000000"/>
          <w:sz w:val="20"/>
          <w:bdr w:val="single" w:sz="8" w:space="12" w:color="000000"/>
        </w:rPr>
        <w:t xml:space="preserve">SUMMARY OF THE PROXY STATEMENT/PROSPECTUS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statement/prospectus and does not contain all of the information that is important to you. To better understand the proposals to be submitted for a vote at the annual general meeting, including the domestication, you should read this entire document carefully. This proxy statement/prospectus also includes forward-looking statements that involve risks and uncertainties. See “Special Note Regarding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July 11, 2022 (the “Closing Date”), we were a blank check company registered under the laws of the Cayman Islands and formed for the purpose of effecting a merger, share exchange, asset acquisition, share purchase, reorganization or similar business combination with one or more businesses. On July 11, 2022, we completed the business combination (the “Business Combination”) pursuant to the Business Combination Agreement dated January 18, 2022 (the “Business Combination Agreement”), that we entered into with PKLP. Upon the completion of the Business Combination, we changed our name to “ProKidney Corp.” and the business of PKLP became our business.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clinical-stage biotechnology company with a transformative proprietary cell therapy platform that has the potential to treat multiple chronic kidney diseases using cells isolated from the patient intended for treatment. Our approach seeks to redefine the treatment of chronic kidney disease (“CKD”), shifting the emphasis away from management of kidney failure to the preservation of kidney function. Our lead product candidate, rilparencel, is designed to preserve kidney function in a CKD patient’s diseased kidneys. Rilparencel is a product that includes autologous Selected Renal Cells (“SRC”) prepared from a patient’s own (autologous) kidney cells. The SRC are formulated rilparencel for reinjection into the patient’s kidneys using a minimally invasive outpatient procedure that is repeatable, if necessary.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currently conducting a Phase 3 clinical study and an ongoing Phase 2 clinical study for rilparencel in subjects with moderate to severe CKD and diabetes. Rilparencel has received regenerative medicine advanced therapy (“RMAT”) designation from the United States Food and Drug Administration (the “FDA”). We also completed a Phase 1 clinical trial for rilparencel in subjects with CKD due to congenital anomalies of the kidney and urinary tract for which the last subject visit occurred in January 2023 and the clinical study report was submitted to the FDA in December 2023. Rilparencel has, to date, been generally well tolerated by subjects with moderate to severe CKD in Phase 1 and 2 clinical testing.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patented technology includes multiple breakthroughs in the manufacturing and medical delivery of cellular therapy products. Our technology works by expanding and selecting kidney cells of a patient in an attempt to preserve kidney function that is being lost due to chronic diseases. Our process begins when a small piece or biopsy of a patient’s diseased kidney is sent to our manufacturing facility. We are able to process cells taken from the biopsy and select specific cells with a reparative capacity. These SRC are formulated into a personalized product for reinjection into the damaged kidney(s). To date, clinical studies suggest that rilparencel has the capacity to, for a time, positively impact kidney function as reflected by stabilizing the estimated glomerular filtration rate (“eGFR”) or attenuating the rate of eGFR decline in patients with CKD and diabetes.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initially pursuing the development of rilparencel in the United States for use in patients with moderate to severe CKD and type 2 diabetes. We estimate that approximately 36 million - 37 million adults, representing approximately 14% of the U.S. adult population, currently suffer from CKD. Chronic kidney disease is segmented into five CKD stages, from mild (CKD stage 1) to severe (CKD stage 5 or kidney failure). With respect to those patients with stage 3b or 4 CKD and diabetes, we estimate that approximately 1.2 million to 1.8 million patients could be eligible for treatment with rilparencel in the United States. The Phase 3 study includes other countries in North America, Latin America, and Asia Pacific.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currently operate a manufacturing facility that has been designed to comply with FDA and European Medicines Agency quality standards and to produce rilparencel treatments from biopsied material. Our manufacturing site, based in Winston-Salem, North Carolina, in the United States, has a potential capacity sufficient to supply our Phase 3 study as well as a potential commercial launch, should rilparencel receive regulatory approval.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45101x2_424b3_107-sum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principal executive office of ProKidney is located at 2000 Frontis Plaza Blvd., Ste 250, Winston-Salem, NC 27103, and ProKidney’s telephone number is (336) 999-7019. Additional information about ProKidney and its subsidiaries is included in documents incorporated by reference into this proxy statement/prospectus. See “</w:t>
      </w:r>
      <w:r>
        <w:rPr>
          <w:rFonts w:ascii="Times New Roman;Times;serif" w:hAnsi="Times New Roman;Times;serif"/>
          <w:i/>
          <w:color w:val="000000"/>
          <w:sz w:val="20"/>
          <w:bdr w:val="single" w:sz="8" w:space="12" w:color="000000"/>
        </w:rPr>
        <w:t>Where You Can Find More Information and Incorporation by Reference</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put to the Annual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proposals to be put to the annual general meeting. </w:t>
      </w:r>
    </w:p>
    <w:p>
      <w:pPr>
        <w:pStyle w:val="TextBody"/>
        <w:bidi w:val="0"/>
        <w:spacing w:before="29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 is asking its shareholders to approve the domestication proposal. The Board has unanimously approved a change of ProKidney’s jurisdiction of incorporation from the Cayman Islands to the State of Delaware by deregistering as an exempted company in the Cayman Islands and continuing and domesticating as a corporation incorporated under the laws of the State of Delaware. To effect the domestication, upon approval of the domestication proposal and the new charter proposal, ProKidney will file an application of deregistration with the Cayman Islands Registrar of Companies, together with the necessary accompanying documents and fees, and will file the Proposed Charter and a Certificate of Corporate Domestication with the Secretary of State of the State of Delaware, pursuant to which ProKidney will be domesticated and continue as a Delaware corporation.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April 24, 2025, there are 292,703,024 ordinary shares outstanding, comprised of 129,536,121 Class A ordinary shares and 163,166,903 Class B ordinary shares.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domestication proposal together with the new charter proposal, if approved, will approve a change of ProKidney’s jurisdiction of incorporation from the Cayman Islands to the State of Delaware. Accordingly, while ProKidney is currently governed by the Cayman Islands Companies Act, upon domestication, ProKidney Delaware will be governed by the DGCL. Accordingly, we urge shareholders to carefully consult the information set out below under “</w:t>
      </w:r>
      <w:r>
        <w:rPr>
          <w:rFonts w:ascii="Times New Roman;Times;serif" w:hAnsi="Times New Roman;Times;serif"/>
          <w:i/>
          <w:color w:val="000000"/>
          <w:sz w:val="20"/>
          <w:bdr w:val="single" w:sz="8" w:space="12" w:color="000000"/>
        </w:rPr>
        <w:t>Comparison of Corporate Governance and Shareholder Rights</w:t>
      </w:r>
      <w:r>
        <w:rPr>
          <w:rFonts w:ascii="Times New Roman;Times;serif" w:hAnsi="Times New Roman;Times;serif"/>
          <w:color w:val="000000"/>
          <w:sz w:val="20"/>
          <w:bdr w:val="single" w:sz="8" w:space="12" w:color="000000"/>
        </w:rPr>
        <w:t>.” Additionally, we note that in connection with the domestication proposal, ProKidney is requesting its shareholders to approve (i) the new charter proposal (discussed below) (with the approval of the domestication proposal being conditioned upon the new charter proposal also being approved) and (ii) the five non-binding, advisory charter proposals (discussed below) (with the approval of the domestication proposal or the new charter proposal not being conditioned upon any of the non-binding, advisory charter proposals being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urge shareholders to carefully consult the section entitled “</w:t>
      </w:r>
      <w:r>
        <w:rPr>
          <w:rFonts w:ascii="Times New Roman;Times;serif" w:hAnsi="Times New Roman;Times;serif"/>
          <w:i/>
          <w:color w:val="000000"/>
          <w:sz w:val="20"/>
          <w:bdr w:val="single" w:sz="8" w:space="12" w:color="000000"/>
        </w:rPr>
        <w:t>Proposal No. 3 Advisory Charter Proposals</w:t>
      </w:r>
      <w:r>
        <w:rPr>
          <w:rFonts w:ascii="Times New Roman;Times;serif" w:hAnsi="Times New Roman;Times;serif"/>
          <w:color w:val="000000"/>
          <w:sz w:val="20"/>
          <w:bdr w:val="single" w:sz="8" w:space="12" w:color="000000"/>
        </w:rPr>
        <w:t>” (including the chart of material differences included therein) and the Proposed Organizational Documents of ProKidney Delaware, attached hereto as Annexes B and C. For additional information, see “</w:t>
      </w:r>
      <w:r>
        <w:rPr>
          <w:rFonts w:ascii="Times New Roman;Times;serif" w:hAnsi="Times New Roman;Times;serif"/>
          <w:i/>
          <w:color w:val="000000"/>
          <w:sz w:val="20"/>
          <w:bdr w:val="single" w:sz="8" w:space="12" w:color="000000"/>
        </w:rPr>
        <w:t>Proposal No.1 The Domestication Proposal</w:t>
      </w:r>
      <w:r>
        <w:rPr>
          <w:rFonts w:ascii="Times New Roman;Times;serif" w:hAnsi="Times New Roman;Times;serif"/>
          <w:color w:val="000000"/>
          <w:sz w:val="20"/>
          <w:bdr w:val="single" w:sz="8" w:space="12" w:color="000000"/>
        </w:rPr>
        <w:t xml:space="preserve">” section of this proxy statement/prospectus.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conduct our operating business indirectly through PKLP, a limited partnership organized under the laws of Ireland of which we are a limited partner, and its subsidiaries. Certain Restructuring transactions are also intended to occur around the time of the domestication as follows: (i) prior to the domestication, PKLP will contribute substantially all of its assets to a newly formed subsidiary, ProKidney Holdings, and PKLP will then make a liquidating distribution of its limited liability company interests in ProKidney Holdings to its partners, including the Company, (ii) assuming the domestication proposal and the new charter proposal are approved, the domestication will be consummated, and (iii) following the domestication,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limited liability company expected to be named ProKidney IPCo, LLC.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45101x2_424b3_107-sum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New Charter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 is asking its shareholders to approve the new charter proposal, in connection with and conditioned on the domestication proposal. If the domestication proposal is approved and the new charter proposal is approved,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Proposed Organizational Documents differ in certain material respects from the Existing Organizational Documents, and we urge shareholders to carefully consult the information set out in the Section “</w:t>
      </w:r>
      <w:r>
        <w:rPr>
          <w:rFonts w:ascii="Times New Roman;Times;serif" w:hAnsi="Times New Roman;Times;serif"/>
          <w:i/>
          <w:color w:val="000000"/>
          <w:sz w:val="20"/>
          <w:bdr w:val="single" w:sz="8" w:space="12" w:color="000000"/>
        </w:rPr>
        <w:t>Proposal No. 3 Advisory Charter Proposals</w:t>
      </w:r>
      <w:r>
        <w:rPr>
          <w:rFonts w:ascii="Times New Roman;Times;serif" w:hAnsi="Times New Roman;Times;serif"/>
          <w:color w:val="000000"/>
          <w:sz w:val="20"/>
          <w:bdr w:val="single" w:sz="8" w:space="12" w:color="000000"/>
        </w:rPr>
        <w:t>” (including the chart of material differences included therein) and the full text of the Proposed Charter of ProKidney Delaware, attached hereto as Annex B. Approvals of both the domestication proposal and the new charter proposal are required to effect the domestication, and the approval of the new charter proposal is conditioned upon the domestication proposal also being approved. If the domestication is not effected, then there will be no changes to the Existing Organizational Documents.</w:t>
      </w:r>
    </w:p>
    <w:p>
      <w:pPr>
        <w:pStyle w:val="TextBody"/>
        <w:bidi w:val="0"/>
        <w:spacing w:before="155"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Advisory Charter Proposals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domestication proposal and the new charter proposal are approved and the domestication is to be effected,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 The approval of the domestication proposal or the new charter proposal is not conditioned upon any of the five non-binding, advisory charter proposals being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Proposed Charter differs in certain material respects from the Existing Organizational Documents, and we urge shareholders to carefully consult the information set out in “</w:t>
      </w:r>
      <w:r>
        <w:rPr>
          <w:rFonts w:ascii="Times New Roman;Times;serif" w:hAnsi="Times New Roman;Times;serif"/>
          <w:i/>
          <w:color w:val="000000"/>
          <w:sz w:val="20"/>
          <w:bdr w:val="single" w:sz="8" w:space="12" w:color="000000"/>
        </w:rPr>
        <w:t>Proposal No. 3 Advisory Charter Proposals</w:t>
      </w:r>
      <w:r>
        <w:rPr>
          <w:rFonts w:ascii="Times New Roman;Times;serif" w:hAnsi="Times New Roman;Times;serif"/>
          <w:color w:val="000000"/>
          <w:sz w:val="20"/>
          <w:bdr w:val="single" w:sz="8" w:space="12" w:color="000000"/>
        </w:rPr>
        <w:t xml:space="preserve">” (including the chart of material differences included therein) and the full text of the Proposed Organizational Charter of ProKidney Delaware, attached hereto as Annex B.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ProKidney’s shareholders are asked to consider and vote upon and to approve five non-binding, advisory proposals in connection with the new charter proposal. A brief summary of each of the advisory charter proposals is set forth below. These summaries are qualified in their entirety by reference to the complete text of the Proposed Charter of ProKidney Delaware. </w:t>
      </w:r>
    </w:p>
    <w:tbl>
      <w:tblPr>
        <w:tblW w:w="9965" w:type="dxa"/>
        <w:jc w:val="left"/>
        <w:tblInd w:w="240" w:type="dxa"/>
        <w:tblLayout w:type="fixed"/>
        <w:tblCellMar>
          <w:top w:w="0" w:type="dxa"/>
          <w:left w:w="0" w:type="dxa"/>
          <w:bottom w:w="0" w:type="dxa"/>
          <w:right w:w="0" w:type="dxa"/>
        </w:tblCellMar>
      </w:tblPr>
      <w:tblGrid>
        <w:gridCol w:w="1512"/>
        <w:gridCol w:w="140"/>
        <w:gridCol w:w="140"/>
        <w:gridCol w:w="3937"/>
        <w:gridCol w:w="140"/>
        <w:gridCol w:w="140"/>
        <w:gridCol w:w="3956"/>
      </w:tblGrid>
      <w:tr>
        <w:trPr/>
        <w:tc>
          <w:tcPr>
            <w:tcW w:w="15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0"/>
              <w:jc w:val="left"/>
              <w:rPr/>
            </w:pPr>
            <w:r>
              <w:rPr/>
              <w:t> </w:t>
            </w:r>
          </w:p>
        </w:tc>
      </w:tr>
      <w:tr>
        <w:trPr/>
        <w:tc>
          <w:tcPr>
            <w:tcW w:w="15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51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do not contain a provision adopting an exclusive forum for certain shareholder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adopts the state and federal courts in the State of Delaware as the exclusive forum for certain stockholder litigation.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12 of the Proposed Charter.</w:t>
            </w:r>
            <w:r>
              <w:rPr>
                <w:rFonts w:ascii="Times New Roman;Times;serif" w:hAnsi="Times New Roman;Times;serif"/>
                <w:color w:val="000000"/>
                <w:sz w:val="20"/>
              </w:rPr>
              <w:t xml:space="preserve"> </w:t>
            </w:r>
          </w:p>
        </w:tc>
      </w:tr>
      <w:tr>
        <w:trPr/>
        <w:tc>
          <w:tcPr>
            <w:tcW w:w="15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0"/>
              <w:jc w:val="left"/>
              <w:rPr>
                <w:color w:val="000000"/>
              </w:rPr>
            </w:pPr>
            <w:r>
              <w:rPr>
                <w:color w:val="000000"/>
              </w:rPr>
              <w:t> </w:t>
            </w:r>
          </w:p>
        </w:tc>
      </w:tr>
      <w:tr>
        <w:trPr/>
        <w:tc>
          <w:tcPr>
            <w:tcW w:w="151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Waiver of Corporate Opportunities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While the Existing Organizational Documents do provide an explicit waiver of corporate opportunities for directors, they do not provide an explicit waiver of corporate opportunities for ProKidney or its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Proposed Charter, the Corporation renounces any interest or expectancy of ProKidney Delaware in, or in being offered an opportunity to participate in, certain corporate opportunities, subject to certain exceptions.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15 of the Proposed Charter.</w:t>
            </w:r>
            <w:r>
              <w:rPr>
                <w:rFonts w:ascii="Times New Roman;Times;serif" w:hAnsi="Times New Roman;Times;serif"/>
                <w:color w:val="000000"/>
                <w:sz w:val="20"/>
              </w:rPr>
              <w:t xml:space="preserve"> </w:t>
            </w:r>
          </w:p>
        </w:tc>
      </w:tr>
      <w:tr>
        <w:trPr/>
        <w:tc>
          <w:tcPr>
            <w:tcW w:w="15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0"/>
              <w:jc w:val="left"/>
              <w:rPr>
                <w:color w:val="000000"/>
              </w:rPr>
            </w:pPr>
            <w:r>
              <w:rPr>
                <w:color w:val="000000"/>
              </w:rPr>
              <w:t> </w:t>
            </w:r>
          </w:p>
        </w:tc>
      </w:tr>
      <w:tr>
        <w:trPr/>
        <w:tc>
          <w:tcPr>
            <w:tcW w:w="151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Section 242(b)(2) of the DGCL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(i) ProKidney may increase its share capital by an ordinary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provides that, subject to the rights of the holders of any one or more series of preferred stock then outstanding, </w:t>
            </w:r>
          </w:p>
        </w:tc>
      </w:tr>
      <w:tr>
        <w:trPr/>
        <w:tc>
          <w:tcPr>
            <w:tcW w:w="15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6" w:type="dxa"/>
            <w:tcBorders/>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45101x2_424b3_107-sum_pg4"/>
        <w:bookmarkEnd w:id="31"/>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057"/>
        <w:gridCol w:w="140"/>
        <w:gridCol w:w="140"/>
        <w:gridCol w:w="4319"/>
        <w:gridCol w:w="140"/>
        <w:gridCol w:w="140"/>
        <w:gridCol w:w="4029"/>
      </w:tblGrid>
      <w:tr>
        <w:trPr/>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0"/>
              <w:jc w:val="left"/>
              <w:rPr/>
            </w:pPr>
            <w:r>
              <w:rPr/>
              <w:t> </w:t>
            </w:r>
          </w:p>
        </w:tc>
      </w:tr>
      <w:tr>
        <w:trPr/>
        <w:tc>
          <w:tcPr>
            <w:tcW w:w="1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resolution, being a resolution passed by the holders of not less than a simple majority of the Class A and Class B ordinary shares, voting as a single class, represented in person or by proxy and entitled to vote thereon and who vote at the general meeting, or by unanimous written resolution and (ii) ProKidney may reduce its share capital by a special resolution, being the affirmative vote of the holders of at least two-thirds of the Class A and Class B ordinary shares, voting as a single class, represented in person or by proxy and entitled to vote at the general meeting and who vote at the general meeting, or by unanimous written resolution.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20.1 and 20.3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 Section 242(b)(2) of the DGCL, and no vote of the holders of any class of the common stock, Class A common stock, Class B common stock or the preferred stock voting separately as a class will be required therefor.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4.2 of the Proposed Charter.</w:t>
            </w:r>
            <w:r>
              <w:rPr>
                <w:rFonts w:ascii="Times New Roman;Times;serif" w:hAnsi="Times New Roman;Times;serif"/>
                <w:color w:val="000000"/>
                <w:sz w:val="20"/>
              </w:rPr>
              <w:t xml:space="preserve"> </w:t>
            </w:r>
          </w:p>
        </w:tc>
      </w:tr>
      <w:tr>
        <w:trPr/>
        <w:tc>
          <w:tcPr>
            <w:tcW w:w="1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0"/>
              <w:jc w:val="left"/>
              <w:rPr>
                <w:color w:val="000000"/>
              </w:rPr>
            </w:pPr>
            <w:r>
              <w:rPr>
                <w:color w:val="000000"/>
              </w:rPr>
              <w:t> </w:t>
            </w:r>
          </w:p>
        </w:tc>
      </w:tr>
      <w:tr>
        <w:trPr/>
        <w:tc>
          <w:tcPr>
            <w:tcW w:w="105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Action by Written Consent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 resolution in writing signed by all the shareholders entitled to vote at a general meeting shall be as valid and effective as if the same had been passed at a duly convened and held general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24.3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provides that, subject to the rights in certain instances of the holders of shares of Class B common stock and the holders of one or more series of preferred stock, any action required or permitted to be taken by ProKidney Delaware’s stockholders must be effected by a duly called annual or special meeting of such stockholders and may not be effected by consent of the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8.1 of the Proposed Charter.</w:t>
            </w:r>
            <w:r>
              <w:rPr>
                <w:rFonts w:ascii="Times New Roman;Times;serif" w:hAnsi="Times New Roman;Times;serif"/>
                <w:color w:val="000000"/>
                <w:sz w:val="20"/>
              </w:rPr>
              <w:t xml:space="preserve"> </w:t>
            </w:r>
          </w:p>
        </w:tc>
      </w:tr>
      <w:tr>
        <w:trPr/>
        <w:tc>
          <w:tcPr>
            <w:tcW w:w="1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0"/>
              <w:jc w:val="left"/>
              <w:rPr>
                <w:color w:val="000000"/>
              </w:rPr>
            </w:pPr>
            <w:r>
              <w:rPr>
                <w:color w:val="000000"/>
              </w:rPr>
              <w:t> </w:t>
            </w:r>
          </w:p>
        </w:tc>
      </w:tr>
      <w:tr>
        <w:trPr/>
        <w:tc>
          <w:tcPr>
            <w:tcW w:w="105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 Capital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share capital under the Existing Organizational Documents is US$100,500 divided into 500,000,000 Class A ordinary shares of a par value of US$0.0001 each, 500,000,000 Class B ordinary shares of a par value of US$0.0001 each and 5,000,000 preference shares of a par value of US$0.0001 each.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paragraph 5 of the Existing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authorizes 1,250,000,000 shares of ProKidney Delaware consisting of 700,000,000 shares of Class A common stock, par value $0.0001 per share, 500,000,000 shares of Class B common stock, par value $0.0001 per share, and 50,000,000 shares of preferred stock, par value $0.0001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4.1 of the Proposed Charter.</w:t>
            </w:r>
          </w:p>
        </w:tc>
      </w:tr>
      <w:tr>
        <w:trPr/>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29" w:type="dxa"/>
            <w:tcBorders/>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45101x2_424b3_107-sum_pg5"/>
        <w:bookmarkEnd w:id="32"/>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41"/>
        <w:gridCol w:w="140"/>
        <w:gridCol w:w="140"/>
        <w:gridCol w:w="4591"/>
        <w:gridCol w:w="140"/>
        <w:gridCol w:w="140"/>
        <w:gridCol w:w="3373"/>
      </w:tblGrid>
      <w:tr>
        <w:trPr/>
        <w:tc>
          <w:tcPr>
            <w:tcW w:w="1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vAlign w:val="center"/>
          </w:tcPr>
          <w:p>
            <w:pPr>
              <w:pStyle w:val="TableContents"/>
              <w:bidi w:val="0"/>
              <w:spacing w:before="0" w:after="0"/>
              <w:jc w:val="left"/>
              <w:rPr/>
            </w:pPr>
            <w:r>
              <w:rPr/>
              <w:t> </w:t>
            </w:r>
          </w:p>
        </w:tc>
      </w:tr>
      <w:tr>
        <w:trPr/>
        <w:tc>
          <w:tcPr>
            <w:tcW w:w="1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vAlign w:val="center"/>
          </w:tcPr>
          <w:p>
            <w:pPr>
              <w:pStyle w:val="TableContents"/>
              <w:bidi w:val="0"/>
              <w:spacing w:before="0" w:after="0"/>
              <w:jc w:val="left"/>
              <w:rPr>
                <w:color w:val="000000"/>
              </w:rPr>
            </w:pPr>
            <w:r>
              <w:rPr>
                <w:color w:val="000000"/>
              </w:rPr>
              <w:t> </w:t>
            </w:r>
          </w:p>
        </w:tc>
      </w:tr>
      <w:tr>
        <w:trPr/>
        <w:tc>
          <w:tcPr>
            <w:tcW w:w="1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vAlign w:val="center"/>
          </w:tcPr>
          <w:p>
            <w:pPr>
              <w:pStyle w:val="TableContents"/>
              <w:bidi w:val="0"/>
              <w:spacing w:before="0" w:after="0"/>
              <w:jc w:val="left"/>
              <w:rPr>
                <w:color w:val="000000"/>
              </w:rPr>
            </w:pPr>
            <w:r>
              <w:rPr>
                <w:color w:val="000000"/>
              </w:rPr>
              <w:t> </w:t>
            </w:r>
          </w:p>
        </w:tc>
      </w:tr>
      <w:tr>
        <w:trPr/>
        <w:tc>
          <w:tcPr>
            <w:tcW w:w="14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Adoption of Supermajority Vote Requirement to Amend the Proposed Governing Documents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amendments to change ProKidney’s name, alter or add to the Articles (as defined therein), alter or add to the Memorandum (as defined therein) with respect to any objects, powers or other matters specified therein or to reduce its share capital or any capital redemption reserve fund may be made by a Special Resolution (as defined under the Cayman Islands Companies Act), being the affirmative vote of holders of a majority of at least two-thirds of such members as, being entitled to do so, vote in person or, where proxies are allowed, by proxy at a general meeting.  There are certain matters that require only an Ordinary Resolution (as defined therein), including increasing the share capital, consolidating and dividing all or any part of the share capital into larger amounts than the existing shares, converting all or any of the Company’s paid-up shares into stock, and reconverting that stock into paid-up shares of any denomination, by subdividing the Company’s existing shares or any of them dividing the whole or any part of its share capital into shares of smaller amount than is fixed by the Memorandum (as defined therein) or into shares without par value, and cancelling any shares that at the date of the passing of the Ordinary Resolution have not been taken or agreed to be taken by any person and diminish the amount of its share capital by the amount of the shares so cancelled. An Ordinary Resolution is a resolution passed by a simple majority of the Members as, being entitled to do so, vote in person or, where proxies are allowed, by proxy at a general meeting, and includes a unanimous written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requires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w:t>
            </w:r>
            <w:r>
              <w:rPr>
                <w:rFonts w:ascii="Times New Roman;Times;serif" w:hAnsi="Times New Roman;Times;serif"/>
                <w:color w:val="000000"/>
                <w:sz w:val="14"/>
              </w:rPr>
              <w:t>3</w:t>
            </w:r>
            <w:r>
              <w:rPr>
                <w:rFonts w:ascii="Times New Roman;Times;serif" w:hAnsi="Times New Roman;Times;serif"/>
                <w:color w:val="000000"/>
                <w:sz w:val="20"/>
              </w:rPr>
              <w:t>) of the total voting power of the outstanding shares of ProKidney Delaware’s capital stock entitled to vote generally in the election of directors, voting together as a single class, in order to remove a director for cause.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7.4, 10 and 11 of the Proposed Charter.</w:t>
            </w:r>
          </w:p>
        </w:tc>
      </w:tr>
      <w:tr>
        <w:trPr/>
        <w:tc>
          <w:tcPr>
            <w:tcW w:w="1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3" w:type="dxa"/>
            <w:tcBorders/>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45101x2_424b3_107-sum_pg6"/>
        <w:bookmarkEnd w:id="33"/>
        <w:r>
          <w:rPr>
            <w:rStyle w:val="InternetLink"/>
            <w:rFonts w:ascii="Times New Roman;Times;Serif" w:hAnsi="Times New Roman;Times;Serif"/>
            <w:b/>
            <w:caps w:val="false"/>
            <w:smallCaps w:val="false"/>
            <w:color w:val="000000"/>
            <w:sz w:val="16"/>
          </w:rPr>
          <w:t>TABLE OF CONTENTS</w:t>
        </w:r>
      </w:hyperlink>
    </w:p>
    <w:tbl>
      <w:tblPr>
        <w:tblW w:w="6815" w:type="dxa"/>
        <w:jc w:val="left"/>
        <w:tblInd w:w="240" w:type="dxa"/>
        <w:tblLayout w:type="fixed"/>
        <w:tblCellMar>
          <w:top w:w="0" w:type="dxa"/>
          <w:left w:w="0" w:type="dxa"/>
          <w:bottom w:w="0" w:type="dxa"/>
          <w:right w:w="0" w:type="dxa"/>
        </w:tblCellMar>
      </w:tblPr>
      <w:tblGrid>
        <w:gridCol w:w="155"/>
        <w:gridCol w:w="140"/>
        <w:gridCol w:w="140"/>
        <w:gridCol w:w="4715"/>
        <w:gridCol w:w="140"/>
        <w:gridCol w:w="140"/>
        <w:gridCol w:w="13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20 of our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bl>
    <w:p>
      <w:pPr>
        <w:pStyle w:val="TextBody"/>
        <w:bidi w:val="0"/>
        <w:spacing w:before="275"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Election of Directors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ProKidney’s shareholders are asked to elect the following three director nominees named in this proxy statement/prospectus to serve as Class III directors for three-year terms expiring at the annual meeting in 2028 and until their successors are duly elected and qualified: Bruce Culleton, M.D., Pablo Legorreta and Uma Sinha, Ph.D. For additional information, see “</w:t>
      </w:r>
      <w:r>
        <w:rPr>
          <w:rFonts w:ascii="Times New Roman;Times;serif" w:hAnsi="Times New Roman;Times;serif"/>
          <w:i/>
          <w:color w:val="000000"/>
          <w:sz w:val="20"/>
          <w:bdr w:val="single" w:sz="8" w:space="12" w:color="000000"/>
        </w:rPr>
        <w:t>Election of Directors</w:t>
      </w:r>
      <w:r>
        <w:rPr>
          <w:rFonts w:ascii="Times New Roman;Times;serif" w:hAnsi="Times New Roman;Times;serif"/>
          <w:color w:val="000000"/>
          <w:sz w:val="20"/>
          <w:bdr w:val="single" w:sz="8" w:space="12" w:color="000000"/>
        </w:rPr>
        <w:t xml:space="preserve">” section of this proxy statement/prospectus. </w:t>
      </w:r>
    </w:p>
    <w:p>
      <w:pPr>
        <w:pStyle w:val="TextBody"/>
        <w:bidi w:val="0"/>
        <w:spacing w:before="26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Appointment of Independent Registered Public Accounting Firm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ProKidney’s shareholders are also asked to approve, by ordinary resolution, a proposal to ratify the appointment of Ernst and Young as the Company’s independent registered public accounting firm for the Company’s fiscal year ending December 31, 2025. For additional information, see “</w:t>
      </w:r>
      <w:r>
        <w:rPr>
          <w:rFonts w:ascii="Times New Roman;Times;serif" w:hAnsi="Times New Roman;Times;serif"/>
          <w:i/>
          <w:color w:val="000000"/>
          <w:sz w:val="20"/>
          <w:bdr w:val="single" w:sz="8" w:space="12" w:color="000000"/>
        </w:rPr>
        <w:t>Proposal No. 5 Ratification of Selection of Independent Registered Public Accounting Firm</w:t>
      </w:r>
      <w:r>
        <w:rPr>
          <w:rFonts w:ascii="Times New Roman;Times;serif" w:hAnsi="Times New Roman;Times;serif"/>
          <w:color w:val="000000"/>
          <w:sz w:val="20"/>
          <w:bdr w:val="single" w:sz="8" w:space="12" w:color="000000"/>
        </w:rPr>
        <w:t xml:space="preserve">” section of this proxy statement/prospectus. </w:t>
      </w:r>
    </w:p>
    <w:p>
      <w:pPr>
        <w:pStyle w:val="TextBody"/>
        <w:bidi w:val="0"/>
        <w:spacing w:before="26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Adjournment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based on the tabulated vote, there are not sufficient votes at the time of the annual general meeting to approve the preceding proposals, the Board may submit a proposal to adjourn the annual general meeting to a later date or dates, if necessary, to permit further solicitation of proxies. For additional information, see “</w:t>
      </w:r>
      <w:r>
        <w:rPr>
          <w:rFonts w:ascii="Times New Roman;Times;serif" w:hAnsi="Times New Roman;Times;serif"/>
          <w:i/>
          <w:color w:val="000000"/>
          <w:sz w:val="20"/>
          <w:bdr w:val="single" w:sz="8" w:space="12" w:color="000000"/>
        </w:rPr>
        <w:t>Proposal No. 6 The Adjournment Proposal</w:t>
      </w:r>
      <w:r>
        <w:rPr>
          <w:rFonts w:ascii="Times New Roman;Times;serif" w:hAnsi="Times New Roman;Times;serif"/>
          <w:color w:val="000000"/>
          <w:sz w:val="20"/>
          <w:bdr w:val="single" w:sz="8" w:space="12" w:color="000000"/>
        </w:rPr>
        <w:t xml:space="preserve">” section of this proxy statement/prospectus. </w:t>
      </w:r>
    </w:p>
    <w:p>
      <w:pPr>
        <w:pStyle w:val="TextBody"/>
        <w:bidi w:val="0"/>
        <w:spacing w:before="2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Place of Annual Meeting of ProKidney’s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annual general meeting will be held on May 29, 2025 at 10:00 a.m., Eastern Time, physically at 399 Boylston Street, Ste. 350, Boston, MA 02116 and virtually via live webcast at www.virtualshareholdermeeting.com/PROK2025 or at such other time, on such other date and at such other place to which the meeting may be adjourned or postponed.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Power; Record Date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will be entitled to vote or direct votes to be cast at the annual general meeting if they owned ordinary shares at the close of business on April 24, 2025, which is the record date for the annual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Quorum and Vote of ProKidney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quorum of ProKidney shareholders is necessary to hold a valid meeting. A quorum will be present at the annual general meeting if one or more shareholders holding at least a majority of the paid-up voting share capital entitled to vote are present in person or by proxy. Abstentions and broker non-votes, while considered present for the purposes of establishing a quorum, will not count as a vote cast at the annual general meeting. As of the record date for the annual general meeting, 146,351,513 ordinary shares would be required to achieve a quorum.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presented at the annual general meeting require the following votes: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Domestication proposal: The approval of the domestication proposal requires a special resolution under the Cayman Islands Companies Act and the Existing Organizational Documents, being the affirmative vote of the holders of at least two-thirds of the Class A and Class B ordinary shares, voting as a single class, represented in person or by proxy and entitled to vote thereon, who vote at the annual general meeting.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New charter proposal: The approval of the new charter proposal requires a special resolution under the Cayman Islands Companies Act, being the affirmative vote of the holders of at least two-thirds of the Class A and Class B ordinary shares, voting as a single class, represented in person or by proxy and entitled to vote thereon, who vote at the annual general meeting.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45101x2_424b3_107-sum_pg7"/>
        <w:bookmarkEnd w:id="3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Advisory charter proposals: The separate approval of each of the advisory charter proposals by non-binding, advisory ordinary resolution under the Cayman Islands Companies Act requires an affirmative vote for the proposal by the holders of not less than a simple majority of the Class A and Class B ordinary shares, voting as a single class, represented in person or by proxy and entitled to vote thereon and who vote at the annual general meeting.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of Directors: Election of each Director requires an ordinary resolution under the Cayman Islands Companies Act, being the affirmative vote for each director by the holders of not less than a simple majority of the Class A and Class B ordinary shares, voting as a single class, represented in person or by proxy and entitled to vote thereon and who vote at the annual general meeting.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independent registered public accounting firm proposal: The approval of the appointment of independent registered public accounting firm proposal requires an ordinary resolution under the Cayman Islands Companies Act, being the affirmative vote for the proposal by the holders of not less than a simple majority of the Class A and Class B ordinary shares, voting as a single class, represented in person or by proxy and entitled to vote thereon and who vote at the annual general meeting.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Adjournment proposal: The approval of the adjournment proposal requires an ordinary resolution under the Cayman Islands Companies Act, being the affirmative vote for the proposal by the holders of a majority of the Class A and Class B ordinary shares, voting as a single class, represented in person or by proxy and entitled to vote thereon and who vote at the annual general meeting.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Abstentions and broker non-votes, while considered present for the purposes of establishing a quorum, will not count as a vote cast at the annual general meeting.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 shareholders do not have appraisal rights in connection with the domestication under the Cayman Islands Companies Act or under the DGCL.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Proxy Solicitation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Proxies may be solicited by mail, telephone or in person. If a shareholder grants a proxy, it may still vote its shares in person if it revokes its proxy before the annual general meeting. A shareholder also may change its vote by submitting a later-dated proxy as described in the section entitled “</w:t>
      </w:r>
      <w:r>
        <w:rPr>
          <w:rFonts w:ascii="Times New Roman;Times;serif" w:hAnsi="Times New Roman;Times;serif"/>
          <w:i/>
          <w:color w:val="000000"/>
          <w:sz w:val="20"/>
          <w:bdr w:val="single" w:sz="8" w:space="12" w:color="000000"/>
        </w:rPr>
        <w:t>Important Information About the Annual Meeting, Voting and the Domestication Proposal—May I change or revoke my proxy</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to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of (i) the full Board of ProKidney and (ii) the directors of the Board who do not own Class B ordinary shares believe that the domestication proposal and the other proposals to be presented at the annual general meeting are in the best interest of the Company and unanimously recommend that its shareholders vote “FOR” the approval of the domestication proposal, “FOR” the approval of the new charter proposals, “FOR” each of the separate advisory charter proposals, “FOR” the election of each director nominee, “FOR” the appointment of independent registered public accounting firm proposal and “FOR” the adjournment proposal, in each case, if presented to the annual general meeting.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Certain Persons in 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(as defined below), which was entered into in connection with our business combination. ProKidney Delaware’s payment obligations under the Tax Receivable Agreement to Class B stockholders could have been greater or lesser than what they might have been had ProKidney determined to migrate to a jurisdiction other than the United States. The amount and timing of any payments under the Tax Receivable Agreement are highly speculative and are dependent on a number of factors outside ProKidney Delaware’s control. Because ProKidney Holdings does not expect to generate significant operating revenues in the near future, if at all, payments made by ProKidney Delaware to Class B stockholders under the Tax Receivable Agreement in the near future, if any, are not expected to be material. See the section entitled “</w:t>
      </w:r>
      <w:r>
        <w:rPr>
          <w:rFonts w:ascii="Times New Roman;Times;serif" w:hAnsi="Times New Roman;Times;serif"/>
          <w:i/>
          <w:color w:val="000000"/>
          <w:sz w:val="20"/>
          <w:bdr w:val="single" w:sz="8" w:space="12" w:color="000000"/>
        </w:rPr>
        <w:t>Interests of Certain Persons in the Domestication</w:t>
      </w:r>
      <w:r>
        <w:rPr>
          <w:rFonts w:ascii="Times New Roman;Times;serif" w:hAnsi="Times New Roman;Times;serif"/>
          <w:color w:val="000000"/>
          <w:sz w:val="20"/>
          <w:bdr w:val="single" w:sz="8" w:space="12" w:color="000000"/>
        </w:rPr>
        <w:t xml:space="preserve">” for a further discussion of these considerations.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45101x2_424b3_107-sum_pg8"/>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Considerations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discussion summarizing the U.S. federal income tax considerations of the domestication, please see “</w:t>
      </w:r>
      <w:r>
        <w:rPr>
          <w:rFonts w:ascii="Times New Roman;Times;serif" w:hAnsi="Times New Roman;Times;serif"/>
          <w:i/>
          <w:color w:val="000000"/>
          <w:sz w:val="20"/>
          <w:bdr w:val="single" w:sz="8" w:space="12" w:color="000000"/>
        </w:rPr>
        <w:t>Material U.S. Federal Income Tax Considerations</w:t>
      </w:r>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Anticipated Accounting Treatment </w:t>
      </w:r>
    </w:p>
    <w:p>
      <w:pPr>
        <w:pStyle w:val="TextBody"/>
        <w:bidi w:val="0"/>
        <w:spacing w:before="1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do not believe there will be a material accounting effect or change in the carrying amount of the consolidated assets and liabilities of ProKidney as a result of domestication. The business, capitalization, assets and liabilities and financial statements of ProKidney Delaware immediately following the domestication will be the same as those of ProKidney immediately prior to the domestication.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Corporate Governance and Shareholder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domestication will change ProKidney’s jurisdiction of incorporation from the Cayman Islands to Delaware and, as a result, ProKidney’s Existing Organizational Documents will be altered and replaced in full with the Proposed Organizational Documents, and ProKidney Delaware will be governed by the DGCL rather than Cayman Islands Companies Act. There are differences between Cayman Islands corporate law, which currently governs ProKidney, and Delaware corporate law, which will govern ProKidney Delaware following the effectiveness of the domestication. Additionally, there are differences between the Proposed Organization Documents of ProKidney Delaware and the Existing Organizational Documents of ProKidney. For a summary of the material differences among the rights of holders of common stock and holders of ordinary shares, see “</w:t>
      </w:r>
      <w:r>
        <w:rPr>
          <w:rFonts w:ascii="Times New Roman;Times;serif" w:hAnsi="Times New Roman;Times;serif"/>
          <w:i/>
          <w:color w:val="000000"/>
          <w:sz w:val="20"/>
          <w:bdr w:val="single" w:sz="8" w:space="12" w:color="000000"/>
        </w:rPr>
        <w:t>Comparison of Corporate Governance and Shareholder Rights</w:t>
      </w:r>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Matters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domestication is not subject to any additional federal or state regulatory requirements or approvals, except for filings with the Cayman Islands and the State of Delaware necessary to effectuate the domestication.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evaluating the proposals to be presented at the annual general meeting, a shareholder should carefully read this proxy statement/prospectus and especially consider the factors discussed in the section entitled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Sources of Industry and Market Data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Where information has been sourced from a third party, the source of such information has been identified.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Emerging Growth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 is an “emerging growth company,” as defined in Section 2(a)(19) of the Securities Act, as modified by the Jumpstart Our Business Startups Act of 2012, as amended (the “JOBS Act”), and it may take advantage of certain exemptions from various reporting requirements that are applicable to other companies that are not emerging growth companies, including, but not limited to, not being required to comply with the auditor attestation requirements of Section 404 of the Sarbanes-Oxley Act of 2002, as amended (“SOX”),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ProKidney has elected to take advantage of the benefits of this extended transition period. This may make comparison of ProKidney’s financial statements with certain other public companies difficult or impossible because of the potential differences in accounting standards used.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45101x2_424b3_107-sum_pg9"/>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 will remain an emerging growth company until the earlier of (1) the last day of the fiscal year (a) following the fifth anniversary of the completion of the first sale of its securities pursuant to a registration statement that has been declared effective, (b) in which it has total annual gross revenue of at least $1.235 billion (as adjusted for inflation pursuant to SEC rules from time to time), or (c) in which it is deemed to be a large accelerated filer, which means the market value of its Class A ordinary shares that are held by non-affiliates exceeds $700 million as of the prior June 30th, and (2) the date on which it has issued more than $1.00 billion in non-convertible debt during the prior three-year period. </w:t>
      </w:r>
    </w:p>
    <w:p>
      <w:pPr>
        <w:pStyle w:val="TextBody"/>
        <w:bidi w:val="0"/>
        <w:spacing w:before="41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TICKER SYMBOL AND DIVIDEND INFORMATION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ProKidney Ordinary Shares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ProKidney’s Class A ordinary shares are currently listed on Nasdaq under the symbol “PROK”. ProKidney Delaware’s Class A common stock will continue to trade under the same symbol following the domestication. There is no public market for our Class B ordinary shares.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April 24, 2025, there were 40 holders of record of our Class A ordinary shares and 3 holders of record of our Class B ordinary shares.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Dividend Policy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cash dividends have ever been declared or paid on the common equity to date by the Company.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45101x2_424b3_108-risk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RFS"/>
      <w:bookmarkEnd w:id="3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Shareholders should carefully consider the following risk factors, together with all of the other information included and incorporated by reference in this proxy statement/prospectus, before they decide whether to vote or instruct their vote to be cast to approve the proposals described in this proxy statement/prospectus. These risks could have a material adverse effect on the business, results of operations or financial condition of ProKidney Delaware and could adversely affect the trading price of its common stock.</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Your rights as a shareholder will change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Currently, your rights as a shareholder of ProKidney arise under the laws of the Cayman Islands, as well as the Existing Organizational Documents. At the effective time of the domestication, your rights as a shareholder of ProKidney Delaware will arise under Delaware law, as well as the Proposed Organizational Documents. The Proposed Organizational Documents and Delaware law contain provisions that differ in certain material respects from those in our Existing Organizational Documents and Cayman Islands law and, therefore, some of your rights as a shareholder will change. For a description of your rights following the domestication and how they may differ from your current rights, please see the section entitled “</w:t>
      </w:r>
      <w:r>
        <w:rPr>
          <w:rFonts w:ascii="Times New Roman;Times;serif" w:hAnsi="Times New Roman;Times;serif"/>
          <w:i/>
          <w:color w:val="000000"/>
          <w:sz w:val="20"/>
        </w:rPr>
        <w:t>Comparison of Corporate Governance and Shareholder Rights.</w:t>
      </w:r>
      <w:r>
        <w:rPr>
          <w:rFonts w:ascii="Times New Roman;Times;serif" w:hAnsi="Times New Roman;Times;serif"/>
          <w:color w:val="000000"/>
          <w:sz w:val="20"/>
        </w:rPr>
        <w:t>” We also urge shareholders to carefully consult the information set forth in the section entitled “</w:t>
      </w:r>
      <w:r>
        <w:rPr>
          <w:rFonts w:ascii="Times New Roman;Times;serif" w:hAnsi="Times New Roman;Times;serif"/>
          <w:i/>
          <w:color w:val="000000"/>
          <w:sz w:val="20"/>
        </w:rPr>
        <w:t>Proposal No. 3 Advisory Charter Proposals</w:t>
      </w:r>
      <w:r>
        <w:rPr>
          <w:rFonts w:ascii="Times New Roman;Times;serif" w:hAnsi="Times New Roman;Times;serif"/>
          <w:color w:val="000000"/>
          <w:sz w:val="20"/>
        </w:rPr>
        <w:t xml:space="preserve">,” the Existing Organizational Documents of ProKidney, attached hereto as Annex A, and the Proposed Organizational Documents of ProKidney Delaware, attached hereto as Annexes B and C.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intend to domesticate to the U.S. and such domestication may result in disruptions to our business or otherwise materially harm our results of operations or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incorporated in the Cayman Islands, while our principal offices, management and board members are located in the United States. If the domestication proposal and new charter proposal are approved, we will begin proceedings in the Cayman Islands to domesticate to the State of Delaware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this proxy statement/prospectus, and such domestication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our Proposed Organizational Documents and under Delaware law could make an acquisition of us more difficult and limit attempts by our shareholders to replace or remove our current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Both the Existing Organizational Documents and Proposed Organizational Documents contain anti-takeover provisions that may have the effect of delaying or preventing a change in control or changes in our management. The Proposed Organizational Documents, which will be effective at the effective time of the domestication, include the following anti-takeover provisions: </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issue one or more series of preferred stock;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 board dividing into three classes of directors with staggered three-year terms;</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inability of our shareholders to act without a meeting of our shareholders, subject to certain exceptions; </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rules regarding how shareholders may present proposals to nominate directors for election at shareholder meetings; and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our directors, and not shareholders, to fill vacancies on the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45101x2_424b3_108-risk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 comparison of how these provisions may differ from your current rights, please see “</w:t>
      </w:r>
      <w:r>
        <w:rPr>
          <w:rFonts w:ascii="Times New Roman;Times;serif" w:hAnsi="Times New Roman;Times;serif"/>
          <w:i/>
          <w:color w:val="000000"/>
          <w:sz w:val="20"/>
        </w:rPr>
        <w:t>Comparison of Corporate Governance and Shareholder Rights.”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may frustrate or prevent any attempts by our shareholders to replace or remove our current management by making it more difficult for shareholders to replace members of ProKidney Delaware’s board of directors, which is responsible for appointing the members of our management, and may discourage, delay or prevent a transaction involving a change in control of ProKidney Delaware that is in the best interest of our minority shareholders. Even in the absence of a takeover attempt, the existence of these provisions may adversely affect the prevailing market price of our common stock if shareholders view them as discouraging future takeover attempts.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following the domestication, we will be subject to provisions of Delaware law, including Section 203 of the DGCL, which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Given existing commercial relationships as disclosed in “</w:t>
      </w:r>
      <w:r>
        <w:rPr>
          <w:rFonts w:ascii="Times New Roman;Times;serif" w:hAnsi="Times New Roman;Times;serif"/>
          <w:i/>
          <w:color w:val="000000"/>
          <w:sz w:val="20"/>
        </w:rPr>
        <w:t>Certain Relationships and Related Person Transactions</w:t>
      </w:r>
      <w:r>
        <w:rPr>
          <w:rFonts w:ascii="Times New Roman;Times;serif" w:hAnsi="Times New Roman;Times;serif"/>
          <w:color w:val="000000"/>
          <w:sz w:val="20"/>
        </w:rPr>
        <w:t xml:space="preserve">”, in connection with the domestication, the Board intends to adopt a resolution approving as an “interested stockholder” one or more existing stockholders, together with their affiliates or associates, effective upon the effective time of the domestication for purposes of Section 203 of the DGCL.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Proposed Organizational Documents designate the Court of Chancery of the State of Delaware (or, if and only if the Court of Chancery of the State of Delaware lacks subject matter jurisdiction, any state court located within the State of Delaware), as the sole and exclusive forum for certain types of actions and proceedings that may be initiated by our shareholders, which could discourage lawsuits against us and our directors and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which would become effective at effectiveness of the domestication, provides that unless ProKidney Delaware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be the sole and exclusive forum for certain disputes, including: (A) any derivative action or proceeding brought on behalf of ProKidney Delaware; (B) any action or proceeding (including any class action) asserting a claim of breach of a fiduciary duty owed by any current or former director, officer or other employee of ProKidney Delaware to ProKidney Delaware or its stockholders; (C) any action or proceeding (including any class action) asserting a claim against ProKidney Delaware or any current or former director, officer or other employee of ProKidney Delaware arising out of or pursuant to any provision of the DGCL or the Proposed Organizational Documents (as each may be amended from time to time); (D) any action or proceeding (including any class action) to interpret, apply, enforce or determine the validity of the Proposed Organizational Documents (including any right, obligation or remedy thereunder); (E) any action or proceeding as to which the DGCL confers jurisdiction to the Court of Chancery of the State of Delaware; and/or (F) any action or claim against ProKidney Delaware or any current or former director, officer or other employee of ProKidney Delaware governed by the internal affairs doctrine or an “internal corporate claim” as defined in Section 115 of the DGCL, in each case, subject to said court having personal jurisdiction over the indispensable parties named as defendants therein. This exclusive forum provision may limit the ability of our shareholders to bring a claim in a judicial forum that such shareholders find favorable for disputes with us or our directors or officers, which may discourage such lawsuits against us and our directors and officers.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the domestication qualifies as a reorganization under Section 368(a) of the Internal Revenue Code, a U.S. Holder may still recognize gain or other income with respect to their shares at the effective time of the domestication and may cause non-U.S. Holders to become subject to U.S. federal income withholding tax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Holders are subject to Section 367 of the Code, which, depending on certain ownership thresholds, require (or permit pursuant to an election) the recognition of the “all earnings and profits amount” (as defined in the Treasury regulations) attributable to the ProKidney Class A ordinary shares held directly by such holder. ProKidney does not expect that its cumulative earnings and profits will be greater than zero at the time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45101x2_424b3_108-risk_pg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domestication. As a result, as discussed in further detail under “</w:t>
      </w:r>
      <w:r>
        <w:rPr>
          <w:rFonts w:ascii="Times New Roman;Times;serif" w:hAnsi="Times New Roman;Times;serif"/>
          <w:i/>
          <w:color w:val="000000"/>
          <w:sz w:val="20"/>
        </w:rPr>
        <w:t>Material U.S. Federal Income Tax Considerations—U.S. Holders—Effects of Section 367 to U.S. Holders</w:t>
      </w:r>
      <w:r>
        <w:rPr>
          <w:rFonts w:ascii="Times New Roman;Times;serif" w:hAnsi="Times New Roman;Times;serif"/>
          <w:color w:val="000000"/>
          <w:sz w:val="20"/>
        </w:rPr>
        <w:t xml:space="preserve">,” and subject to the discussion below concerning PFICs, a U.S. Holder of ProKidney Class A ordinary shares will generally not have any gain or loss to recognize, provided, in the case of certain U.S. Holders whose Class A ordinary shares have a fair market value of $50,000 or more, such U.S. Holder either (i) is required to, or (ii) can file an election to, include in income the “all earnings and profits amount” attributable to its ProKidney Class A ordinary shares, which amount is expected to be zero, and provided certain other requirements are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Additionally, the domestication may cause non-U.S. Holders (as defined in “</w:t>
      </w:r>
      <w:r>
        <w:rPr>
          <w:rFonts w:ascii="Times New Roman;Times;serif" w:hAnsi="Times New Roman;Times;serif"/>
          <w:i/>
          <w:color w:val="000000"/>
          <w:sz w:val="20"/>
        </w:rPr>
        <w:t>Material U.S. Federal Income Tax Considerations” below</w:t>
      </w:r>
      <w:r>
        <w:rPr>
          <w:rFonts w:ascii="Times New Roman;Times;serif" w:hAnsi="Times New Roman;Times;serif"/>
          <w:color w:val="000000"/>
          <w:sz w:val="20"/>
        </w:rPr>
        <w:t xml:space="preserve">) to become subject to U.S. federal income withholding taxes on any dividends in respect of such non-U.S. Holder’s ProKidney Class A common stock subsequent to the domestication. ProKidney does not expect to make any dividend distributions to its shareholders in the near future.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TAX ADVISORS WITH RESPECT TO THE APPLICATION OF U.S. FEDERAL TAX LAWS TO YOUR PARTICULAR SITUATION, AS WELL AS ANY TAX CONSEQUENCES ARISING UNDER THE LAWS OF ANY STATE, LOCAL OR NON-U.S. JURISDICTION.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a passive foreign investment company, which could result in adverse United States federal income tax consequences to U.S.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discussed further under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below, ProKidney believes that it is likely (and likely has been) a PFIC for U.S. federal income tax purposes. In the event that ProKidney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exchange of ProKidney Class A ordinary shares for the Class A common stock of the Delaware corporation pursuant to the domestication unless the U.S. Holder makes (or has made) certain elections (including, for example, a QEF election) discussed further under “</w:t>
      </w:r>
      <w:r>
        <w:rPr>
          <w:rFonts w:ascii="Times New Roman;Times;serif" w:hAnsi="Times New Roman;Times;serif"/>
          <w:i/>
          <w:color w:val="000000"/>
          <w:sz w:val="20"/>
        </w:rPr>
        <w:t>Material U.S. Federal Income Tax Considerations—U.S. Holders—Effects of Section 367 on U.S. Holders.</w:t>
      </w:r>
      <w:r>
        <w:rPr>
          <w:rFonts w:ascii="Times New Roman;Times;serif" w:hAnsi="Times New Roman;Times;serif"/>
          <w:color w:val="000000"/>
          <w:sz w:val="20"/>
        </w:rPr>
        <w:t>”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Each U.S. Holder of ProKidney Class A ordinary shares is urged to consult its own tax advisor concerning the application of the PFIC rules to the exchange of ProKidney Class A ordinary shares for ProKidney common stock pursuant to the domestication. For a more detailed explanation of the tax consequences of PFIC classification to U.S. Holders, see the section of this proxy statement/prospectus captioned “</w:t>
      </w:r>
      <w:r>
        <w:rPr>
          <w:rFonts w:ascii="Times New Roman;Times;serif" w:hAnsi="Times New Roman;Times;serif"/>
          <w:i/>
          <w:color w:val="000000"/>
          <w:sz w:val="20"/>
        </w:rPr>
        <w:t>Material U.S. Federal Income Tax Considerations—U.S. Holders—PFIC Considerations.”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Class B shareholders, including certain of our directors and officers, may have potential interests in the domestication different from or in addition to the interests of our public shareholders, and such interests may have influenced their decisions to approve the domestication and recommend that our shareholders approve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Pursuant to the Tax Receivable Agreement, among other things, ProKidney is required to pay holders of common units of PKLP and ProKidney Class B ordinary shares 85% of certain tax savings recognized by ProKidney, if any, as a result of the increases in tax basis attributable to exchanges by such holders of common units of PKLP and the Class B ordinary shares for the Class A ordinary shares or, subject to certain restrictions, cash, pursuant to the Exchange Agreement and certain other tax attributes of PKLP and tax benefits related to entering into the Tax Receivable Agreement. After the domestication and the related Restructuring, ProKidney Delaware will succeed to the aforementioned obligations of ProKidney under the Tax Receivable Agreement to pay holders of common units of ProKidney Holdings and Class B common stock of ProKidney Delaware 85% of certain tax savings recognized by ProKidney Delaware, if any, pursuant to the Tax Receivable Agreement attributable to exchanges of common units of ProKidney Holdings for Class A common stock of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payment obligations under the Tax Receivable Agreement could have been greater or lesser than what they might have been had ProKidney determined to migrate to a jurisdiction other than the United States.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45101x2_424b3_108-risk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and timing of any payments under the Tax Receivable Agreement are highly speculative and remain dependent upon a number of factors, including the timing of exchanges, the market price of the Class A common stock at the time of the exchange, the extent to which such exchanges are taxable and the amount and timing of the recognition of ProKidney Holdings’ income. Many of the factors that will determine the amount of payments that ProKidney Delaware will make under the Tax Receivable Agreement remain outside of ProKidney Delaware’s control. Because ProKidney Holdings does not expect to generate significant operating revenues in the near future, if at all, ProKidney Delaware’s payment obligations under the Tax Receivable Agreement in the near future, if any, are not expected to be material.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transaction costs in connection with the completion of the domestication and related transactions, some of which will be incurred whether or not the domestication is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your vote to adopt the domestication resolution at the annual general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45101x2_424b3_109-interests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IOC"/>
      <w:bookmarkEnd w:id="43"/>
      <w:r>
        <w:rPr>
          <w:rFonts w:ascii="Times New Roman;Times;serif" w:hAnsi="Times New Roman;Times;serif"/>
          <w:b/>
          <w:color w:val="000000"/>
          <w:sz w:val="20"/>
        </w:rPr>
        <w:t xml:space="preserve">INTERESTS OF CERTAIN PERSONS IN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Board with respect to the domestication proposal and the new charter proposal, you should be aware that 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Under the Tax Receivable Agreement, ProKidney is required to pay holders of common units of PKLP and ProKidney Class B ordinary shares 85% of certain tax savings recognized by ProKidney, if any, as a result of the increases in tax basis attributable to exchanges by such holders of common units of PKLP and ProKidney’s Class B ordinary shares for Class A ordinary shares or, subject to certain restrictions, cash, pursuant to the Exchange Agreement and certain other tax attributes of PKLP and tax benefits related to entering into the Tax Receivable Agreement. After the domestication and the related Restructuring, ProKidney Delaware will succeed to the aforementioned obligations of ProKidney under the Tax Receivable Agreement to pay holders of common units of ProKidney Holdings and Class B common stock of ProKidney Delaware 85% of certain tax savings recognized by ProKidney Delaware, if any, pursuant to the Tax Receivable Agreement attributable to exchanges of common units of ProKidney Holdings for Class A common stock of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payment obligations under the Tax Receivable Agreement could have been greater or lesser than what they might have been had ProKidney determined to migrate to a jurisdiction other than the United States. The amount and timing of any payments under the Tax Receivable Agreement remains highly speculative and dependent upon a number of factors, including the timing of exchanges, the market price of the Class A ordinary share at the time of the exchange, the extent to which such exchanges are taxable and the amount and timing of the recognition of ProKidney Holdings’ income. Many of the factors that will determine the amount of payments that ProKidney Delaware will make under the Tax Receivable Agreement remain outside of ProKidney Delaware’s control. Because ProKidney Holdings does not expect to generate significant operating revenues in the near future, if at all, ProKidney Delaware’s payment obligations under the Tax Receivable Agreement in the near future, if any, are not expected to be material.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WAS AWARE OF THESE INTERESTS AND CONSIDERED THEM, AMONG OTHER MATTERS, IN REACHING THE DETERMINATION THAT THE DOMESTICATION PROPOSAL AND THE NEW CHARTER PROPOSAL ARE FAIR, ADVISABLE AND IN THE BEST INTERESTS OF PROKIDNEY AND ITS SHAREHOLDERS AND IN MAKING THEIR RECOMMENDATIONS REGARDING APPROVAL OF THE DOMESTICATION PROPOSAL AND THE NEW CHARTER PROPOSAL. IN ADDITION TO THE DOMESTICATION PROPOSAL BEING APPROVED BY THE FULL BOARD, THE DIRECTORS OF THE BOARD WHO DO NOT OWN CLASS B ORDINARY SHARES ALSO APPROVED THE DOMESTICATION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45101x2_424b3_110-proposals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PROP1"/>
      <w:bookmarkEnd w:id="45"/>
      <w:r>
        <w:rPr>
          <w:rFonts w:ascii="Times New Roman;Times;serif" w:hAnsi="Times New Roman;Times;serif"/>
          <w:b/>
          <w:color w:val="000000"/>
          <w:sz w:val="20"/>
        </w:rPr>
        <w:t xml:space="preserve">PROPOSAL NO.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DOMESTICATION PROPOSAL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this proxy statement/prospectus, we are asking our shareholders to approve the domestication proposal. Each of (i) the full Board of ProKidney and (ii) the directors of the Board who do not own Class B ordinary shares unanimously approved and recommended that shareholders approve a change of our jurisdiction of incorporation from the Cayman Islands to the State of Delaware by deregistering as an exempted company in the Cayman Islands and domesticating and continuing as a corporation incorporated under the laws of the State of Delaware. To effect the domestication, upon approval of the domestication proposal and the new charter proposal, we will file an application for deregistration with the Cayman Islands Registrar of Companies, together with the necessary accompanying documents and fees, and file the Proposed Charter and a Certificate of Corporate Domestication with the Secretary of State of the State of Delaware, under which we will be domesticated and continue as a Delaware corporation.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domestication proposal together with the new charter proposal, if approved, will approve a change of our jurisdiction of incorporation from the Cayman Islands to the State of Delaware. Accordingly, while we are currently governed by the Cayman Islands Companies Act, upon effectiveness of the domestication, ProKidney Delaware will be governed by the DGCL. We urge shareholders to carefully consult the information set out below under “</w:t>
      </w:r>
      <w:r>
        <w:rPr>
          <w:rFonts w:ascii="Times New Roman;Times;serif" w:hAnsi="Times New Roman;Times;serif"/>
          <w:i/>
          <w:color w:val="000000"/>
          <w:sz w:val="20"/>
        </w:rPr>
        <w:t>Comparison of Corporate Governance and Shareholder Rights</w:t>
      </w:r>
      <w:r>
        <w:rPr>
          <w:rFonts w:ascii="Times New Roman;Times;serif" w:hAnsi="Times New Roman;Times;serif"/>
          <w:color w:val="000000"/>
          <w:sz w:val="20"/>
        </w:rPr>
        <w:t xml:space="preserve">.” Additionally, in connection with the domestication proposal, we are asking ProKidney’s shareholders to approve (i) the new charter proposal (with the approval of the domestication proposal being conditioned upon the new charter proposal also being approved) and (ii) the five non-binding, advisory charter proposals (with the approval of the domestication proposal or the new charter proposal not being conditioned upon any of the non-binding, advisory charter proposals being approved). We urge shareholders to carefully consult the information provided in the advisory charter proposals, the Existing Organizational Documents, attached hereto as Annex A, and the Proposed Organizational Documents of ProKidney Delaware, forms of which are attached hereto as Annexes B and 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conduct our operating business indirectly through PKLP, a limited partnership organized under the laws of Ireland of which we are a limited partner, and its subsidiaries. Certain Restructuring transactions are also intended to occur around the time of the domestication as follows: (i) prior to the domestication, PKLP will contribute substantially all of its assets to a newly formed subsidiary, ProKidney Holdings, and PKLP will then make a liquidating distribution of its limited liability company interests in ProKidney Holdings to its partners, including the Company, (ii) assuming the domestication proposal and the new charter proposal are approved, the domestication will be consummated, and (iii) following the domestication,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limited liability company expected to be named ProKidney IPCo, LLC.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that there are significant advantages to ProKidney Delaware that will arise as a result of a change of domicile to Delaware. Further, our Board believes that any direct benefit that Delaware law provides to a corporation also indirectly benefits the shareholders, who are the owners of the corporation. Our Board believes that there are several reasons why a domestication from the Cayman Islands to Delaware is in the best interests of us and our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45101x2_424b3_110-proposals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explained in more detail below, our reasons for the domestication can be summarized as follows: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Prominence, Predictability, and Flexibility of Delaware Law</w:t>
      </w:r>
      <w:r>
        <w:rPr>
          <w:rFonts w:ascii="Times New Roman;Times;serif" w:hAnsi="Times New Roman;Times;serif"/>
          <w:i w:val="false"/>
          <w:caps w:val="false"/>
          <w:smallCaps w:val="false"/>
          <w:color w:val="000000"/>
          <w:sz w:val="20"/>
        </w:rPr>
        <w:t xml:space="preserve">. 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 Based on publicly available data, over half of publicly-traded corporations in the United States and approximately two thirds of all Fortune 500 companies are incorporated in Delaware.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Well-Established Principles of Corporate Governance</w:t>
      </w:r>
      <w:r>
        <w:rPr>
          <w:rFonts w:ascii="Times New Roman;Times;serif" w:hAnsi="Times New Roman;Times;serif"/>
          <w:i w:val="false"/>
          <w:caps w:val="false"/>
          <w:smallCaps w:val="false"/>
          <w:color w:val="000000"/>
          <w:sz w:val="20"/>
        </w:rPr>
        <w:t xml:space="preserve">. There is substantial judicial precedent in the Delaware courts as to the legal principles applicable to measures that may be taken by a corporation and to the conduct of a corporation’s board of directors, such as under the business judgment rule and other standards. Because the judicial system is based largely on legal precedents, the abundance of Delaware case law provides clarity and predictability to many areas of corporate law. Such clarity would be advantageous to ProKidney Delaware, its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shareholders of ProKidney Delaware from possible abuses by directors and officers. It is anticipated that the DGCL will continue to be interpreted and explained in a number of significant court decisions that may provide greater predictability with respect to corporate legal affairs of ProKidney Delaware.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Increased Ability to Attract and Retain Qualified Directors</w:t>
      </w:r>
      <w:r>
        <w:rPr>
          <w:rFonts w:ascii="Times New Roman;Times;serif" w:hAnsi="Times New Roman;Times;serif"/>
          <w:i w:val="false"/>
          <w:caps w:val="false"/>
          <w:smallCaps w:val="false"/>
          <w:color w:val="000000"/>
          <w:sz w:val="20"/>
        </w:rPr>
        <w:t xml:space="preserve">. Domestication from the Cayman Islands to Delaware is attractive to directors, officers, and shareholders alike. ProKidney Delaware’s incorporation in Delaware may make ProKidney Delaware more attractive to future candidates for our Board,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therefore believes that providing the benefits afforded directors by Delaware law will enable ProKidney Delaware to compete more effectively with other public companies in the recruitment of talented and experienced directors and officers. Moreover, Delaware’s vast body of law on the fiduciary duties of directors provides appropriate protection for our shareholders from possible abuses by directors and officers.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corporation’s ability to limit director liability. As a result, we believe that the corporate environment afforded by Delaware will enable ProKidney Delaware to compete more effectively with other public companies in attracting and retaining new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45101x2_424b3_110-proposals_pg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Cost Reduction</w:t>
      </w:r>
      <w:r>
        <w:rPr>
          <w:rFonts w:ascii="Times New Roman;Times;serif" w:hAnsi="Times New Roman;Times;serif"/>
          <w:i w:val="false"/>
          <w:caps w:val="false"/>
          <w:smallCaps w:val="false"/>
          <w:color w:val="000000"/>
          <w:sz w:val="20"/>
        </w:rPr>
        <w:t xml:space="preserve">. The domestication enables ProKidney to avoid certain cost inefficiencies that would result if ProKidney were to conduct an operating business in the United States as a foreign corporation, including maintaining transfer pricing intercompany and related party arrangements, and compliance for a multijurisdictional cross-border structure.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Taxes.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ProKidney can mitigate certain tax inefficiencies that would result if ProKidney were to conduct an operating business in the United States as a foreign 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Accounting Treatment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believe that there will be a material accounting effect or change in the carrying amount of the consolidated assets and liabilities of ProKidney as a result of domestication. The business, capitalization, assets and liabilities and financial statements of ProKidney Delaware immediately following the domestication will be the same as those of ours immediately prior to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special resolution, being the affirmative vote of the holders of at least two-thirds of the Class A and Class B ordinary shares, voting as a single class, represented in person or by proxy, entitled to vote thereon, and who vote at the annual general meeting.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proposal is conditioned on the approval and adoption of the new charter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Special Resolution that pursuant to the power contained in Article 49 of the Company’s second amended and restated articles and memorandum of association, the domestication of ProKidney Corp., being the registration by way of domestication and continuation as a body corporate under the laws of the State of Delaware and deregistration in the Cayman Islands, be approved, and ProKidney Corp. be authorized to file the Proposed Charter and a Certificate of Corporate Domestication with the Secretary of State of the State of Delaware to domesticate and continue as a corporation in the State of Delaware, pursuant to Sections 206 and 207 of the Companies Act (as amended) of the Cayman Islands and section 388 of the Delaware General Corporation Law.”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UNANIMOUSLY RECOMMENDS THAT SHAREHOLDERS VOTE “FOR” THE APPROVAL OF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Times;serif" w:hAnsi="Times New Roman;Times;serif"/>
          <w:i/>
          <w:color w:val="000000"/>
          <w:sz w:val="20"/>
        </w:rPr>
        <w:t>Interests of Certain Persons in the Domestication</w:t>
      </w:r>
      <w:r>
        <w:rPr>
          <w:rFonts w:ascii="Times New Roman;Times;serif" w:hAnsi="Times New Roman;Times;serif"/>
          <w:color w:val="000000"/>
          <w:sz w:val="20"/>
        </w:rPr>
        <w:t xml:space="preserve">” for a further discussion of these considerations.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45101x2_424b3_110-proposals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PROP2"/>
      <w:bookmarkEnd w:id="49"/>
      <w:r>
        <w:rPr>
          <w:rFonts w:ascii="Times New Roman;Times;serif" w:hAnsi="Times New Roman;Times;serif"/>
          <w:b/>
          <w:color w:val="000000"/>
          <w:sz w:val="20"/>
        </w:rPr>
        <w:t xml:space="preserve">PROPOSAL NO.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CHARTER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and the new charter proposal are approved, ProKidney will domesticate to the State of Delaware and in connection therewith alter its Existing Organizational Documents under the Cayman Islands Companies Act by replacing them in full with the Proposed Charter and Proposed Bylaws of ProKidney Delaware, in each case, under the DGCL. The domestication proposal is conditioned on the approval and adoption of the Proposed Charter being requested pursuant to this new charter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New Charter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Board’s specific reasons for the new charter proposal and each of the advisory charter proposals (each of which are included in the Proposed Charter) are set forth in the section “</w:t>
      </w:r>
      <w:r>
        <w:rPr>
          <w:rFonts w:ascii="Times New Roman;Times;serif" w:hAnsi="Times New Roman;Times;serif"/>
          <w:i/>
          <w:color w:val="000000"/>
          <w:sz w:val="20"/>
        </w:rPr>
        <w:t xml:space="preserve">Proposal No. 3 Advisory </w:t>
      </w:r>
      <w:r>
        <w:rPr>
          <w:rFonts w:ascii="Times New Roman;Times;serif" w:hAnsi="Times New Roman;Times;serif"/>
          <w:b/>
          <w:i/>
          <w:color w:val="000000"/>
          <w:sz w:val="20"/>
        </w:rPr>
        <w:t>C</w:t>
      </w:r>
      <w:r>
        <w:rPr>
          <w:rFonts w:ascii="Times New Roman;Times;serif" w:hAnsi="Times New Roman;Times;serif"/>
          <w:i/>
          <w:color w:val="000000"/>
          <w:sz w:val="20"/>
        </w:rPr>
        <w:t>harter Proposals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special resolution, being the affirmative vote of the holders of at least two-thirds of the Class A and Class B ordinary shares, voting as a single class, represented in person or by proxy, entitled to vote thereon, and who vote at the annual general meeting.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new charter proposal is conditioned on the approval and adoption of the domestication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special resolution, that the proposed alterations to the existing second amended and restated memorandum and articles of association of ProKidney Corp. (the “Articles”) be and are hereby approved and the Articles be replaced in their entirety with, and the shareholders hereby approve and adopt, the certificate of incorporation of ProKidney Corp., a copy of which is attached to the proxy statement/prospectus as Annex B, effective at the effective time of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OUR SHAREHOLDERS VOTE “FOR” THE APPROVAL OF THE NEW CHARTER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Times;serif" w:hAnsi="Times New Roman;Times;serif"/>
          <w:i/>
          <w:color w:val="000000"/>
          <w:sz w:val="20"/>
        </w:rPr>
        <w:t>Interests of Certain Persons in the Domestication</w:t>
      </w:r>
      <w:r>
        <w:rPr>
          <w:rFonts w:ascii="Times New Roman;Times;serif" w:hAnsi="Times New Roman;Times;serif"/>
          <w:color w:val="000000"/>
          <w:sz w:val="20"/>
        </w:rPr>
        <w:t xml:space="preserve">” for a further discussion of these considerations.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45101x2_424b3_110-proposals_pg5"/>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PROP3"/>
      <w:bookmarkEnd w:id="51"/>
      <w:r>
        <w:rPr>
          <w:rFonts w:ascii="Times New Roman;Times;serif" w:hAnsi="Times New Roman;Times;serif"/>
          <w:b/>
          <w:color w:val="000000"/>
          <w:sz w:val="20"/>
        </w:rPr>
        <w:t>PROPOSAL NO. 3</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CHARTER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and the new charter proposal are approved,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 ProKidney’s shareholders are being asked to consider and vote to approve by non-binding, advisory resolution five separate proposals to approve, effective upon the effectiveness of the domestication, the following material differences between the Existing Organizational Documents and the Proposed Charter that will become effective at the effective time of the domestication: </w:t>
      </w:r>
    </w:p>
    <w:tbl>
      <w:tblPr>
        <w:tblW w:w="10205" w:type="dxa"/>
        <w:jc w:val="left"/>
        <w:tblInd w:w="0" w:type="dxa"/>
        <w:tblLayout w:type="fixed"/>
        <w:tblCellMar>
          <w:top w:w="0" w:type="dxa"/>
          <w:left w:w="0" w:type="dxa"/>
          <w:bottom w:w="0" w:type="dxa"/>
          <w:right w:w="0" w:type="dxa"/>
        </w:tblCellMar>
      </w:tblPr>
      <w:tblGrid>
        <w:gridCol w:w="1295"/>
        <w:gridCol w:w="140"/>
        <w:gridCol w:w="140"/>
        <w:gridCol w:w="4222"/>
        <w:gridCol w:w="140"/>
        <w:gridCol w:w="140"/>
        <w:gridCol w:w="4128"/>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do not contain a provision adopting an exclusive forum for certain shareholder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adopts the state and federal courts in the State of Delaware as the exclusive forum for certain stockholder litigation.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12 of the Proposed Charter.</w:t>
            </w:r>
            <w:r>
              <w:rPr>
                <w:rFonts w:ascii="Times New Roman;Times;serif" w:hAnsi="Times New Roman;Times;serif"/>
                <w:color w:val="000000"/>
                <w:sz w:val="20"/>
              </w:rPr>
              <w:t xml:space="preserve">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Waiver of Corporate Opportunities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While the Existing Organizational Documents do provide an explicit waiver of corporate opportunities for directors, they do not provide an explicit waiver of corporate opportunities for ProKidney or its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Proposed Charter, the Corporation renounces any interest or expectancy of ProKidney Delaware in, or in being offered an opportunity to participate in, certain corporate opportunities, subject to certain exceptions.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See Article 15 of the Proposed Charter</w:t>
            </w:r>
            <w:r>
              <w:rPr>
                <w:rFonts w:ascii="Times New Roman;Times;serif" w:hAnsi="Times New Roman;Times;serif"/>
                <w:color w:val="000000"/>
                <w:sz w:val="20"/>
              </w:rPr>
              <w:t>.</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Section 242(b)(2) of the DGCL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(i) ProKidney may increase its share capital by an ordinary resolution, being a resolution passed by the holders of not less than a simple majority of the Class A and Class B ordinary shares, voting as a single class, represented in person or by proxy and entitled to vote thereon and who vote at the general meeting, or by unanimous written resolution and (ii) ProKidney may reduce its share capital by a special resolution, being the affirmative vote of the holders of at least two-thirds of the Class A and Class B ordinary shares, voting as a single class, represented in person or by proxy and entitled to vote at the general meeting and who vote at the general meeting, or by unanimous written resolution.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20.1 and 20.3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provides that, subject to 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 Section 242(b)(2) of the DGCL, and no vote of the holders of any class of the common stock, Class A common stock, Class B common stock or the preferred stock voting separately as a class will be required therefor.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4.2 of the Proposed Charter.</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45101x2_424b3_110-proposals_pg6"/>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1"/>
        <w:gridCol w:w="140"/>
        <w:gridCol w:w="140"/>
        <w:gridCol w:w="3968"/>
        <w:gridCol w:w="140"/>
        <w:gridCol w:w="140"/>
        <w:gridCol w:w="4126"/>
      </w:tblGrid>
      <w:tr>
        <w:trPr/>
        <w:tc>
          <w:tcPr>
            <w:tcW w:w="15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0"/>
              <w:jc w:val="left"/>
              <w:rPr/>
            </w:pPr>
            <w:r>
              <w:rPr/>
              <w:t> </w:t>
            </w:r>
          </w:p>
        </w:tc>
      </w:tr>
      <w:tr>
        <w:trPr/>
        <w:tc>
          <w:tcPr>
            <w:tcW w:w="15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55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Action by Written Consent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 resolution in writing signed by all the shareholders entitled to vote at a general meeting shall be as valid and effective as if the same had been passed at a duly convened and held general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24.3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provides that, subject to the rights in certain instances of the holders of shares of Class B common stock and the holders of one or more series of preferred stock, any action required or permitted to be taken by ProKidney Delaware’s stockholders must be effected by a duly called annual or special meeting of such stockholders and may not be effected by consent of the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8.1 of the Proposed Charter.</w:t>
            </w:r>
          </w:p>
        </w:tc>
      </w:tr>
      <w:tr>
        <w:trPr/>
        <w:tc>
          <w:tcPr>
            <w:tcW w:w="15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0"/>
              <w:jc w:val="left"/>
              <w:rPr>
                <w:color w:val="000000"/>
              </w:rPr>
            </w:pPr>
            <w:r>
              <w:rPr>
                <w:color w:val="000000"/>
              </w:rPr>
              <w:t> </w:t>
            </w:r>
          </w:p>
        </w:tc>
      </w:tr>
      <w:tr>
        <w:trPr/>
        <w:tc>
          <w:tcPr>
            <w:tcW w:w="155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 Capital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share capital under the Existing Organizational Documents is US$100,500 divided into 500,000,000 Class A ordinary shares of a par value of US$0.0001 each, 500,000,000 Class B ordinary shares of a par value of US$0.0001 each and 5,000,000 preference shares of a par value of US$0.0001 each.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paragraph 5 of the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authorizes 1,250,000,000 shares of ProKidney Delaware consisting of 700,000,000 shares of Class A common stock, par value $0.0001 per share, 500,000,000 shares of Class B common stock, par value $0.0001 per share, and 50,000,000 shares of preferred stock, par value $0.0001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4.1 of the Proposed Charter.</w:t>
            </w:r>
          </w:p>
        </w:tc>
      </w:tr>
      <w:tr>
        <w:trPr/>
        <w:tc>
          <w:tcPr>
            <w:tcW w:w="15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0"/>
              <w:jc w:val="left"/>
              <w:rPr>
                <w:color w:val="000000"/>
              </w:rPr>
            </w:pPr>
            <w:r>
              <w:rPr>
                <w:color w:val="000000"/>
              </w:rPr>
              <w:t> </w:t>
            </w:r>
          </w:p>
        </w:tc>
      </w:tr>
      <w:tr>
        <w:trPr/>
        <w:tc>
          <w:tcPr>
            <w:tcW w:w="155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Adoption of Supermajority Vote Requirement to Amend the Proposed Governing Documents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(Advisory charter proposal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Existing Organizational Documents provide that amendments to change ProKidney’s name, alter or add to the Articles (as defined therein), alter or add to the Memorandum (as defined therein) with respect to any objects, powers or other matters specified therein or to reduce its share capital or any capital redemption reserve fund may be made by a Special Resolution (as defined under the Cayman Islands Companies Act), being the affirmative vote of holders of a majority of at least two-thirds of such members as, being entitled to do so, vote in person or, where proxies are allowed, by proxy at a general meeting. There are certain matters that require only an Ordinary Resolution (as defined therein), including increasing the share capital, consolidating and dividing all or any part of the share capital into larger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Proposed Charter requires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w:t>
            </w:r>
            <w:r>
              <w:rPr>
                <w:rFonts w:ascii="Times New Roman;Times;serif" w:hAnsi="Times New Roman;Times;serif"/>
                <w:color w:val="000000"/>
                <w:sz w:val="14"/>
              </w:rPr>
              <w:t>3</w:t>
            </w:r>
            <w:r>
              <w:rPr>
                <w:rFonts w:ascii="Times New Roman;Times;serif" w:hAnsi="Times New Roman;Times;serif"/>
                <w:color w:val="000000"/>
                <w:sz w:val="20"/>
              </w:rPr>
              <w:t>)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w:t>
            </w:r>
            <w:r>
              <w:rPr>
                <w:rFonts w:ascii="Times New Roman;Times;serif" w:hAnsi="Times New Roman;Times;serif"/>
                <w:color w:val="000000"/>
                <w:sz w:val="14"/>
              </w:rPr>
              <w:t>3</w:t>
            </w:r>
            <w:r>
              <w:rPr>
                <w:rFonts w:ascii="Times New Roman;Times;serif" w:hAnsi="Times New Roman;Times;serif"/>
                <w:color w:val="000000"/>
                <w:sz w:val="20"/>
              </w:rPr>
              <w:t xml:space="preserve">) of the total voting power of the outstanding </w:t>
            </w:r>
          </w:p>
        </w:tc>
      </w:tr>
      <w:tr>
        <w:trPr/>
        <w:tc>
          <w:tcPr>
            <w:tcW w:w="15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45101x2_424b3_110-proposals_pg7"/>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7408"/>
        <w:gridCol w:w="140"/>
        <w:gridCol w:w="140"/>
        <w:gridCol w:w="208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2"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Organization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Charter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amounts than the existing shares, converting all or any of the Company’s paid-up shares into stock, and reconverting that stock into paid-up shares of any denomination, by subdividing the Company’s existing shares or any of them dividing the whole or any part of its share capital into shares of smaller amount than is fixed by the Memorandum (as defined therein) or into shares without par value, and cancelling any shares that at the date of the passing of the Ordinary Resolution have not been taken or agreed to be taken by any person and diminish the amount of its share capital by the amount of the shares so cancelled. An Ordinary Resolution is a resolution passed by a simple majority of the Members as, being entitled to do so, vote in person or, where proxies are allowed, by proxy at a general meeting, and includes a unanimous written resolution.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 20 of our Existing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of ProKidney Delaware’s capital stock entitled to vote generally in the election of directors, voting together as a single class, in order to remove a director for cause.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See Articles 7.4, 10 and 11 of the Proposed Charter.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45101x2_424b3_110-proposals_pg8"/>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PROP3A"/>
      <w:bookmarkEnd w:id="55"/>
      <w:r>
        <w:rPr>
          <w:rFonts w:ascii="Times New Roman;Times;serif" w:hAnsi="Times New Roman;Times;serif"/>
          <w:b/>
          <w:color w:val="000000"/>
          <w:sz w:val="20"/>
        </w:rPr>
        <w:t xml:space="preserve">PROPOSAL NO. 3 - ADVISORY CHARTER PROPOSAL A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are being asked to approve the advisory charter proposal A, which would, upon the effective time of the domestication, (i) adopt the state and federal courts in the State of Delaware, as applicable, as the exclusive forum for certain stockholder litigation (as more fully set forth in the Proposed Charter), and (ii) renounce, in the Proposed Charter, any interest or expectancy of ProKidney Delaware in, or in being offered an opportunity to participate in, certain corporate opportunities, subject to certain exceptions.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Adopting the state and federal courts in the State of Delaware, as applicable, as the exclusive forum for certain stockholder litigation is intended to assist us in avoiding multiple lawsuits in multiple jurisdictions regarding the same matter. The ability to require such claims to be brought in a single forum will help to assure consistent consideration of the issues, the application of a relatively known body of case law and level of expertise and should promote efficiency and cost-savings in the resolutions of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that renouncing, in the Proposed Charter, any interest or expectancy of ProKidney Delaware in, or in being offered an opportunity to participate in, certain corporate opportunities (subject to certain exceptions) is essential to our ability to retain and attract qualified officer and directors. We expect that qualified officers and directors would likely engage in business activities outside of ProKidney Delaware and would anticipate that such outside experience would be beneficial to any such officer’s or director’s service for and management of ProKidney Delaware. Our Board believes that without such a renunciation, qualified officers and directors could be dissuaded from serving for ProKidney Delaware if they are concerned that their employment or directorship could foreclose them from, or expose them to potential liability for, pursuing commercial opportunities in their individual capacity (including in connection with other entities unrelated to ProKidney Delaware and its affiliates).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qualified by reference to the complete text of the Proposed Charter, a copy of which is attached to this proxy statement/prospectus as Annex B. All shareholders are encouraged to read the Proposed Charter in its entirety for a more complete description of its terms.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A. You may vote “FOR,” “AGAINST” or “ABSTAIN” on the advisory charter proposal A. Brokerage firms do not have authority to vote customers’ unvoted shares held by the firms in street name for the advisory charter proposal A.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non-binding, advisory ordinary resolution, that (i) adopting the state and federal courts in the State of Delaware, as applicable as the exclusive forum for certain stockholder litigation (as more fully set forth in the Proposed Charter), and (ii) renouncing, in the Proposed Charter, any interest or expectancy of ProKidney Delaware in, or in being offered an opportunity to participate in, certain corporate opportunities, subject to certain exceptions, be approved.”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OUR SHAREHOLDERS VOTE “FOR” THE APPROVAL OF ADVISORY CHARTER PROPOSAL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45101x2_424b3_110-proposals_pg9"/>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PROP3B"/>
      <w:bookmarkEnd w:id="57"/>
      <w:r>
        <w:rPr>
          <w:rFonts w:ascii="Times New Roman;Times;serif" w:hAnsi="Times New Roman;Times;serif"/>
          <w:b/>
          <w:color w:val="000000"/>
          <w:sz w:val="20"/>
        </w:rPr>
        <w:t xml:space="preserve">PROPOSAL NO. 3 - ADVISORY CHARTER PROPOSAL B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are being asked to approve the advisory charter proposal B, which would, upon the effective time of the domestication, allow further increases or decrease to the number of authorized shares of common stock or preferred stock need not be subject to a class-specific vote pursuant to Section 242(b)(2) of DGCL.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advisory charter proposal B is to provide ProKidney Delaware with the flexibility to increase or decrease the number of authorized shares of common stock or preferred stock without the need to obtain class-specific approvals, as permitted by Section 242(b)(2) of the DGCL. Our Board has determined that it would be in ProKidney Delaware’s best interests and in the best interests of its stockholders to allow the number of authorized shares of common stock or preferred stock to be increased or decreased by the affirmative vote of the holders of a majority of the outstanding shares of capital stock of the Company entitled to vote, irrespective of the provisions of Section 242(b)(2)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qualified by reference to the complete text of the Proposed Charter, a copy of which is attached to this proxy statement/prospectus as Annex B. All shareholders are encouraged to read the Proposed Charter in its entirety for a more complete description of its terms.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B. You may vote “FOR,” “AGAINST” or “ABSTAIN” on the advisory charter proposal B. Brokerage firms do not have authority to vote customers’ unvoted shares held by the firms in street name for the advisory charter proposal B.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non-binding, advisory ordinary resolution, that allowing further increases or decrease to the number of authorized shares of common stock or preferred stock not to be subject to a class-specific vote pursuant to Section 242(b)(2) of DGCL be approved.”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OUR SHAREHOLDERS VOTE “FOR” THE APPROVAL OF ADVISORY CHARTER PROPOSAL 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45101x2_424b3_110-proposals_pg10"/>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PROP3C"/>
      <w:bookmarkEnd w:id="59"/>
      <w:r>
        <w:rPr>
          <w:rFonts w:ascii="Times New Roman;Times;serif" w:hAnsi="Times New Roman;Times;serif"/>
          <w:b/>
          <w:color w:val="000000"/>
          <w:sz w:val="20"/>
        </w:rPr>
        <w:t xml:space="preserve">PROPOSAL NO. 3 - ADVISORY CHARTER PROPOSAL C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are being asked to approve the advisory charter proposal C, which, upon the effective time of the domestication, removes the ability of shareholders to act by written resolution in lieu of a meeting, subject to certain exceptions.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Organizational Documents currently provide that ordinary resolutions and special resolutions may be passed by unanimous written resolution of ProKidney’s shareholders. If advisory charter proposal C is approved, subject to the rights of the holders of Class B common stock (as defined in our Proposed Charter) and the holders of one or more series of preferred stock, shareholders will not have the ability to act by written resolution in lieu of a meeting of stockholders, and all actions required or permitted to be taken by the shareholders of ProKidney Delaware (subject to the exceptions referenced above) must be effected at a duly convened special meeting or annual meeting of stockholders of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Delaware’s shareholders will have the ability to propose items of business (subject to the restrictions set forth in the Proposed Organizational Documents) at duly convened shareholder meetings. This advisory charter proposal C does not foreclose that right, but does limit shareholders’ ability to take such and other actions by consent (subject to the rights of the holders of Class B common stock and the holders of one or more series of preferred stock to act by written resolution in accordance with the terms of the Proposed Charter). Eliminating the right of shareholders to act by written resolution limits the circumstances under which shareholders can act on their own initiative to remove directors in accordance with Delaware law and the Proposed Charter, or alter or amend ProKidney Delaware’s organizational documents outside of a duly called special or annual meeting of the shareholders of ProKidney Delaware. Further, our Board believes continuing to limit shareholders’ ability to act by written resolution in lieu of a meeting (subject to the permitted exceptions) will reduce the time and effort our Board and management would need to devote to such shareholder action by written resolution, which time and effort could distract our directors and management from other important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elimination of the shareholders’ ability to act by written resolution (subject to certain exceptions) may have certain anti-takeover effects by forcing a potential acquirer to take control of the Board only at a duly called special or annual meeting. However, this advisory charter proposal C is not in response to any effort of which we are aware to obtain control of ProKidney. Further, the Board does not believe that the effects of the elimination of shareholder action by written resolution will create a significant impediment to a tender offer or other effort to take control of ProKidney. Inclusion of these provisions in the Proposed Charter might also increase the likelihood that a potential acquirer would negotiate the terms of any proposed transaction with the Board and thereby help protect shareholders from the use of abusive and coercive takeover tactics.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qualified by reference to the complete text of the Proposed Charter, a copy of which is attached to this proxy statement/prospectus as Annex B. All shareholders are encouraged to read the Proposed Charter in its entirety for a more complete description of its terms.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C. You may vote “FOR,” “AGAINST” or “ABSTAIN” on the advisory charter proposal C. Brokerage firms do not have authority to vote customers’ unvoted shares held by the firms in street name for the advisory charter proposal C.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45101x2_424b3_110-proposals_pg1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non-binding, advisory ordinary resolution, that removal of the ability of shareholders to act by written resolution in lieu of a meeting, subject to certain exceptions in the Proposed Charter, be approved.”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OUR SHAREHOLDERS VOTE “FOR” THE APPROVAL OF ADVISORY CHARTER PROPOSAL 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45101x2_424b3_110-proposals_pg1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PROP3D"/>
      <w:bookmarkEnd w:id="62"/>
      <w:r>
        <w:rPr>
          <w:rFonts w:ascii="Times New Roman;Times;serif" w:hAnsi="Times New Roman;Times;serif"/>
          <w:b/>
          <w:color w:val="000000"/>
          <w:sz w:val="20"/>
        </w:rPr>
        <w:t xml:space="preserve">PROPOSAL NO. 3 - ADVISORY CHARTER PROPOSAL 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are being asked to approve the advisory charter proposal D an advisory vote on the amendment to approve the change in the authorized share capital of ProKidney US$100,500 divided into 500,000,000 Class A ordinary shares of par value $0.0001 per share, 500,000,000 Class B ordinary shares of par value $0.0001 per share and 5,000,000 preference shares of par value $0.0001 per share, to 1,250,000,000 shares of ProKidney Delaware consisting of 700,000,000 shares of Class A common stock, par value $0.0001 per share, 500,000,000 shares of Class B common stock, par value $0.0001 per share, and 50,000,000 shares of preferred stock, par value $0.0001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the record date for the annual general meeting, there are (i) 129,536,121 ProKidney Class A ordinary shares issued and outstanding and (ii) 163,166,903 ProKidney Class B ordinary shares issued and outstanding.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order to ensure that ProKidney Delaware has sufficient authorized shares of capital stock for future issuances, the Proposed Charter of ProKidney Delaware changes the authorized share capital of ProKidney from US$100,500 divided into 500,000,000 Class A ordinary shares of par value $0.0001 per share, 500,000,000 Class B ordinary shares of par value $0.0001 per share and 5,000,000 preference shares of par value $0.0001 per share, to 1,250,000,000 shares of ProKidney Delaware consisting of 700,000,000 shares of Class A common stock, par value $0.0001 per share, 500,000,000 shares of Class B common stock, par value $0.0001 per share, and 50,000,000 shares of preferred stock. See the section entitled “</w:t>
      </w:r>
      <w:r>
        <w:rPr>
          <w:rFonts w:ascii="Times New Roman;Times;serif" w:hAnsi="Times New Roman;Times;serif"/>
          <w:i/>
          <w:color w:val="000000"/>
          <w:sz w:val="20"/>
        </w:rPr>
        <w:t>Description of Securities</w:t>
      </w:r>
      <w:r>
        <w:rPr>
          <w:rFonts w:ascii="Times New Roman;Times;serif" w:hAnsi="Times New Roman;Times;serif"/>
          <w:color w:val="000000"/>
          <w:sz w:val="20"/>
        </w:rPr>
        <w:t xml:space="preserve">” for a further discussion of our capital stock, par value $0.0001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qualified by reference to the complete text of the Proposed Charter, a copy of which is attached to this proxy statement/prospectus as Annex B. All shareholders are encouraged to read the Proposed Charter in its entirety for a more complete description of its terms.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April 24, 2025, ProKidney had 500,000,000 authorized Class A ordinary shares, with 129,536,121 Class A ordinary shares outstanding and 57,155,862 shares of Class A ordinary shares either underlying awards outstanding or still available for grant under the Company’s equity incentive plan and 774,634 shares of Class A ordinary shares reserved for exchange of the Paired Interests (as defined below).</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principal purpose of this proposal is to provide for an authorized capital structure of ProKidney Delaware that will enable it to continue as an operating company governed by the DGCL. Our Board believes that it is important for ProKidney Delaware to have available for issuance a number of authorized shares of common stock and preferred stock sufficient to support our growth and to provide flexibility for future corporate needs (including, if needed, as part of financing for future growth acquisitions). The additional 200 million authorized shares of Class A common stock contemplated by the advisory charter proposal D is important to ProKidney Delaware in order for additional shares of Class A common stock to be available for issuance from time to time, without further action or authorization by ProKidney Delaware’s stockholders (except as required by applicable law or Nasdaq rules).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Other than the issuance of shares of Class A common stock available for grant under the Company’s equity incentive plan and reserved for exchange of the Paired Interests, ProKidney Delaware has no current plan, commitment, arrangement, understanding or agreement regarding the issuance of the additional shares of Class A common stock that will result from ProKidney Delaware’s adoption of the advisory charter proposal D. While adoption of the Proposed Charter would not have any immediate dilutive effect on the proportionate voting power or other rights of ProKidney’s existing holders of Class A ordinary shares, any future issuance of additional authorized shares of Class A common stock may, among other things, dilute the earnings per share of the Class A common stock and the equity and voting rights of those holding Class A common stock at the time the additional shares are issued.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45101x2_424b3_110-proposals_pg13"/>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Class A common stock may make it more difficult to, or discourage an attempt to, obtain control of ProKidney Delaware by means of a takeover bid that the Board determines is not in the best interest of ProKidney Delaware and its stockholders. However, the Board does not intend or view the proposed increase in the number of authorized shares of Class A common stock as an anti-takeover measure and is not aware of any attempt or plan to obtain control of ProKidney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D. You may vote “FOR,” “AGAINST” or “ABSTAIN” on the advisory charter proposal D. Brokerage firms do not have authority to vote customers’ unvoted shares held by the firms in street name for the advisory charter proposal D.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non-binding, advisory ordinary resolution, that the change in the authorized share capital of ProKidney Corp. from US$100,500 divided into 500,000,000 Class A ordinary shares of a par value of US$0.0001 each, 500,000,000 Class B ordinary shares of a par value of US$0.0001 each and 5,000,000 preference shares of a par value of US$0.0001 each, to 1,250,000,000 shares of ProKidney Delaware consisting of 700,000,000 shares of Class A common stock, par value of $0.0001 per share, 500,000,000 shares of Class B common stock, par value of $0.0001 per share and 50,000,000 shares of preferred stock, par value of $0.0001 per share, in connection with the domestication as reflected in the Proposed Charter, be approved.”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RECOMMENDS THAT OUR SHAREHOLDERS VOTE “FOR” THE APPROVAL OF ADVISORY CHARTER PROPOSAL 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45101x2_424b3_110-proposals_pg14"/>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PROP3E"/>
      <w:bookmarkEnd w:id="65"/>
      <w:r>
        <w:rPr>
          <w:rFonts w:ascii="Times New Roman;Times;serif" w:hAnsi="Times New Roman;Times;serif"/>
          <w:b/>
          <w:color w:val="000000"/>
          <w:sz w:val="20"/>
        </w:rPr>
        <w:t xml:space="preserve">PROPOSAL NO. 3 - ADVISORY CHARTER PROPOSAL 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shareholders are being asked to approve the advisory charter proposal E an advisory vote require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(Staggered Board), 7.3 (Vacancies and Newly Created Directorships) and 7.4 (Removal of Directors) of Article 7, Sections 8.1 (Stockholders Action by Consent), and 8.2 (Meetings of Stockholders) of Article 8 or Article 9 (Indemnification), Article 10 (Adoption, Amendment or Repeal of By-Laws), Article 11 (Adoption, Amendment and Repeal of Certificate), Article 12 (Forum for Adjudication of Disputes) or Article 15 (Corporate Opportunity) of the Proposed Charter; and (iii) at least two thirds (2/3) of the total voting power of the outstanding shares of ProKidney Delaware’s capital stock entitled to vote generally in the election of directors, voting together as a single class, in order to remove a director for cause.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qualified by reference to the complete text of the Proposed Charter, a copy of which is attached to this proxy statement/prospectus as Annex B. All shareholders are encouraged to read the Proposed Charter in its entirety for a more complete description of its terms.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purpose of this proposal is to protect the Proposed Bylaws and certain key provisions of the Proposed Charter from arbitrary amendment and to prevent a simple majority of stockholders from taking actions that may be harmful to other stockholders or making changes to provisions that are intended to protect all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E. You may vote “FOR,” “AGAINST” or “ABSTAIN” on the advisory charter proposal E. Brokerage firms do not have authority to vote customers’ unvoted shares held by the firms in street name for the advisory charter proposal E.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 non-binding, advisory ordinary resolution, that to approve the advisory charter proposal E an advisory vote require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OUR SHAREHOLDERS VOTE “FOR” THE APPROVAL OF ADVISORY CHARTER PROPOSAL E</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45101x2_424b3_110-proposals_pg15"/>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PROP4"/>
      <w:bookmarkEnd w:id="67"/>
      <w:r>
        <w:rPr>
          <w:rFonts w:ascii="Times New Roman;Times;serif" w:hAnsi="Times New Roman;Times;serif"/>
          <w:b/>
          <w:color w:val="000000"/>
          <w:sz w:val="20"/>
        </w:rPr>
        <w:t xml:space="preserve">PROPOSAL NO.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has voted to nominate each of Bruce Culleton, M.D., Pablo Legorreta and Uma Sinha, Ph.D. for election at the annual general meeting for a term of three years to serve until the 2028 annual general meeting of shareholders, and until their respective successors are elected and qualified. The Class II directors (Jennifer Fox and José Ignacio Jiménez Santos) and the Class I directors (William F. Doyle, Alan M. Lotvin, M.D., and Brian J. G. Pereira, M.D.) will serve until the annual general meetings of shareholders to be held in 2027 and 2026, respectively, and until their respective successors have been elected and qualified. If each of the Class III directors is elected and the domestication proposal is approved, the members of the Board of ProKidney Delaware will remain the same following the domestication. For additional information on the director nominees, see “</w:t>
      </w:r>
      <w:r>
        <w:rPr>
          <w:rFonts w:ascii="Times New Roman;Times;serif" w:hAnsi="Times New Roman;Times;serif"/>
          <w:i/>
          <w:color w:val="000000"/>
          <w:sz w:val="20"/>
        </w:rPr>
        <w:t>Management and Corporate Governance—Director Nominees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authority to vote for any of these nominees is withheld, the shares represented by the enclosed proxy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of Bruce Culleton, M.D., Pablo Legorreta and Uma Sinha, Ph.D. as directors. In the event that any nominee becomes unable or unwilling to serve, the shares represented by the enclosed proxy will be voted for the election of such other person as the Board may recommend in that nominee’s place. We have no reason to believe that any nominee will be unable or unwilling to serve as a director.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for the election of each director.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resolutions to be proposed is as follows: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an ordinary resolution of the holders of the Company’s Class A ordinary shares and Class B ordinary shares, voting together as a single class, that Bruce Culleton, M.D. be appointed to serve as a Class III director on the Board for a three-year term that will expire at the annual general meeting of shareholders in 2028.”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an ordinary resolution of the holders of the Company’s Class A ordinary shares and Class B ordinary shares, voting together as a single class, that Pablo Legorreta be appointed to serve as a Class III director on the Board for a three-year term that will expire at the annual general meeting of shareholders in 2028.”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an ordinary resolution of the holders of the Company’s Class A ordinary shares and Class B ordinary shares, voting together as a single class, that Uma Sinha, Ph.D. be appointed to serve as a Class III director on the Board for a three-year term that will expire at the annual general meeting of shareholders in 2028.”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RECOMMENDS A VOTE “FOR” THE ELECTION OF EACH OF BRUCE CULLETON, M.D., PABLO LEGORRETA, AND UMA SINHA, PH.D. AS DIRECTORS, AND PROXIES SOLICITED BY THE BOARD WILL BE VOTED IN FAVOR THEREOF UNLESS A SHAREHOLDER HAS INDICATED OTHERWISE ON THE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45101x2_424b3_110-proposals_pg16"/>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PROP5"/>
      <w:bookmarkEnd w:id="69"/>
      <w:r>
        <w:rPr>
          <w:rFonts w:ascii="Times New Roman;Times;serif" w:hAnsi="Times New Roman;Times;serif"/>
          <w:b/>
          <w:color w:val="000000"/>
          <w:sz w:val="20"/>
        </w:rPr>
        <w:t xml:space="preserve">PROPOSAL NO.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appointed Ernst &amp; Young LLP, as our independent registered public accounting firm, to audit our financial statements for the fiscal year ending December 31, 2025. Ernst &amp; Young LLP has served as our independent registered public accounting firm since 2019. The Board proposes that the shareholders ratify this appointment. Ernst &amp; Young LLP audited our financial statements for the fiscal year ended December 31, 2024. We expect that representatives of Ernst &amp; Young LLP will be present at the annual general meeting, will be able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deciding to appoint Ernst &amp; Young LLP, the Audit Committee reviewed auditor independence issues and existing commercial relationships with Ernst &amp; Young LLP and concluded that Ernst &amp; Young LLP has no commercial relationship with the Company that would impair its independence for the fiscal year ending December 31,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Audit Committee Pre-Approval of Audit and Permissible Non-Audit Services of Independent Public Accountant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initial public offering were pre-approved by the Audit Committee.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aggregate fees billed for professional services rendered by Ernst &amp; Young LLP to us in 2024 and 2023. A description of these various fees and services follows the table (in thousands). </w:t>
      </w:r>
    </w:p>
    <w:tbl>
      <w:tblPr>
        <w:tblW w:w="3095" w:type="dxa"/>
        <w:jc w:val="left"/>
        <w:tblInd w:w="0" w:type="dxa"/>
        <w:tblLayout w:type="fixed"/>
        <w:tblCellMar>
          <w:top w:w="0" w:type="dxa"/>
          <w:left w:w="0" w:type="dxa"/>
          <w:bottom w:w="0" w:type="dxa"/>
          <w:right w:w="0" w:type="dxa"/>
        </w:tblCellMar>
      </w:tblPr>
      <w:tblGrid>
        <w:gridCol w:w="1595"/>
        <w:gridCol w:w="140"/>
        <w:gridCol w:w="140"/>
        <w:gridCol w:w="440"/>
        <w:gridCol w:w="140"/>
        <w:gridCol w:w="140"/>
        <w:gridCol w:w="50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5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867 </w:t>
            </w:r>
          </w:p>
        </w:tc>
      </w:tr>
      <w:tr>
        <w:trPr/>
        <w:tc>
          <w:tcPr>
            <w:tcW w:w="15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 </w:t>
            </w:r>
          </w:p>
        </w:tc>
      </w:tr>
    </w:tbl>
    <w:tbl>
      <w:tblPr>
        <w:tblW w:w="5860" w:type="dxa"/>
        <w:jc w:val="left"/>
        <w:tblInd w:w="0" w:type="dxa"/>
        <w:tblLayout w:type="fixed"/>
        <w:tblCellMar>
          <w:top w:w="0" w:type="dxa"/>
          <w:left w:w="0" w:type="dxa"/>
          <w:bottom w:w="0" w:type="dxa"/>
          <w:right w:w="0" w:type="dxa"/>
        </w:tblCellMar>
      </w:tblPr>
      <w:tblGrid>
        <w:gridCol w:w="230"/>
        <w:gridCol w:w="56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This category consists of tax compliance, tax planning and tax advice. </w:t>
            </w:r>
          </w:p>
        </w:tc>
      </w:tr>
    </w:tbl>
    <w:tbl>
      <w:tblPr>
        <w:tblW w:w="8965" w:type="dxa"/>
        <w:jc w:val="left"/>
        <w:tblInd w:w="0" w:type="dxa"/>
        <w:tblLayout w:type="fixed"/>
        <w:tblCellMar>
          <w:top w:w="0" w:type="dxa"/>
          <w:left w:w="0" w:type="dxa"/>
          <w:bottom w:w="0" w:type="dxa"/>
          <w:right w:w="0" w:type="dxa"/>
        </w:tblCellMar>
      </w:tblPr>
      <w:tblGrid>
        <w:gridCol w:w="230"/>
        <w:gridCol w:w="8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This category consists of fees for permitted services other than the services reported in audit fees and tax fees.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shareholders do not ratify the appointment of Ernst &amp; Young LLP as our independent registered public accounting firm, the Audit committee will reconsider its appointment.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45101x2_424b3_110-proposals_pg17"/>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ratify the appointment of independent registered public accounting firm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resolution to be passed is as follows: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as an ordinary resolution, that the appointment of Ernst &amp; Young LLP as the independent registered public accounting firm of the Company for the fiscal year ending December 31, 2025 be confirmed, ratified and approved in all respects.”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RECOMMENDS A VOTE “FOR” THE RATIFICATION OF THE APPOINTMENT OF ERNST &amp; YOUNG LLP AS OUR INDEPENDENT REGISTERED PUBLIC ACCOUNTING FIRM, AND PROXIES SOLICITED BY THE BOARD WILL BE VOTED IN FAVOR OF SUCH RATIFICATION UNLESS A SHAREHOLDER INDICATES OTHERWISE ON THE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45101x2_424b3_110-proposals_pg18"/>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PROP6"/>
      <w:bookmarkEnd w:id="72"/>
      <w:r>
        <w:rPr>
          <w:rFonts w:ascii="Times New Roman;Times;serif" w:hAnsi="Times New Roman;Times;serif"/>
          <w:b/>
          <w:color w:val="000000"/>
          <w:sz w:val="20"/>
        </w:rPr>
        <w:t xml:space="preserve">PROPOSAL NO.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allows the Board to submit a proposal to approve, by ordinary resolution, the adjournment of the annual general meeting to a later date or dates, if necessary, to permit further solicitation of proxies in the event, based on the tabulated votes, there are not sufficient votes at the time of the annual general meeting to approve the domestication proposal and the new charter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adjournment proposal is presented to the annual general meeting and is not approved by the shareholders, the Board may not be able to adjourn the annual general meeting to a later date in the event that based on the tabulated votes, there are not sufficient votes at the time of the annual general meeting to approve the domestication proposal and the new charter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adjournment proposal requires an ordinary resolution, being the affirmative vote of the holders of a majority of the Class A and Class B ordinary shares, represented in person or by proxy and entitled to vote thereon and who vote at the annual general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is not conditioned upon any other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Full Text of the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RESOLVED, as an ordinary resolution, that the adjournment of the annual general meeting to a later date or dates, if necessary or appropriate, to permit further solicitation and vote of proxies in the event that it is determined by ProKidney that more time is necessary or appropriate to approve one or more proposals at the Annual meeting be approved and adopted in all respects.”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UNANIMOUSLY RECOMMENDS THAT SHAREHOLDERS VOTE “FOR” THE APPROVAL OF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Times;serif" w:hAnsi="Times New Roman;Times;serif"/>
          <w:i/>
          <w:color w:val="000000"/>
          <w:sz w:val="20"/>
        </w:rPr>
        <w:t>Interests of Certain Persons in the Domestication</w:t>
      </w:r>
      <w:r>
        <w:rPr>
          <w:rFonts w:ascii="Times New Roman;Times;serif" w:hAnsi="Times New Roman;Times;serif"/>
          <w:color w:val="000000"/>
          <w:sz w:val="20"/>
        </w:rPr>
        <w:t xml:space="preserve">” for a further discussion of these considerations.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45101x2_424b3_111-comparison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COC"/>
      <w:bookmarkEnd w:id="74"/>
      <w:r>
        <w:rPr>
          <w:rFonts w:ascii="Times New Roman;Times;serif" w:hAnsi="Times New Roman;Times;serif"/>
          <w:b/>
          <w:color w:val="000000"/>
          <w:sz w:val="20"/>
        </w:rPr>
        <w:t xml:space="preserve">COMPARISON OF CORPORATE GOVERNANCE AND SHAREHOLDER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is an exempted company incorporated under the Cayman Islands Companies Act. The Cayman Islands Companies Act and the Existing Organizational Documents govern the rights of its shareholders. The Cayman Islands Companies Act differs in some material respects from laws generally applicable to Delaware corporations and their stockholders. In addition, the Existing Organizational Documents will differ in certain material respects from the Proposed Organizational Documents of ProKidney Delaware. As a result, when you become a stockholder of ProKidney Delaware, your rights will differ in some regards as compared to when you were a shareholder of ProKidney before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summary chart outlining important similarities and differences in the corporate governance and shareholder rights associated with each of ProKidney and ProKidney Delaware according to applicable law and/or the Existing Organizational Documents of ProKidney and Proposed Organizational Documents ProKidney Delaware. You also should review the Existing Organizational Documents of ProKidney and the Proposed Organizational Documents of ProKidney Delaware attached hereto as Annexes A, B and C to this proxy statement/prospectus, as well as the DGCL and corporate laws of the Cayman Islands, including the Cayman Islands Companies Act, to understand how these laws apply to ProKidney and ProKidney Delaware. </w:t>
      </w:r>
    </w:p>
    <w:tbl>
      <w:tblPr>
        <w:tblW w:w="10205" w:type="dxa"/>
        <w:jc w:val="left"/>
        <w:tblInd w:w="0" w:type="dxa"/>
        <w:tblLayout w:type="fixed"/>
        <w:tblCellMar>
          <w:top w:w="0" w:type="dxa"/>
          <w:left w:w="0" w:type="dxa"/>
          <w:bottom w:w="0" w:type="dxa"/>
          <w:right w:w="0" w:type="dxa"/>
        </w:tblCellMar>
      </w:tblPr>
      <w:tblGrid>
        <w:gridCol w:w="1611"/>
        <w:gridCol w:w="140"/>
        <w:gridCol w:w="140"/>
        <w:gridCol w:w="3988"/>
        <w:gridCol w:w="140"/>
        <w:gridCol w:w="140"/>
        <w:gridCol w:w="4046"/>
      </w:tblGrid>
      <w:tr>
        <w:trPr/>
        <w:tc>
          <w:tcPr>
            <w:tcW w:w="16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0"/>
              <w:jc w:val="left"/>
              <w:rPr/>
            </w:pPr>
            <w:r>
              <w:rPr/>
              <w:t> </w:t>
            </w:r>
          </w:p>
        </w:tc>
      </w:tr>
      <w:tr>
        <w:trPr/>
        <w:tc>
          <w:tcPr>
            <w:tcW w:w="16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161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Stockholder/Shareholder Approval of Business Combinations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Mergers require a Special Resolution (as defined in the Cayman Islands Companies Act), and any other authorization as may be specified in the relevant articles of association. Parties holding certain security interests in the constituent companies must also consent.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mergers (other than parent/subsidiary mergers) require shareholder approval - there is no exception for smaller mergers.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Where a bidder has acquired 90% or more of the shares in a Cayman Islands company, it can compel the acquisition of the shares of the remaining shareholders and thereby become the sole shareholder.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Cayman Islands company may also be acquired through a “scheme of arrangement” sanctioned by a Cayman Islands court and approved by 50%+1 in number and 75% in value of shareholders in attendance and voting at a shareholders’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DGCL, subject to certain exceptions, mergers generally require approval of the board of directors and the approval of the holders of a majority of the total voting power of the outstanding shares of capital stock entitled to vote thereon of each constituent 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DGCL, in certain circumstances and subject to certain exceptions, mergers in which less than 20% of the acquiror’s common stock (as of immediately prior to the effective date of the merger) is issued, and where the acquiror is a constituent corporation surviving the merger, generally do not require acquirer stockholder approval.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subject to certain exceptions, mergers in which one corporation owns 90% or more of the outstanding shares of each class of stock of a second corporation may be completed without the approval of the second corporation’s board of directors or stockholders. </w:t>
            </w:r>
          </w:p>
        </w:tc>
      </w:tr>
      <w:tr>
        <w:trPr/>
        <w:tc>
          <w:tcPr>
            <w:tcW w:w="161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0"/>
              <w:jc w:val="left"/>
              <w:rPr>
                <w:color w:val="000000"/>
              </w:rPr>
            </w:pPr>
            <w:r>
              <w:rPr>
                <w:color w:val="000000"/>
              </w:rPr>
              <w:t> </w:t>
            </w:r>
          </w:p>
        </w:tc>
      </w:tr>
      <w:tr>
        <w:trPr/>
        <w:tc>
          <w:tcPr>
            <w:tcW w:w="161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Stockholder/Shareholder Votes for Routine Matters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Cayman Islands Companies Act and the Existing Organizational Documents, routine corporate matters may be approved by the board of directors, unless shareholder approval is required. Unless the Cayman Islands Companies Act or the Existing Organizational Documents expressly provide for a Special Resolution, decisions of the shareholders may be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and the Proposed Organizational Documents, matters other than the election of directors require the affirmative vote of a majority in voting power of the shares present in person or represented by proxy at the meeting and entitled to vote on the subject matter (subject to certain exceptions under the DGCL and the Proposed Organizational Documents). </w:t>
            </w:r>
          </w:p>
        </w:tc>
      </w:tr>
      <w:tr>
        <w:trPr/>
        <w:tc>
          <w:tcPr>
            <w:tcW w:w="16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45101x2_424b3_111-comparison_pg2"/>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8"/>
        <w:gridCol w:w="140"/>
        <w:gridCol w:w="140"/>
        <w:gridCol w:w="2495"/>
        <w:gridCol w:w="140"/>
        <w:gridCol w:w="140"/>
        <w:gridCol w:w="6222"/>
      </w:tblGrid>
      <w:tr>
        <w:trPr/>
        <w:tc>
          <w:tcPr>
            <w:tcW w:w="9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pPr>
            <w:r>
              <w:rPr/>
              <w:t> </w:t>
            </w:r>
          </w:p>
        </w:tc>
      </w:tr>
      <w:tr>
        <w:trPr/>
        <w:tc>
          <w:tcPr>
            <w:tcW w:w="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approved by an ordinary resolution (being a resolution passed by a simple majority of the shareholders who are entitled to vote and who vote at a general meeting, or by unanimous written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color w:val="000000"/>
              </w:rPr>
            </w:pPr>
            <w:r>
              <w:rPr>
                <w:color w:val="000000"/>
              </w:rPr>
              <w:t> </w:t>
            </w:r>
          </w:p>
        </w:tc>
      </w:tr>
      <w:tr>
        <w:trPr/>
        <w:tc>
          <w:tcPr>
            <w:tcW w:w="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color w:val="000000"/>
              </w:rPr>
            </w:pPr>
            <w:r>
              <w:rPr>
                <w:color w:val="000000"/>
              </w:rPr>
              <w:t> </w:t>
            </w:r>
          </w:p>
        </w:tc>
      </w:tr>
      <w:tr>
        <w:trPr/>
        <w:tc>
          <w:tcPr>
            <w:tcW w:w="9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 are appointed by an ordinary resolution (being a resolution passed by a simple majority of the shareholders who are entitled to vote and who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the holders of any series of preferred stock of ProKidney Delaware, directors are elected by a plurality of voting power of the outstanding shares present in person or represented by proxy and entitled to vote on the election of directors. </w:t>
            </w:r>
          </w:p>
        </w:tc>
      </w:tr>
      <w:tr>
        <w:trPr/>
        <w:tc>
          <w:tcPr>
            <w:tcW w:w="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color w:val="000000"/>
              </w:rPr>
            </w:pPr>
            <w:r>
              <w:rPr>
                <w:color w:val="000000"/>
              </w:rPr>
              <w:t> </w:t>
            </w:r>
          </w:p>
        </w:tc>
      </w:tr>
      <w:tr>
        <w:trPr/>
        <w:tc>
          <w:tcPr>
            <w:tcW w:w="9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or all of the directors may be removed by a Special Resolution (being the affirmative vote of the holders of at least two-thirds of the Class A and Class B ordinary shares, voting as a single class, represented in person or by proxy, entitled to vote at a general meeting and who vote at the general meeting or by unanimous written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Proposed Charter, any or all of the directors may be removed from office at any time, but only for cause by the affirmative vote of the holders of at least 66 2/3% of the total voting power of the outstanding shares of capital stock entitled to vote generally in the election of directors, voting together as a single class. </w:t>
            </w:r>
          </w:p>
        </w:tc>
      </w:tr>
      <w:tr>
        <w:trPr/>
        <w:tc>
          <w:tcPr>
            <w:tcW w:w="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color w:val="000000"/>
              </w:rPr>
            </w:pPr>
            <w:r>
              <w:rPr>
                <w:color w:val="000000"/>
              </w:rPr>
              <w:t> </w:t>
            </w:r>
          </w:p>
        </w:tc>
      </w:tr>
      <w:tr>
        <w:trPr/>
        <w:tc>
          <w:tcPr>
            <w:tcW w:w="9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Appraisal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Minority shareholders that dissent from a merger are entitled to be paid the fair market value of their shares, which if necessary may ultimately be determined by the court.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 holder of shares of any class or series of stock of a corporation that is listed on a national securities exchange or held of record by more than 2,000 holders generally does not have appraisal rights in connection with a merger, consolidation, conversion, transfer, domestication or continuance, subject to certain exceptions. Such holders do, however, generally have appraisal rights in connection with a merger if they are required by the terms of a merger agreement (or by the terms of a resolution providing for conversion, transfer, domestication or continuance pursuant to the applicable provisions of the DGCL) to accept for their shares anything except: (a)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(b) shares of stock of any other corporation, or depository receipts in respect thereof, which shares of stock (or depository receipts in respect thereof) or </w:t>
            </w:r>
          </w:p>
        </w:tc>
      </w:tr>
      <w:tr>
        <w:trPr/>
        <w:tc>
          <w:tcPr>
            <w:tcW w:w="9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45101x2_424b3_111-comparison_pg3"/>
        <w:bookmarkEnd w:id="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92"/>
        <w:gridCol w:w="140"/>
        <w:gridCol w:w="140"/>
        <w:gridCol w:w="1565"/>
        <w:gridCol w:w="140"/>
        <w:gridCol w:w="140"/>
        <w:gridCol w:w="7088"/>
      </w:tblGrid>
      <w:tr>
        <w:trPr/>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0"/>
              <w:jc w:val="left"/>
              <w:rPr/>
            </w:pPr>
            <w:r>
              <w:rPr/>
              <w:t> </w:t>
            </w:r>
          </w:p>
        </w:tc>
      </w:tr>
      <w:tr>
        <w:trPr/>
        <w:tc>
          <w:tcPr>
            <w:tcW w:w="9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9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depository receipts at the effective date of the merger, consolidation, conversion, transfer, domestication or continuance will be either listed on a national securities exchange or held of record by more than 2,000 holders; (c) cash in lieu of fractional shares or fractional depository receipts described in (a) and (b) above; or (d) any combination of the shares of stock, depository receipts and cash in lieu of fractional shares or fractional depository receipts described in (a), (b) and (c) above. Where appraisal rights are available, a stockholder who has neither voted in favor of such merger, consolidation, conversion, transfer, domestication or continuance, nor consented thereto in writing, who has properly demanded appraisal of their shares, and who otherwise complies with the requirements for perfecting and preserving their appraisal rights under Section 262 of the DGCL may be entitled to receive payment in cash for the fair value of their shares (exclusive of any element of value arising from the accomplishment or expectation of such merger, consolidation, conversion, transfer, domestication or continuance), together with interest (if any) to be paid on the amount determined to be fair value of such shares, as appraised by the Court of Chancery of the State of Delaware in an appraisal proceeding. Appraisal rights are also available under the DGCL in certain other circumstances, including in certain parent-subsidiary mergers and in certain circumstances where the certificate of incorporation so provides. </w:t>
            </w:r>
          </w:p>
        </w:tc>
      </w:tr>
      <w:tr>
        <w:trPr/>
        <w:tc>
          <w:tcPr>
            <w:tcW w:w="9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0"/>
              <w:jc w:val="left"/>
              <w:rPr>
                <w:color w:val="000000"/>
              </w:rPr>
            </w:pPr>
            <w:r>
              <w:rPr>
                <w:color w:val="000000"/>
              </w:rPr>
              <w:t> </w:t>
            </w:r>
          </w:p>
        </w:tc>
      </w:tr>
      <w:tr>
        <w:trPr/>
        <w:tc>
          <w:tcPr>
            <w:tcW w:w="9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Inspection of Books and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generally do not have any rights to inspect or obtain copies of the register of shareholders or other corporate records of a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any stockholder or beneficial owner has the right, upon written demand under oath (and otherwise satisfying the requirements of Section 220 of the DGCL), either in person or by attorney or other agent, to inspect and make copies and extracts from the corporation’s stock ledger, list of stockholders and the books and records specified in Section 220 of the DGCL for a proper purpose during the usual hours for business. </w:t>
            </w:r>
          </w:p>
        </w:tc>
      </w:tr>
      <w:tr>
        <w:trPr/>
        <w:tc>
          <w:tcPr>
            <w:tcW w:w="9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0"/>
              <w:jc w:val="left"/>
              <w:rPr>
                <w:color w:val="000000"/>
              </w:rPr>
            </w:pPr>
            <w:r>
              <w:rPr>
                <w:color w:val="000000"/>
              </w:rPr>
              <w:t> </w:t>
            </w:r>
          </w:p>
        </w:tc>
      </w:tr>
      <w:tr>
        <w:trPr/>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45101x2_424b3_111-comparison_pg4"/>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83"/>
        <w:gridCol w:w="140"/>
        <w:gridCol w:w="140"/>
        <w:gridCol w:w="3334"/>
        <w:gridCol w:w="140"/>
        <w:gridCol w:w="140"/>
        <w:gridCol w:w="4828"/>
      </w:tblGrid>
      <w:tr>
        <w:trPr/>
        <w:tc>
          <w:tcPr>
            <w:tcW w:w="14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0"/>
              <w:jc w:val="left"/>
              <w:rPr/>
            </w:pPr>
            <w:r>
              <w:rPr/>
              <w:t> </w:t>
            </w:r>
          </w:p>
        </w:tc>
      </w:tr>
      <w:tr>
        <w:trPr/>
        <w:tc>
          <w:tcPr>
            <w:tcW w:w="14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14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Stockholder/Shareholder Lawsuits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 (e.g. where a company acts or proposes to act illegally or ultra vires (beyond the scope of its authority); the act complained of, although not ultra vires, could be effected if duly authorized by a special resolution that has not been obtained; and those who control the company are perpetrating a “fraud on the minority”).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bring a derivative suit subject to procedural requirements and other requirements of Delaware law. Pursuant to the Proposed Charter, the state and federal courts in the State of Delaware, as applicable, will be the exclusive forum for certain stockholder litigation (as more fully set forth in the Proposed Charter). </w:t>
            </w:r>
          </w:p>
        </w:tc>
      </w:tr>
      <w:tr>
        <w:trPr/>
        <w:tc>
          <w:tcPr>
            <w:tcW w:w="14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0"/>
              <w:jc w:val="left"/>
              <w:rPr>
                <w:color w:val="000000"/>
              </w:rPr>
            </w:pPr>
            <w:r>
              <w:rPr>
                <w:color w:val="000000"/>
              </w:rPr>
              <w:t> </w:t>
            </w:r>
          </w:p>
        </w:tc>
      </w:tr>
      <w:tr>
        <w:trPr/>
        <w:tc>
          <w:tcPr>
            <w:tcW w:w="14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Fiduciary Duties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director owes fiduciary duties to a company, including to exercise loyalty, honesty and good faith to the company as a whole.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fiduciary duties, directors owe a duty of care, diligence and skill. Such duties are owed to the company but may be owed direct to creditors or shareholders in certain limited circumstances.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standards of conduct for directors have developed through Delaware case law. Generally, directors must exercise a duty of care and duty of loyalty and good faith to the company and its stockholders.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w:t>
            </w:r>
          </w:p>
        </w:tc>
      </w:tr>
      <w:tr>
        <w:trPr/>
        <w:tc>
          <w:tcPr>
            <w:tcW w:w="14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0"/>
              <w:jc w:val="left"/>
              <w:rPr>
                <w:color w:val="000000"/>
              </w:rPr>
            </w:pPr>
            <w:r>
              <w:rPr>
                <w:color w:val="000000"/>
              </w:rPr>
              <w:t> </w:t>
            </w:r>
          </w:p>
        </w:tc>
      </w:tr>
      <w:tr>
        <w:trPr/>
        <w:tc>
          <w:tcPr>
            <w:tcW w:w="148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ProKidney will indemnify its directors or officers, including its former directors and officer, except with regard to actual fraud, willful neglect or willful default (as determined by a court of competent 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ProKidney Delaware will provide indemnification of (and advancement of expenses to) its directors and officers (subject to certain exceptions, as more fully set forth in the Proposed Organizational Documents). </w:t>
            </w:r>
          </w:p>
        </w:tc>
      </w:tr>
      <w:tr>
        <w:trPr/>
        <w:tc>
          <w:tcPr>
            <w:tcW w:w="14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0"/>
              <w:jc w:val="left"/>
              <w:rPr>
                <w:color w:val="000000"/>
              </w:rPr>
            </w:pPr>
            <w:r>
              <w:rPr>
                <w:color w:val="000000"/>
              </w:rPr>
              <w:t> </w:t>
            </w:r>
          </w:p>
        </w:tc>
      </w:tr>
      <w:tr>
        <w:trPr/>
        <w:tc>
          <w:tcPr>
            <w:tcW w:w="14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45101x2_424b3_111-comparison_pg5"/>
        <w:bookmarkEnd w:id="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89"/>
        <w:gridCol w:w="140"/>
        <w:gridCol w:w="140"/>
        <w:gridCol w:w="4645"/>
        <w:gridCol w:w="140"/>
        <w:gridCol w:w="140"/>
        <w:gridCol w:w="3511"/>
      </w:tblGrid>
      <w:tr>
        <w:trPr/>
        <w:tc>
          <w:tcPr>
            <w:tcW w:w="14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pPr>
            <w:r>
              <w:rPr/>
              <w:t> </w:t>
            </w:r>
          </w:p>
        </w:tc>
      </w:tr>
      <w:tr>
        <w:trPr/>
        <w:tc>
          <w:tcPr>
            <w:tcW w:w="1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14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Limited Liability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Liability of directors may be limited by the articles of association of a company, except with regard to their actual fraud or willful default.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no director or officer of ProKidney Delaware will be personally liable to ProKidney Delaware or its stockholders for monetary damages for any breach of fiduciary duty as a director or officer, except to the extent such exemption from liability or limitation thereof is not permitted under the DGCL. Exculpation applies only to the officers specified in Section 102(b)(7) of the DGCL. </w:t>
            </w:r>
          </w:p>
        </w:tc>
      </w:tr>
      <w:tr>
        <w:trPr/>
        <w:tc>
          <w:tcPr>
            <w:tcW w:w="1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color w:val="000000"/>
              </w:rPr>
            </w:pPr>
            <w:r>
              <w:rPr>
                <w:color w:val="000000"/>
              </w:rPr>
              <w:t> </w:t>
            </w:r>
          </w:p>
        </w:tc>
      </w:tr>
      <w:tr>
        <w:trPr/>
        <w:tc>
          <w:tcPr>
            <w:tcW w:w="14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ProKidney is not obliged to hold an annual meeting of shareholders (unless required by the Cayman Islands Companies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meeting of stockholders for the election of directors and other business must be held annually. </w:t>
            </w:r>
          </w:p>
        </w:tc>
      </w:tr>
      <w:tr>
        <w:trPr/>
        <w:tc>
          <w:tcPr>
            <w:tcW w:w="1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color w:val="000000"/>
              </w:rPr>
            </w:pPr>
            <w:r>
              <w:rPr>
                <w:color w:val="000000"/>
              </w:rPr>
              <w:t> </w:t>
            </w:r>
          </w:p>
        </w:tc>
      </w:tr>
      <w:tr>
        <w:trPr/>
        <w:tc>
          <w:tcPr>
            <w:tcW w:w="14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directors, the chief executive officer or the chairman of the board of directors may call general meetings. The members do not have the ability to call an extraordinary general meeting.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any special rights of the holders of any outstanding series of preferred stock, special meetings of the stockholders may be called only by or at the direction of the chairman of the board of directors, the chief executive officer or at the direction of the Board pursuant to a written resolution adopted by a majority of the Board. </w:t>
            </w:r>
          </w:p>
        </w:tc>
      </w:tr>
      <w:tr>
        <w:trPr/>
        <w:tc>
          <w:tcPr>
            <w:tcW w:w="1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color w:val="000000"/>
              </w:rPr>
            </w:pPr>
            <w:r>
              <w:rPr>
                <w:color w:val="000000"/>
              </w:rPr>
              <w:t> </w:t>
            </w:r>
          </w:p>
        </w:tc>
      </w:tr>
      <w:tr>
        <w:trPr/>
        <w:tc>
          <w:tcPr>
            <w:tcW w:w="14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Waiver of Notice for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no such provision under the Cayman Islands Companies Act or the Existing Organizational Documents, however, the accidental omission to give notice of a general meeting to, or the non-receipt of notice of a general meeting by, any person entitled to receive such notice shall not invalidate the proceedings of that general meeting.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Attendance by a stockholder at a meeting will constitute a waiver of notice of such meeting except when the stockholder attends a meeting for the express purpose of objecting, at the beginning of the meeting, to the transaction of any business on the ground that the meeting has not been lawfully called or convened. </w:t>
            </w:r>
          </w:p>
        </w:tc>
      </w:tr>
      <w:tr>
        <w:trPr/>
        <w:tc>
          <w:tcPr>
            <w:tcW w:w="1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color w:val="000000"/>
              </w:rPr>
            </w:pPr>
            <w:r>
              <w:rPr>
                <w:color w:val="000000"/>
              </w:rPr>
              <w:t> </w:t>
            </w:r>
          </w:p>
        </w:tc>
      </w:tr>
      <w:tr>
        <w:trPr/>
        <w:tc>
          <w:tcPr>
            <w:tcW w:w="14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Proposals (Other than Nomination of Persons for Election as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seeking to bring business before the annual general meeting or to nominate candidates for appointment as directors at the annual general meeting must deliver notice to the principal executive offices not less than 120 calendar days before the date of the proxy statement were released in connection with the previous year’s annual general meeting or, if ProKidney did not hold an annual general meeting the previous year, or if the date of the current year’s annual general meeting has been changed by more than 30 days from the date of the previous year’s annual general meeting, then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Nominations or other business to be properly brought before an annual meeting pursuant to the Proposed Bylaws by a stockholder require timely, advance notice in writing to the Secretary and, in the case of business other than nominations of directors, must be a proper matter for stockholder action.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timely, notice must be delivered not less than 90 days nor more than one hundred twenty 120 days prior to the first anniversary of the preceding year’s annual meeting; provided, however, that in the event that the date of the annual </w:t>
            </w:r>
          </w:p>
        </w:tc>
      </w:tr>
      <w:tr>
        <w:trPr/>
        <w:tc>
          <w:tcPr>
            <w:tcW w:w="14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45101x2_424b3_111-comparison_pg6"/>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48"/>
        <w:gridCol w:w="140"/>
        <w:gridCol w:w="140"/>
        <w:gridCol w:w="1499"/>
        <w:gridCol w:w="140"/>
        <w:gridCol w:w="140"/>
        <w:gridCol w:w="6698"/>
      </w:tblGrid>
      <w:tr>
        <w:trPr/>
        <w:tc>
          <w:tcPr>
            <w:tcW w:w="14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vAlign w:val="center"/>
          </w:tcPr>
          <w:p>
            <w:pPr>
              <w:pStyle w:val="TableContents"/>
              <w:bidi w:val="0"/>
              <w:spacing w:before="0" w:after="0"/>
              <w:jc w:val="left"/>
              <w:rPr/>
            </w:pPr>
            <w:r>
              <w:rPr/>
              <w:t> </w:t>
            </w:r>
          </w:p>
        </w:tc>
      </w:tr>
      <w:tr>
        <w:trPr/>
        <w:tc>
          <w:tcPr>
            <w:tcW w:w="14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ProKidney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ProKidney Delaware </w:t>
            </w:r>
          </w:p>
        </w:tc>
      </w:tr>
      <w:tr>
        <w:trPr/>
        <w:tc>
          <w:tcPr>
            <w:tcW w:w="14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deadline shall be set by the board of directors with such deadline being a reasonable time before ProKidney begins to print and send its related proxy materials.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is scheduled for more than 30 days before, or more than 60 days following, such anniversary date, notice must be delivered not later than the 10th day following the day on which public announcement of the date of such meeting was first made. </w:t>
            </w:r>
          </w:p>
        </w:tc>
      </w:tr>
      <w:tr>
        <w:trPr/>
        <w:tc>
          <w:tcPr>
            <w:tcW w:w="14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vAlign w:val="center"/>
          </w:tcPr>
          <w:p>
            <w:pPr>
              <w:pStyle w:val="TableContents"/>
              <w:bidi w:val="0"/>
              <w:spacing w:before="0" w:after="0"/>
              <w:jc w:val="left"/>
              <w:rPr>
                <w:color w:val="000000"/>
              </w:rPr>
            </w:pPr>
            <w:r>
              <w:rPr>
                <w:color w:val="000000"/>
              </w:rPr>
              <w:t> </w:t>
            </w:r>
          </w:p>
        </w:tc>
      </w:tr>
      <w:tr>
        <w:trPr/>
        <w:tc>
          <w:tcPr>
            <w:tcW w:w="144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 and Other Stockholder Protections: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Cayman Islands Companies Act does contain a comparable provision to Section 203 of the DGCL.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Section 203 of the DGCL, ProKidney Delaware is prohibited from engaging in a “business combination” (as such term is defined in Section 203 of the DGCL) with an “interested stockholder” (as such term is defined in Section 203 of the DGCL) for a period of three years after such person or entity became an interested stockholder unless (1) before the stockholder became an interested stockholder, ProKidney Delaware’s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ProKidney Delaware’s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 (3) at or subsequent to the time the stockholder became an interested stockholder the business combination is approved by the board of directors and authorized by the affirmative vote of at least 66 2/3% of the outstanding voting stock which is not owned by the interested stockholder at an annual or special meeting of the stockholders of ProKidney Delaware.</w:t>
            </w:r>
          </w:p>
        </w:tc>
      </w:tr>
      <w:tr>
        <w:trPr/>
        <w:tc>
          <w:tcPr>
            <w:tcW w:w="14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45101x2_424b3_112-management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MAC"/>
      <w:bookmarkEnd w:id="81"/>
      <w:r>
        <w:rPr>
          <w:rFonts w:ascii="Times New Roman;Times;serif" w:hAnsi="Times New Roman;Times;serif"/>
          <w:b/>
          <w:color w:val="000000"/>
          <w:sz w:val="20"/>
        </w:rPr>
        <w:t xml:space="preserve">MANAGEMENT AND CORPORATE GOVERNANCE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Composition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ProKidney’s business and affairs are organized under the direction of the Board. Mr. Legorreta serves as the Chairperson of the Board. The primary responsibilities of the Board are to provide oversight, strategic guidance, counseling and direction to ProKidney’s management. The Board meets on a regular basis and additionally as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the Existing Organizational Documents, the Board may establish the authorized number of directors from time to time by resolution. The Board currently consists of eight members and is divided into three classes with staggered three-year terms. At each annual general meeting of shareholders, the successors to directors whose terms then expire will be elected to serve from the time of election and qualification until the third annual meeting following election. ProKidney’s directors are divided among the three classes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III directors are Bruce Culleton, M.D., Pablo Legorreta and Uma Sinha, Ph.D., and their terms will expire at the annual general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 directors are William F. Doyle, Alan M. Lotvin, M.D. and Brian J. G. Pereira, M.D., and their terms will expire at the annual meeting of shareholders to be held in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 directors are Jennifer Fox and José Ignacio Jiménez Santos, and their terms will expire at the annual meeting of shareholders to be held in 2027.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division of the Board into three classes with staggered three-year terms may delay or prevent a change of our management or a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February 25, 2025, the Board accepted the recommendation of the Nominating and Corporate Governance Committee of the Board (“Nominating Committee”) and voted to nominate Bruce Culleton, M.D., Pablo Legorreta and Uma Sinha, Ph.D. for election at the annual general meeting for a term of three years to serve until the 2028 annual meeting of shareholders, and until their respective successors have been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each of the Class III directors is elected and the domestication proposal is approved, the members of the Board of ProKidney Delaware will remain the same following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are the names of the persons nominated for election as directors and those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24, 2025. Additionally, information about the specific experience, qualifications, attributes or skills that led to the Board’s conclusion at the time of filing of this proxy statement/prospectus that each person listed below should serve as a director is set forth below: </w:t>
      </w:r>
    </w:p>
    <w:tbl>
      <w:tblPr>
        <w:tblW w:w="6245" w:type="dxa"/>
        <w:jc w:val="left"/>
        <w:tblInd w:w="0" w:type="dxa"/>
        <w:tblLayout w:type="fixed"/>
        <w:tblCellMar>
          <w:top w:w="0" w:type="dxa"/>
          <w:left w:w="0" w:type="dxa"/>
          <w:bottom w:w="0" w:type="dxa"/>
          <w:right w:w="0" w:type="dxa"/>
        </w:tblCellMar>
      </w:tblPr>
      <w:tblGrid>
        <w:gridCol w:w="2330"/>
        <w:gridCol w:w="140"/>
        <w:gridCol w:w="140"/>
        <w:gridCol w:w="305"/>
        <w:gridCol w:w="140"/>
        <w:gridCol w:w="140"/>
        <w:gridCol w:w="3050"/>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Pablo Legorreta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of the Board, Director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Director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F. Doyle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José Ignacio Jiménez Santos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M. Lotvin,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J.G. Pereira,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Uma Sinha,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45101x2_424b3_112-management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 Nominees for Election for a Three-Year Term Expiring at the Company’s 2028 Annual Meeting of Shareholders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Bruce Culleton,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Culleton has served on our Board and as our Chief Executive Officer, as well as a director on the board of directors of ProKidney Corp. GP Limited (“GP”) (the “GP Board”), since November 2023. Prior to his appointment as Chief Executive Officer, Dr. Culleton served as the Company’s Executive Vice President, Clinical Development &amp; Commercialization since July 2023. He has more than two decades of experience in industry and academia with a primary focus on kidney health.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joining the Company, Dr. Culleton served as the Vice President and General Manager of CVS Kidney Care, LLC, a subsidiary of CVS Health Corporation (NYSE: CVS), a health solutions company, from June 2022 to July 2023. Previously, he served as Vice President and Chief Medical Officer at CVS Kidney Care from October 2017 to June 2022. Before joining CVS Health Corporation, he was Vice President, Global Clinical Development and World Wide Vice President, Medical Affairs, Medication and Procedural Solutions at Becton, Dickinson and Company (NYSE: BDX), a global medical technology company, from 2016 to 2017; and previously Vice President, Renal Therapeutic Area at Baxter International Inc. (NYSE: BAX), a healthcare company, from 2007 to 2016. Prior to beginning his industry career in 2007, Dr. Culleton was a Clinical Associate Professor, Department of Medicine at the University of Calgary. Dr. Culleton holds a Bachelor’s degree in Medical Science and a Doctor of Medicine degree from Memorial University of Newfoundland, and a Master’s degree in Business Administration from Northwestern University, Kellogg School of Management. He completed a specialization in Internal Medicine and Nephrology through the Royal College of Physicians and Surgeons of Canada, as well as a fellowship in Clinical Epidemiology at Boston University, Framingham Heart Study. We believe that Dr. Culleton’s qualifications to serve as a member of the Board include his knowledge of our business as our Chief Executive Officer and his extensive leadership experience in the healthcare industry.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Pablo Legorreta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Legorreta has served as Chairman of the Board and a director on the GP Board since the Closing (as defined below). Mr. Legorreta served on the Legacy GP Board from August 2021 until the Closing, as a director of the board of ProKidney-KY (the “ProKidney-KY Board”) since January 2019, and as a manager of ProKidney LLC, a limited liability company incorporated under the laws of Bermuda, since January 2019. Legacy GP was dissolved on January 8, 2024, in accordance with the laws of Ireland.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Legorreta is the founder and has served as Chief Executive Officer of Royalty Pharma plc (Nasdaq: RPRX), a rapidly growing biopharma company and one of the largest dedicated life sciences investors in the world, since September 1996. Mr. Legorreta has also served as the Chairman of the board of directors of Royalty Pharma plc since April 2020. Mr. Legorreta has over 25 years of experience building and managing Royalty Pharma plc. Additionally, Mr. Legorreta is a co-founder of Pharmakon Advisors, LP, a leading provider of debt capital to the life sciences industry, where he has served as a managing member, since April 2009. Mr. Legorreta has served as a director of Epizyme, Inc. (Nasdaq: EPZM), a fully integrated, commercial-stage biopharmaceutical company developing and delivering novel epigenetic therapies, since November 2019. Mr. Legorreta has served on the Board of Governors of the New York Academy of Sciences since January 2015, the Board of Trustees of Rockefeller University since March 2017, and the Board of Trustees and Compensation, Research and Innovation and Development Committees of the Hospital for Special Surgery since January 2015. Mr. Legorreta has also served on the boards of Brown University; Pasteur Foundation (French: Institut Pasteur), a French non-profit private foundation dedicated to the study of biology, micro-organisms, diseases, and vaccines; Open Medical Institute, an international initiative for medical professionals, which through education and research, aims to improve healthcare on a global scale; and The Park Avenue Armory, a nonprofit cultural institution within the historic Seventh Regiment Armory. Mr. Legorreta is the founder and Chairman of Alianza Me´dica para la Salud, a non-profit organization dedicated to enhancing the quality of health care in Latin America by providing doctors and healthcare providers with continued education opportunities. Since its foundation in December 2010, AMSA has provided over 500 scholarships to Mexican and Latin American doctors and healthcare providers to study abroad. Mr. Legorreta is also a founding member of Mount Sinai’s new Institute for Health Equity Research, which is created in May 2020 in part as a response to the health inequities made apparent by COVID-19.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45101x2_424b3_112-management_pg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Legorreta received his B.A. degree in Industrial Engineering from Universidad Iberoamericana in Mexico City. We believe that Mr. Legorreta’s experience in investing in pharmaceutical royalties and managing a growing life sciences investment company, as well as significant background in investment banking and debt financing provide him with the qualifications and skills to serve as the Chairman and a member of the Board.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Uma Sinha, Ph.D.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Sinha has served on the Board since the Closing. Dr. Sinha was a member of the board of directors of Social Capital Suvretta Holdings Corp. III (“SCS”) from September 2021 until the Closing. In April, 2016, Dr. Sinha was appointed the Chief Scientific Officer of BridgeBio Pharma, Inc. (“BridgeBio”) (Nasdaq: BBIO) and serves as the Chief Scientific Officer of other BridgeBio subsidiaries, including Eidos Therapeutics. Prior to that, Dr. Sinha served as Chief Scientific Officer of Global Blood Therapeutics, Inc., a clinical-stage biopharmaceutical company, from 2014 to 2015 and as Senior Vice President of research from 2013 to 2014. She was Vice President, head of biology at Portola Pharmaceuticals, Inc., a clinical-stage biotechnology company, from 2010 to 2012 and was the Vice President of translational biology from 2004 to 2010. Previously, Dr. Sinha held senior research positions at Millennium Pharmaceuticals, Inc., a biopharmaceutical company, and COR Therapeutics, Inc., a biopharmaceutical company. Dr. Sinha was formerly a director of Eidos Therapeutics (Nasdaq: EIDX) from December 2019 through February 2021. Dr. Sinha received her Ph.D. in biochemistry from the University of Georgia and her B.Sc. with honors in chemistry from Presidency College. We believe Dr. Sinha’s qualifications to serve on the Board include her significant scientific experience in the biopharmaceutical industry.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 Continuing in Office Until the Company’s 2027 Annual Meeting of Shareholders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Jennifer Fox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Fox has served on the Board and as the Chair of its Audit Committee since July 2022. She also has been a board member and chair of the audit committee at Apogee Therapeutics, Inc. (Nasdaq; APGE) since July 2023. She has served as the co-chair of Life Science Cares New York since August 2022, where she is also a member of its National Committee, since December 2023. Ms. Fox has served as the Chief Business Officer and Chief Financial Officer of Zenas BioPharma since December 2023. Prior to that role, Ms. Fox served as the Chief Financial Officer of Nuvation Bio Inc. from October 2020 to November 2023. Previous to that, Ms. Fox served as Managing Director, Co-Head of North America Healthcare Corporate and Investment Banking Group at Citigroup from June 2015 to October 2020. From February 2006 to June 2015, Ms. Fox served as Managing Director at Deutsche Bank,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received B.S. degrees in Finance and Marketing from Manhattan College. We believe that Ms. Fox is qualified to serve on the Board because she has over 25 years of experience in the healthcare investment banking industry and has been a lead advisor to life sciences companies on over 200 financing and strategic transactions.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José Ignacio Jiménez Santos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Jiménez Santos has served on the Board since the Closing and was a member of the Legacy GP Board from August 2021 until the Closing. Mr. Jiménez Santos has served as the Chief Executive Officer of Afore Inbursa since August 2015 and the Chief Investment Officer of Grupo Financiero Inbursa, SAB de C.V., a public company registered on the Mexican Stock Exchange, since August 2013. Mr. Jiménez Santos served on the board of directors of Procesar SA de C.V., a private company that provides data processing services, from May 2019 to May 2022. Mr. Jiménez Santos also serves on the board of directors of Glycosyn, a private biotechnology company developing products based on unique bioactive sugars found in human milk.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Jiménez Santos received his bachelor’s degree in economics and finance from the Instituto Tecnológico Autonomo de México. We believe that Mr. Jiménez Santos’ combined experience in finance, international investments and the biotechnology industry provide him with the qualifications and skills to serve as a member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45101x2_424b3_112-management_pg4"/>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Directors Continuing in Office Until the Company’s 2026 Annual Meeting of Shareholders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William F. Doyle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Doyle has served on the Board since the Closing. Mr. Doyle was a member of the Legacy GP Board from January 2022 until the Closing and has served on the ProKidney-KY Board, since January 2022. Mr. Doyle is a recognized expert in medical devices commercialization with over 30 years’ experience in the advanced technology and healthcare industries as an entrepreneur, executive and investor. He has served as Executive Chairman of NovoCure Limited (Nasdaq: NVCR), a commercial-stage oncology company which is currently developing Tumor Treating Fields, a new therapy for solid tumor cancers (“NovoCure”), since May 2016 and a member of the board of directors of NovoCure since February, 2004.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Previously, Mr. Doyle was a member of the Johnson &amp; Johnson’s (NYSE: JNJ) Medical Devices and Diagnostics Group Operating Committee and was the Vice President, Licensing and Acquisitions from 1994 to 1999. While at Johnson &amp; Johnson, Mr. Doyle was also the Worldwide President of Biosense-Webster, Inc. and a member of the board of directors of Johnson &amp; Johnson Development Corporation, Johnson &amp; Johnson’s venture capital subsidiary.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Doyle has served as a member of the board of directors of Elanco Animal Health, Inc. (NYSE: ELAN), a global leader in animal health dedicated to innovating and delivering products and services to prevent and treat disease in farm animals and pets, creating value for farmers, pet owners, veterinarians, stakeholders, and society as a whole, since October 2020. Previously, Mr. Doyle served as a member of the board of directors of OptiNose, Inc. (Nasdaq: OPTN), a pharmaceutical company focused on patients treated by ear, nose and throat (ENT) and allergy specialists, from June 2004 to October 2020, and Zoetis, Inc. (NYSE: ZTS), a leading animal health company, dedicated to supporting its customers and their businesses, from February 2015 to March 2016 and Minerva Neurosciences, Inc. (Nasdaq: NERV), a clinical-stage biopharmaceutical company focused on the development of therapies to treat central nervous system disorders, from November 2017 to May 2023. Mr. Doyle earned his S.B. in Materials Science and Engineering from Massachusetts Institute of Technology and his M.B.A. from Harvard Business School. We believe Mr. Doyle is qualified to serve on the Board due to his business and investment experience and his extensive knowledge of ProKidney and the healthcare industry.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Alan M. Lotvin,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Lotvin has served on the Board since the Closing. Dr. Lotvin was a member of the Legacy GP Board from January 2022 until the Closing and has served on the ProKidney KY-Board since January 2022. Dr. Lotvin has served as the Chief Executive Officer and a Director at Sequel Med Tech, LLC, a medical devices company, since June 2023. Prior to that, Dr. Lotvin served as Executive Vice President at CVS Health Corp (NYSE: CVS), a leading health solutions company, from November 2012 to April 2023, and the President of CVS Caremark since March 2020. Prior to that, Dr. Lotvin served as the Executive Vice President—Transformation at CVS Health Corporation from June 2018 to February 2020 and the Executive Vice President—Specialty Pharmacy at CVS Caremark from November 2012 to May 2018. Dr. Lotvin has extensive experience in the pharmacy benefit management (“PBM”) and specialty pharmacy industries. Before joining CVS Health Corp, Dr. Lotvin was the President and Chief Executive Officer of ICORE Healthcare, a Magellan Health Services company, and prior to that, Dr. Lotvin held senior positions in the PBM industry. Dr. Lotvin earned his B.S. in Biochemistry from Stony Brook University, his M.D. in Medicine from SUNY Downstate Health Sciences University, and his M.A. in Medical Informatics from Columbia University Graduate School of Arts and Sciences. We believe Dr. Lotvin is qualified to serve on the Board due to his extensive knowledge of ProKidney and the healthcare industry.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Brian J. G. Pereira,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Pereira has served on the Board since the Closing and was a member of the Legacy GP Board from January 2022 until the Closing. Dr. Pereira has served as the Chief Executive Officer and member of the board of directors of Visterra Inc., a clinical-stage biotechnology company committed to developing innovative antibody-based therapies for the treatment of patients with kidney diseases and other hard-to-treat diseases. Visterra Inc was acquired by Otsuka in 2018 and is a subsidiary of Otsuka America Inc., a global healthcare company listed on the Tokyo Stock Exchange. Dr. Pereira is a nationally recognized expert on kidney diseases, is the former Editor of the widely read textbook “Chronic Kidney Disease, Dialysis and Transplantation,” and has over 200 scientific papers to his credit. He currently serves on the board of directors of Africa Healthcare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45101x2_424b3_112-management_pg5"/>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Network, Ltd, a dialysis provider, and as the Chairman of the board of directors of KalVista Pharmaceuticals, Inc. (Nasdaq: KALV), a pharmaceutical company focused on the discovery, development, and commercialization of small molecule protease inhibitors for diseases with significant unmet need. He was the former Executive Chairman of the board of directors of Abeona Therapeutics Inc. (Nasdaq: ABEO), a clinical-stage biopharmaceutical company developing gene and cell therapies for serious diseases and member of the board of directors of Cullinan Pearl Corp, a privately held biotechnology company and subsidiary of Cullinan Oncology, Inc. (Nasdaq: CGEM), an oncology company and has served on several for-profit and non-profit company Boards. Dr. Pereira is a graduate of St. John’s Medical College, Bangalore, India and has an MBA from the Kellogg Business School, Northwestern University. Dr. Pereira obtained his D.M. in Nephrology and M.D. in Internal Medicine from Post Graduate Institute, Chandigarh, India. We believe Dr. Pereira’s qualifications to serve on the Board include his extensive experience with pharmaceutical companies, and his years of experience providing services to pharmaceutical and biotechnology organizations, including evaluating business plans involving clinical trials.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ProKidney Corp., either directly or indirectly. Based upon this review, the Board has determined that each of William F. Doyle, Alan M. Lotvin, M.D., Brian J. G. Pereira, M.D., Uma Sinha, Ph.D, José Ignacio Jiménez Santos and Jennifer Fox is an independent director under applicable SEC and the Nasdaq Stock Market LLC listing Nasdaq rules (the “Nasdaq Listing Rules”).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Family Relationships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ProKidney’s directors or executive officers.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and Prohibitions on Hedging and Pledging Company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an insider trading policy that, among other things, governs the buying and selling of our securities by all of our personnel, including directors, officers and employees.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and directors from engaging in any transaction in which they may profit from short-term speculative swings in the value of our securities such as through short sales, derivative securities and hedging transactions including forward sale or purchase contracts, equity swaps, collars or exchange funds. The policy also prohibits our insiders from holding our securities in a margin account or pledging our securities as collateral for a loan. The policy provides for quarterly and other trading blackouts and includes the procedures covered persons must follow before transacting in our securities including trading pre-clearance. A copy of the policy is filed as an exhibit to our Annual Report on Form 10-K for the year ended December 31,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have not adopted an insider trading policy governing the purchase or sale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and Meetings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Meeting Attendance.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During the fiscal year ended December 31, 2024, there were five meetings of the Board, and the various committees of the Board met a total of fourteen times. No director attended fewer than 75% of the total number of meetings of the Board and of committees of the Board on which he or she served during fiscal 2024, except for William F. Doyle, who attended six of the eleven meetings of the Board and committees. The Board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adopted a policy under which each member of the Board makes reasonable best efforts to attend each annual general meeting of our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45101x2_424b3_112-management_pg6"/>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met four times during fiscal 2024. This committee currently has three members, Jennifer Fox, who serves as the chairperson, Brian J. G. Pereira, M.D. and Alan M. Lotvin, M.D. Additionally, William F. Doyle served on the Audit Committee until August 2024. Each member of the Audit Committee qualifies as an independent director under the Nasdaq Listing Rules and the independence requirements of Rule 10A-3 under the Exchange Act. The Board has determined that each of Ms. Fox and Dr. Pereira qualifies as an “audit committee financial expert” as such term is defined in Item 407(d)(5) of Regulation S-K and possesses financial sophistication, as defined under the rules of the Nasdaq. Please also see the report of the Audit Committee set forth elsewhere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 </w:t>
      </w:r>
    </w:p>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helping the Board oversee corporate accounting and financial reporting processes;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ProKidney’s interim and year-end operating results;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procedures for employees to submit concerns anonymously about questionable accounting or audit matters; </w:t>
            </w:r>
          </w:p>
        </w:tc>
      </w:tr>
    </w:tbl>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 person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reviewing a report by the independent registered public accounting firm at least annually that describes ProKidney’s internal quality 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audit and permissible non-audit services to be performed by the independent registered public accounting firm.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written charter for the Audit Committee, which is available on our website at https://www.prokidney.com under Investors—Corporate Governance—Governance Overview.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Talent and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Talent and Compensation Committee met three times during fiscal 2024. Our Talent and Compensation Committee consists of Alan M. Lotvin, M.D., who serves as the chairperson, William F. Doyle, and Uma Sinha, Ph.D. John M. Maraganore, Ph.D., our former director, served on the Talent and Compensation Committee during fiscal year 2024 until his term of service ended in May 2024. All members of the Talent and Compensation Committee qualify as independent under the definition promulgated by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the Talent and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Talent and Compensation Committee include: </w:t>
      </w:r>
    </w:p>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the chief executive officer, other executive officers and senior management;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the compensation of directors;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the ProKidney Incentive Equity Plan (the “Incentive Equity Plan”) and other benefit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change-of-control protections and any other compensatory arrangements for the executive officers and other senior management;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general policies relating to compensation and benefits of the employees, including the overall compensation philosophy.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Talent and Compensation Committee has adopted the following processes and procedures for the consideration and determination of executive and director compensation: In establishing compensation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45101x2_424b3_112-management_pg7"/>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executives, the Talent and Compensation Committee seeks to provide compensation that is competitive in light of current market conditions and industry practices. Accordingly, the Talent and Compensation Committee will generally review market data which is comprised of proxy-disclosed data from peer companies and data from nationally recognized published compensation surveys for the life science industry, adjusted for relevant criteria including headcount, company stage of development and market capitalization. The market data assists the committee in gaining perspective on the compensation levels and practices at the peer companies and to assess the relative competitiveness of the compensation paid to our executives and Board. The market data thus guides the Talent and Compensation Committee in its efforts to set executive compensation levels and program targets at competitive levels for comparable roles in the marketplace. The Talent and Compensation Committee then considers other factors, such as the criticality of each executive officer’s role in the company, depth and breadth of experience, internal equity, performance, retention concerns and relevant compensation trends in the marketplace, in making its final compensation determinations.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Talent and Compensation Committee has the authority to directly retain the services of independent consultants and other experts to assist in fulfilling its responsibilities. The Talent and Compensation Committee has engaged the services of Frederic W. Cook &amp; Co., Inc. (“FW Cook”) to review and provide recommendations concerning the components of the Company’s executive and director compensation program. FW Cook performs services solely on behalf of the Talent and Compensation Committee. FW Cook assists the Talent and Compensation Committee in defining the appropriate market of our peer companies for executive compensation and practices and in benchmarking our executive compensation program against the peer group. FW Cook also assists the Talent and Compensation Committee in benchmarking our director compensation program and practices against those of our peers. The Talent and Compensation Committee has assessed the independence of FW Cook pursuant to SEC rules and the corporate governance rules of The Nasdaq Stock Market and concluded that no conflict of interest exists that would prevent FW Cook from independently representing the Talent and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Talent and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written charter for the Talent and Compensation Committee, which is available on our website at https://www.prokidney.com under Investors—Corporate Governance—Governance Overview.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Nominating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Committee met one time during fiscal 2024 and has four members consisting of William F. Doyle, who serves as the chairperson, Brian J.G. Pereira, M.D., Uma Sinha, Ph.D., and José Ignacio Jiménez Santos. From January to May 2024, the Nominating Committee consisted of John M. Maraganore, Ph.D., our former director, who served on the committee and as the chairperson until his term of service ended in May 2024, Brian J.G. Pereira, M.D., Uma Sinha, Ph.D., and José Ignacio Jiménez Santos. The Board has determined that all members of the Nominating Committee qualify as independent under the definition promulgated by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nominating and corporate governance committee is to assist the Board in discharging the responsibilities set forth in the Nominating Committee’s written charter and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and evaluating candidates, including the nomination of incumbent directors for re-election and nominees recommended by shareholders, to serve on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considering and making recommendations to the Board regarding the composition and chairmanship of the committees of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to the Board regarding corporate governance guidelines and matters, including in relation to corporate social responsibility; and </w:t>
            </w:r>
          </w:p>
        </w:tc>
      </w:tr>
    </w:tbl>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the performance of the Board, including its individual directors and committees.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written charter for the nominating and corporate governance committee, which is available on our website at https://www.prokidney.com under Investors—Corporate Governance—Governance Overview.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45101x2_424b3_112-management_pg8"/>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our Nominating Committee considers candidates recommended by shareholders as well as from other sources such as other directors or officers, third party search firms or other appropriate sources. Once identified, the Nominating Committee will evaluate a candidate’s qualifications in accordance with our Nominating and Governance Committee Policy Regarding Qualifications of Directors appended to our Nominating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shareholder wishes to propose a candidate for consideration as a nominee for election to the Board, it must follow the procedures described in the Existing Organizational Documents and in “</w:t>
      </w:r>
      <w:r>
        <w:rPr>
          <w:rFonts w:ascii="Times New Roman;Times;serif" w:hAnsi="Times New Roman;Times;serif"/>
          <w:i/>
          <w:color w:val="000000"/>
          <w:sz w:val="20"/>
        </w:rPr>
        <w:t>Stockholder Nominations and Proposals</w:t>
      </w:r>
      <w:r>
        <w:rPr>
          <w:rFonts w:ascii="Times New Roman;Times;serif" w:hAnsi="Times New Roman;Times;serif"/>
          <w:color w:val="000000"/>
          <w:sz w:val="20"/>
        </w:rPr>
        <w:t>” at the end of this proxy statement/prospectus. In general, persons recommended by shareholders will be considered in accordance with our Policy on Shareholder Recommendation of Candidates for Election as Directors appended to our Nominating Committee’s written charter. Any such recommendation should be made in writing to the Nominating Committee, care of our Corporate Secretary at our principal office and should be accompanied by the following information concerning each recommending shareholder and the beneficial owner</w:t>
      </w:r>
      <w:r>
        <w:rPr>
          <w:rFonts w:ascii="Times New Roman;Times;serif" w:hAnsi="Times New Roman;Times;serif"/>
          <w:b/>
          <w:color w:val="000000"/>
          <w:sz w:val="20"/>
        </w:rPr>
        <w:t>,</w:t>
      </w:r>
      <w:r>
        <w:rPr>
          <w:rFonts w:ascii="Times New Roman;Times;serif" w:hAnsi="Times New Roman;Times;serif"/>
          <w:color w:val="000000"/>
          <w:sz w:val="20"/>
        </w:rPr>
        <w:t xml:space="preserve"> if any, on whose behalf the nomination is made: </w:t>
      </w:r>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person that would be required to be disclosed in a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biographical and share ownership information about the shareholder and any other proponent, including a description of any derivative transactions in the Company’s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certain arrangements and understandings between the proposing shareholder and any beneficial owner and any other person in connection with such shareholder nomination;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statement whether or not either such shareholder or beneficial owner intends to deliver a proxy statement/prospectus and form of proxy to holders of voting shares sufficient to carry the proposal.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recommendation must also be accompanied by the following information concerning the proposed nominee: </w:t>
      </w:r>
    </w:p>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biographical information concerning the proposed nominee;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concerning the proposed nominee required to be disclosed in solicitations of proxies for election of directors; </w:t>
            </w:r>
          </w:p>
        </w:tc>
      </w:tr>
    </w:tbl>
    <w:tbl>
      <w:tblPr>
        <w:tblW w:w="8695" w:type="dxa"/>
        <w:jc w:val="left"/>
        <w:tblInd w:w="0" w:type="dxa"/>
        <w:tblLayout w:type="fixed"/>
        <w:tblCellMar>
          <w:top w:w="0" w:type="dxa"/>
          <w:left w:w="0" w:type="dxa"/>
          <w:bottom w:w="0" w:type="dxa"/>
          <w:right w:w="0" w:type="dxa"/>
        </w:tblCellMar>
      </w:tblPr>
      <w:tblGrid>
        <w:gridCol w:w="110"/>
        <w:gridCol w:w="8585"/>
      </w:tblGrid>
      <w:tr>
        <w:trPr/>
        <w:tc>
          <w:tcPr>
            <w:tcW w:w="11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information about any other security holder of the Company who supports the proposed nominee;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all relationships between the proposed nominee and the recommending shareholder or any beneficial owner, including any agreements or understandings regarding the nomination;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disclosures relating to shareholder nominees for directors, including completed questionnaires and disclosures required by the Existing Organizational Documents.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Board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key functions of the Board is to oversee ProKidney’s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45101x2_424b3_112-management_pg9"/>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policies to govern the process by which risk assessment and management is undertaken. The Audit Committee also monitors compliance with legal and regulatory requirements. Our Talent and Compensation Committee also assesses and monitors whether our compensation plans, policies and programs comply with applicable legal and regulatory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two separate individuals serve in the positions of Chief Executive Officer and Chairman of the Board. We believe that our current leadership structure is optimal for the Company at this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six independent members and two non-independent directors,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shareholders who have questions or concerns should contact our Investor Relations team at (336) 999-7028. However, any shareholders who wish to address questions regarding our business directly with the Board, or any individual director, should direct his or her questions in writing to the Chairman of the Board at 2000 Frontis Plaza Blvd., Suite 250, Winston-Salem, North Carolina 27103 / to individual Board members via e-mail at ir@prokidney.com / using the “Investor Contact” page of our website at www.prokidney.com.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Communications will be distributed to the Board, or to any individual director or directors as appropriate, depending on the facts and circumstances outlined in the communications. Items that are unrelated to the duties and responsibilities of the Board may be excluded, such as: </w:t>
      </w:r>
    </w:p>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junk mail and mass mailings;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resumes and other forms of job inquiries; </w:t>
            </w:r>
          </w:p>
        </w:tc>
      </w:tr>
    </w:tbl>
    <w:tbl>
      <w:tblPr>
        <w:tblW w:w="1195" w:type="dxa"/>
        <w:jc w:val="left"/>
        <w:tblInd w:w="0" w:type="dxa"/>
        <w:tblLayout w:type="fixed"/>
        <w:tblCellMar>
          <w:top w:w="0" w:type="dxa"/>
          <w:left w:w="0" w:type="dxa"/>
          <w:bottom w:w="0" w:type="dxa"/>
          <w:right w:w="0" w:type="dxa"/>
        </w:tblCellMar>
      </w:tblPr>
      <w:tblGrid>
        <w:gridCol w:w="110"/>
        <w:gridCol w:w="1085"/>
      </w:tblGrid>
      <w:tr>
        <w:trPr/>
        <w:tc>
          <w:tcPr>
            <w:tcW w:w="110" w:type="dxa"/>
            <w:tcBorders/>
            <w:vAlign w:val="center"/>
          </w:tcPr>
          <w:p>
            <w:pPr>
              <w:pStyle w:val="TableContents"/>
              <w:bidi w:val="0"/>
              <w:spacing w:before="0" w:after="0"/>
              <w:jc w:val="left"/>
              <w:rPr>
                <w:color w:val="000000"/>
              </w:rPr>
            </w:pPr>
            <w:r>
              <w:rPr>
                <w:color w:val="000000"/>
              </w:rPr>
              <w:t>•</w:t>
            </w:r>
          </w:p>
        </w:tc>
        <w:tc>
          <w:tcPr>
            <w:tcW w:w="1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surveys; and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solicitations or advertisements.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any material that is unduly hostile, threatening, or illegal in nature may be excluded, in which case it will be made available to any outside director upon request.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as of April 24, 2025 regarding our executive officers who are not also directors. We have employment agreements with all of our executive officers. </w:t>
      </w:r>
    </w:p>
    <w:tbl>
      <w:tblPr>
        <w:tblW w:w="5390" w:type="dxa"/>
        <w:jc w:val="left"/>
        <w:tblInd w:w="0" w:type="dxa"/>
        <w:tblLayout w:type="fixed"/>
        <w:tblCellMar>
          <w:top w:w="0" w:type="dxa"/>
          <w:left w:w="0" w:type="dxa"/>
          <w:bottom w:w="0" w:type="dxa"/>
          <w:right w:w="0" w:type="dxa"/>
        </w:tblCellMar>
      </w:tblPr>
      <w:tblGrid>
        <w:gridCol w:w="2435"/>
        <w:gridCol w:w="140"/>
        <w:gridCol w:w="140"/>
        <w:gridCol w:w="305"/>
        <w:gridCol w:w="140"/>
        <w:gridCol w:w="140"/>
        <w:gridCol w:w="2090"/>
      </w:tblGrid>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0"/>
              <w:jc w:val="center"/>
              <w:rPr>
                <w:color w:val="000000"/>
              </w:rPr>
            </w:pPr>
            <w:r>
              <w:rPr>
                <w:color w:val="000000"/>
              </w:rPr>
              <w:t>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Coulston, CPA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Darin J. Weber,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Regulatory Officer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C. Girolamo, J.D., MBA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w:t>
            </w:r>
          </w:p>
        </w:tc>
      </w:tr>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James Coulston, CPA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Coulston has served as our Chief Financial Officer since the Closing, having served the Chief Financial Officer of ProKidney-US since January 2022. Prior to that, Mr. Coulston served as ProKidney-US’s Senior Vice President, Finance from January 2021 to December 2021 and ProKidney-US’s Vice President, Finance from February 2019 to December 2020. Before joining ProKidney, from August 2015 to January 2019, Mr. Coulston served as the Executive Director, Finance of Banner Life Sciences LLC, a privately held clinical-stage pharmaceutical company combining a proven history of formulation expertise with proprietary technologies to create specialty pharmaceuticals that solve real unmet clinical needs, where Mr. Coulston oversaw the financial, human resources, and IT activities. From 2007 to 2015, Mr. Coulston held finance roles of increasing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45101x2_424b3_112-management_pg10"/>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responsibility at Targacept Inc. (Nasdaq: TRGT), a clinical-stage biopharmaceutical company developing novel NNR Therapeutics™ before it merged with and into Catalyst Biosciences, Inc. (Nasdaq: CBIO), a clinical-stage biopharmaceutical company focused on creating and developing novel medicines to address serious medical conditions, including Senior Director, Finance and Controller. Mr. Coulston earned his B.S. and master degree in Accounting from North Carolina State University and is a Certified Public Accountant in the state of North Carolina.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Darin J. Weber, Ph.D.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Weber has served as our Chief Regulatory Officer since December 2022, having served as ProKidney-US’s Senior Vice President of Regulatory Development since September 2020, where he is responsible for leading the development and implementation of ProKidney’s regulatory strategy in all markets, worldwide, and interfacing with regulatory authorities. Prior to his current position, he served as Senior Vice President of Regulatory Development from the Closing until December 2022. Dr. Weber has over 25 years of experience in cellular and tissue-based regenerative medicine products, with previous roles as Senior Vice President of Regulatory and Quality at Medeor Therapeutics, from February 2016 to December 2019; Executive Vice President of Global Regulatory Affairs and Quality Management at Mesoblast, from June 2011 to February 2016; Senior Consultant for Cell and Gene Therapies at Biologics Consulting Group from February 2004 to May 2011, and positions of increasing responsibility at the FDA’s CBER, including as Chief of Cellular Therapies Branch in the Office of Cellular, Tissues and Gene Therapies, (now known as the Office of Tissues and Advanced Therapies) from September 1996 to January 2004. He is a long-serving member of United States Pharmacopeia (USP) expert committees for human tissues and advanced therapies. Dr. Weber received his B.S. in Molecular Biology from The Evergreen State College and a Ph.D. in Biochemistry and Biophysics from Oregon State University.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Todd C. Girolamo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Girolamo has served as our Chief Legal Officer since the Closing and as the Chief Legal Officer of ProKidney-US since March 2022. Prior to that, Mr. Girolamo spent 11 years at Caladrius Biosciences, Inc. (Nasdaq: CLBS) (now Lisata Therapeutics, Inc. (Nasdaq: LSTA)), where he served as Chief Legal Officer, Senior Vice President of Corporate Development and Corporate Secretary. Mr. Girolamo began his legal career at Cahill Gordon &amp; Reindel in 1990 and later at Reid &amp; Priest, practicing in the areas of securities law, intellectual property, employment law and general commercial litigation. After private practice, Mr. Girolamo spent 12 years on Wall Street in institutional equities as a series 24, 7 and 63 licensed principal at Oppenheimer &amp; Co., CIBC World Markets, Leerink Swann and Summer Street Research Partners where he specialized in equity research, sales, and trading of biotechnology, pharmaceuticals and medical technology market sectors. Mr. Girolamo then served as an analyst and portfolio manager at Lion’s Path Capital managing a long-short portfolio of biopharma and med-tech equities.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Girolamo received an A.B. with honors from Harvard College, a J.D. from the University of Pennsylvania Law School and an MBA from Columbia Business School.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45101x2_424b3_113-executive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EC"/>
      <w:bookmarkEnd w:id="92"/>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2024, ProKidney’s NEOs were: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Bruce Culleton, M.D., Chief Executive Officer;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Todd C. Girolamo J.D., MBA, Chief Legal Officer; and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Ulrich Ernst, Ph.D., Executive Vice President, Technical Operations. 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compensation for the years ended December 31, 2024 and 2023 earned by, awarded to or paid to our NEOs. </w:t>
      </w:r>
    </w:p>
    <w:tbl>
      <w:tblPr>
        <w:tblW w:w="10205" w:type="dxa"/>
        <w:jc w:val="left"/>
        <w:tblInd w:w="0" w:type="dxa"/>
        <w:tblLayout w:type="fixed"/>
        <w:tblCellMar>
          <w:top w:w="0" w:type="dxa"/>
          <w:left w:w="0" w:type="dxa"/>
          <w:bottom w:w="0" w:type="dxa"/>
          <w:right w:w="0" w:type="dxa"/>
        </w:tblCellMar>
      </w:tblPr>
      <w:tblGrid>
        <w:gridCol w:w="1959"/>
        <w:gridCol w:w="140"/>
        <w:gridCol w:w="140"/>
        <w:gridCol w:w="440"/>
        <w:gridCol w:w="140"/>
        <w:gridCol w:w="140"/>
        <w:gridCol w:w="695"/>
        <w:gridCol w:w="140"/>
        <w:gridCol w:w="140"/>
        <w:gridCol w:w="455"/>
        <w:gridCol w:w="140"/>
        <w:gridCol w:w="140"/>
        <w:gridCol w:w="575"/>
        <w:gridCol w:w="140"/>
        <w:gridCol w:w="140"/>
        <w:gridCol w:w="845"/>
        <w:gridCol w:w="140"/>
        <w:gridCol w:w="140"/>
        <w:gridCol w:w="1067"/>
        <w:gridCol w:w="140"/>
        <w:gridCol w:w="140"/>
        <w:gridCol w:w="1055"/>
        <w:gridCol w:w="140"/>
        <w:gridCol w:w="140"/>
        <w:gridCol w:w="874"/>
      </w:tblGrid>
      <w:tr>
        <w:trPr/>
        <w:tc>
          <w:tcPr>
            <w:tcW w:w="19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r>
      <w:tr>
        <w:trPr/>
        <w:tc>
          <w:tcPr>
            <w:tcW w:w="195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59" w:type="dxa"/>
            <w:vMerge w:val="restart"/>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M.D.(3)</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15,802(4)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1,015,802 </w:t>
            </w:r>
          </w:p>
        </w:tc>
      </w:tr>
      <w:tr>
        <w:trPr/>
        <w:tc>
          <w:tcPr>
            <w:tcW w:w="195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244,961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8,345,464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120,824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891</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8,712,140 </w:t>
            </w:r>
          </w:p>
        </w:tc>
      </w:tr>
      <w:tr>
        <w:trPr/>
        <w:tc>
          <w:tcPr>
            <w:tcW w:w="1959"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C. Girolamo</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6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195,075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15,783(6)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1,260,899 </w:t>
            </w:r>
          </w:p>
        </w:tc>
      </w:tr>
      <w:tr>
        <w:trPr/>
        <w:tc>
          <w:tcPr>
            <w:tcW w:w="1959"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6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1,753,456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101,660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14,926(6)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2,295,042 </w:t>
            </w:r>
          </w:p>
        </w:tc>
      </w:tr>
      <w:tr>
        <w:trPr/>
        <w:tc>
          <w:tcPr>
            <w:tcW w:w="1959" w:type="dxa"/>
            <w:vMerge w:val="restart"/>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Ulrich Ernst, Ph.D.(7)</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Executive Vice President, Technical Operations</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665,285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144,205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50,381(8)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1,188,717 </w:t>
            </w:r>
          </w:p>
        </w:tc>
      </w:tr>
      <w:tr>
        <w:trPr/>
        <w:tc>
          <w:tcPr>
            <w:tcW w:w="195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17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9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9"/>
        <w:gridCol w:w="10086"/>
      </w:tblGrid>
      <w:tr>
        <w:trPr/>
        <w:tc>
          <w:tcPr>
            <w:tcW w:w="1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grant date fair value of stock options granted during 2024, as computed in accordance with ASC Topic 718, not including any estimates of forfeiture. See Notes 2 and 10 of “Notes to Consolidated Financial Statements” in our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 </w:t>
            </w:r>
          </w:p>
        </w:tc>
      </w:tr>
    </w:tbl>
    <w:tbl>
      <w:tblPr>
        <w:tblW w:w="9955" w:type="dxa"/>
        <w:jc w:val="left"/>
        <w:tblInd w:w="0" w:type="dxa"/>
        <w:tblLayout w:type="fixed"/>
        <w:tblCellMar>
          <w:top w:w="0" w:type="dxa"/>
          <w:left w:w="0" w:type="dxa"/>
          <w:bottom w:w="0" w:type="dxa"/>
          <w:right w:w="0" w:type="dxa"/>
        </w:tblCellMar>
      </w:tblPr>
      <w:tblGrid>
        <w:gridCol w:w="155"/>
        <w:gridCol w:w="9800"/>
      </w:tblGrid>
      <w:tr>
        <w:trPr/>
        <w:tc>
          <w:tcPr>
            <w:tcW w:w="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cash bonuses earned by the named executive officers pursuant to our Non-Equity Incentive Compensation Plan for performance.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Culleton commenced employment as our Executive Vice President, Clinical Development and Commercialization on July 17, 2023. Dr. Culleton was appointed as Chief Executive Officer effective November 15, 2023. </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all other compensation paid to Dr. Culleton including: (1) matching contributions to the 401(k) plan of $14,067 and (2) insurance premiums with respect to a group life insurance policy, a group short-term disability policy, a group long-term disability policy, an accidental death and dismemberment policy, and flexible spending accounts.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all other compensation paid to Dr. Culleton including insurance premiums with respect to a group life insurance policy, a group short-term disability policy, a group long-term disability policy, an accidental death and dismemberment policy, and flexible spending accounts. </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all other compensation paid to Mr. Girolamo including: (1) the matching contributions to the 401(k) plan of $14,048 and $13,488 for the years ended December 31, 2024 and 2023, respectively and (2) insurance premiums with respect to a group life insurance policy, a group short-term disability policy, a group long-term disability policy, an accidental death and dismemberment policy, and flexible spending accounts.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Ernst commenced employment as our Executive Vice President, Technical Operations on March 25, 2024. Dr. Ernst was terminated effective March 3, 2025. </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all other compensation paid to Dr. Ernst including (1) $49,058 of relocation assistance and (2) insurance premiums with respect to a group life insurance policy, a group short-term disability policy, a group long-term disability policy, an accidental death and dismemberment policy, and flexible spending accounts.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45101x2_424b3_113-executive_pg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Summary Compensation Table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of Executive Officers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designed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senior management in a manner aligned with our financial performance;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senior management’s interests with our equity owners’ long-term interests through equity participation and ownership.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Decisions with respect to the compensation of our executive officers, including our named executive officers, are made by the Talent and Compensation Committee of the Board. Compensation for our executive officers has the following components: base salary, cash bonus opportunities, long-term incentive compensation, broad-based employee benefits, and severance benefits. Base salaries, broad-based employee benefits, supplemental executive perquisites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salaries for our NEOs are subject to adjustments made by the Talent and Compensation Committee, including in connection with our annual review of our NEOs’ base salaries. We did not increase base salaries for our NEOs during 2024.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Non-Equity Incentive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use annual cash incentive bonuses for the NEOs to motivate their achievement of short-term performance goals and tie a portion of their cash compensation to performance. Near the beginning of each year, the Talent and Compensation Committee will approve the performance targets, target amounts, target award opportunities and other terms and conditions of annual cash bonuses for the NEOs, subject to the terms of their employment agreements. Following the end of each year, the Talent and Compensation Committee will determine the extent to which the performance targets were achieved and the amount of the award that is payable to the named executive officers.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2024, the Talent and Compensation Committee approved a corporate goal achievement of 100%. </w:t>
      </w:r>
    </w:p>
    <w:tbl>
      <w:tblPr>
        <w:tblW w:w="10205" w:type="dxa"/>
        <w:jc w:val="left"/>
        <w:tblInd w:w="0" w:type="dxa"/>
        <w:tblLayout w:type="fixed"/>
        <w:tblCellMar>
          <w:top w:w="0" w:type="dxa"/>
          <w:left w:w="0" w:type="dxa"/>
          <w:bottom w:w="0" w:type="dxa"/>
          <w:right w:w="0" w:type="dxa"/>
        </w:tblCellMar>
      </w:tblPr>
      <w:tblGrid>
        <w:gridCol w:w="1722"/>
        <w:gridCol w:w="140"/>
        <w:gridCol w:w="140"/>
        <w:gridCol w:w="4311"/>
        <w:gridCol w:w="140"/>
        <w:gridCol w:w="140"/>
        <w:gridCol w:w="800"/>
        <w:gridCol w:w="140"/>
        <w:gridCol w:w="140"/>
        <w:gridCol w:w="556"/>
        <w:gridCol w:w="140"/>
        <w:gridCol w:w="140"/>
        <w:gridCol w:w="800"/>
        <w:gridCol w:w="140"/>
        <w:gridCol w:w="140"/>
        <w:gridCol w:w="616"/>
      </w:tblGrid>
      <w:tr>
        <w:trPr/>
        <w:tc>
          <w:tcPr>
            <w:tcW w:w="17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left"/>
              <w:rPr/>
            </w:pPr>
            <w:r>
              <w:rPr/>
              <w:t> </w:t>
            </w:r>
          </w:p>
        </w:tc>
      </w:tr>
      <w:tr>
        <w:trPr/>
        <w:tc>
          <w:tcPr>
            <w:tcW w:w="172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tc>
      </w:tr>
      <w:tr>
        <w:trPr/>
        <w:tc>
          <w:tcPr>
            <w:tcW w:w="1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49.3% </w:t>
            </w:r>
          </w:p>
        </w:tc>
      </w:tr>
      <w:tr>
        <w:trPr/>
        <w:tc>
          <w:tcPr>
            <w:tcW w:w="1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C. Girolamo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 </w:t>
            </w:r>
          </w:p>
        </w:tc>
      </w:tr>
      <w:tr>
        <w:trPr/>
        <w:tc>
          <w:tcPr>
            <w:tcW w:w="1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Ulrich Ernst,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Executive Vice President, Technical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r>
      <w:tr>
        <w:trPr/>
        <w:tc>
          <w:tcPr>
            <w:tcW w:w="172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use share-based awards to promote our interests by providing the executives with the opportunity to acquire equity interests as an incentive for their remaining in our service and aligning the executives’ interests with those of ProKidney. Share-based awards will be awarded under the Incentive Equity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45101x2_424b3_113-executive_pg3"/>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Policies and Practices Related to the Grant of Certain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Talent and Compensation Committee does not grant equity awards in anticipation of the release of material non-public information. Similarly, we do not time the release of material non-public information based on equity award grant dates.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various broad-based employee benefit plans, including medical, dental, vision, life and disability insurance and 401(k) plans, paid vacation, sick leave and holidays and employee assistance program benefits in which the NEOs participate.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are descriptions of the employment agreements with each of our NEOs (the “Employment Agreements”) setting forth the terms and conditions of such executive’s employment with us.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Bruce Culleton,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3, 2023, we entered into an employment agreement with Dr. Culleton, pursuant to which he serves as Chief Executive Officer of the Company and its subsidiaries and affiliates effective November 15, 2023. The agreement provides for a base salary of not less than $625,000 per year and a target cash bonus opportunity of 60% of base salary, which was prorated for the 2023 fiscal year. Additionally, Dr. Culleton is eligible to receive long-term incentive awards under the Incentive Equity Plan and is eligible for participation in the Company’s employee health and welfare benefit and retirement programs and certain severance benefits described below. Prior to his appointment as Chief Executive Officer, Dr. Culleton served as the Company’s Executive Vice President, Clinical Development and Commercialization from July 17, 2023 to November 15, 2023. In that role, Dr. Culleton’s annual base salary was $495,000.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Todd Girolamo, J.D., MBA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 2022, we entered into an employment agreement with Mr. Girolamo, pursuant to which he serves as Chief Legal Officer of the Company and its subsidiaries and affiliates effective October 1, 2022. The agreement provides for a base salary of not less than $425,000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 relocation assistance agreement with Mr. Girolamo in connection with his employment as Chief Legal Officer of the Company and its subsidiaries and affiliates. The agreement provides for certain remuneration related to Mr. Girolamo’s relocation to the Winston-Salem, North Carolina area within two years from the date of his hire. This agreement provides for a payment of $35,000 for accommodations and ground transportation, as needed while commuting to North Carolina, and a miscellaneous allowance equivalent to one-month base salary. The agreement also provides for the reimbursement of reasonable and customary moving expenses (the “Relocation Costs”) up to an amount not to exceed $50,000, which will be grossed-up to cover the associated tax liability. The Relocation Costs are subject to repayment provisions if Mr. Girolamo’s employment with the Company is terminated within two years of his relocation date.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Ulrich Ernst, Ph.D.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March 25, 2024, we entered into an employment agreement with Mr. Ernst, pursuant to which he served as Executive Vice President, Technical Operations of the Company and its subsidiaries and affiliates effective March 25, 2024. The agreement provided for a base salary of not less than $450,000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 In addition, the Company agreed to provide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45101x2_424b3_113-executive_pg4"/>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relocation assistance in an amount not to exceed $159,000. On March 3, 2025, we terminated Mr. Ernst’s employment with us. In accordance with his employment agreement, Mr. Ernst will receive salary continuation for a period of nine months following his termination date, payable in accordance with the Company’s normal payroll cycle and continued participation in the Company’s group health plan at active employee rates for a period of nine months following his termination date.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upon Termination or Change-In-Control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Employment Agreements for each of our NEOs, if the executive’s employment is terminated by the Company without Cause or by the executive for Good Reason (each as defined in the applicable Employment Agreement) (a “Qualifying Termination Absent a Change in Control”), subject to the executive’s timely execution and non-revocation of a release of claims, the executive will receive (i) any earned but unpaid bonus for any prior completed fiscal year, payable when such payments would otherwise be paid, (ii) severance payments in the form of base salary continuation payable over the applicable post-termination severance period set forth in the table below and (iii) continued participation in the Company’s group health plan for the applicable post-termination severance period set forth in the table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executive’s employment is terminated by the Company without Cause or by the executive for Good Reason within the applicable protection period set forth in the table below following a Change in Control (as defined in the Incentive Equity Plan) (a “Qualifying Termination Following a Change in Control”), subject to the executive’s timely execution and non-revocation of a release of claims, the executive will receive (i) a lump-sum severance payment equal to the applicable severance multiple set forth in the table below multiplied by the sum of the executive’s (A) then-current base salary and (B) then-current target bonus opportunity, (ii) continued participation in the Company’s group health plan for the applicable post-termination benefits period set forth in the table below and (iii) full vesting of any equity awards then outstanding held by the executive. </w:t>
      </w:r>
    </w:p>
    <w:tbl>
      <w:tblPr>
        <w:tblW w:w="10205" w:type="dxa"/>
        <w:jc w:val="left"/>
        <w:tblInd w:w="0" w:type="dxa"/>
        <w:tblLayout w:type="fixed"/>
        <w:tblCellMar>
          <w:top w:w="0" w:type="dxa"/>
          <w:left w:w="0" w:type="dxa"/>
          <w:bottom w:w="0" w:type="dxa"/>
          <w:right w:w="0" w:type="dxa"/>
        </w:tblCellMar>
      </w:tblPr>
      <w:tblGrid>
        <w:gridCol w:w="4326"/>
        <w:gridCol w:w="140"/>
        <w:gridCol w:w="140"/>
        <w:gridCol w:w="1790"/>
        <w:gridCol w:w="140"/>
        <w:gridCol w:w="140"/>
        <w:gridCol w:w="844"/>
        <w:gridCol w:w="140"/>
        <w:gridCol w:w="140"/>
        <w:gridCol w:w="784"/>
        <w:gridCol w:w="140"/>
        <w:gridCol w:w="140"/>
        <w:gridCol w:w="1341"/>
      </w:tblGrid>
      <w:tr>
        <w:trPr/>
        <w:tc>
          <w:tcPr>
            <w:tcW w:w="43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gridSpan w:val="7"/>
            <w:tcBorders/>
            <w:vAlign w:val="center"/>
          </w:tcPr>
          <w:p>
            <w:pPr>
              <w:pStyle w:val="TableContents"/>
              <w:bidi w:val="0"/>
              <w:spacing w:before="0" w:after="0"/>
              <w:jc w:val="left"/>
              <w:rPr/>
            </w:pPr>
            <w:r>
              <w:rPr/>
              <w:t> </w:t>
            </w:r>
          </w:p>
        </w:tc>
      </w:tr>
      <w:tr>
        <w:trPr/>
        <w:tc>
          <w:tcPr>
            <w:tcW w:w="432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Qualifying 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Absent a Change in Control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9"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Qualifying Termination Following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Change in Control </w:t>
            </w:r>
          </w:p>
        </w:tc>
      </w:tr>
      <w:tr>
        <w:trPr/>
        <w:tc>
          <w:tcPr>
            <w:tcW w:w="432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Post-Termination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Protection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Post-Termination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Period </w:t>
            </w:r>
          </w:p>
        </w:tc>
      </w:tr>
      <w:tr>
        <w:trPr/>
        <w:tc>
          <w:tcPr>
            <w:tcW w:w="43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Chief Executive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 months </w:t>
            </w:r>
          </w:p>
        </w:tc>
      </w:tr>
      <w:tr>
        <w:trPr/>
        <w:tc>
          <w:tcPr>
            <w:tcW w:w="43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Girolamo, Chief Legal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 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 months </w:t>
            </w:r>
          </w:p>
        </w:tc>
      </w:tr>
      <w:tr>
        <w:trPr/>
        <w:tc>
          <w:tcPr>
            <w:tcW w:w="432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Ulrich Ernst, Ph.D., Former Executive Vice President, Technical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 months</w:t>
            </w:r>
          </w:p>
        </w:tc>
      </w:tr>
      <w:tr>
        <w:trPr/>
        <w:tc>
          <w:tcPr>
            <w:tcW w:w="432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45101x2_424b3_113-executive_pg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2024 Fiscal Year-End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grants of stock options and grants of unvested stock awards outstanding on the last day of the fiscal year ended December 31, 2024, including both awards subject to performance conditions and non-performance-based awards, to each of the executive officers named in the Summary Compensation Table. </w:t>
      </w:r>
    </w:p>
    <w:tbl>
      <w:tblPr>
        <w:tblW w:w="10205" w:type="dxa"/>
        <w:jc w:val="left"/>
        <w:tblInd w:w="0" w:type="dxa"/>
        <w:tblLayout w:type="fixed"/>
        <w:tblCellMar>
          <w:top w:w="0" w:type="dxa"/>
          <w:left w:w="0" w:type="dxa"/>
          <w:bottom w:w="0" w:type="dxa"/>
          <w:right w:w="0" w:type="dxa"/>
        </w:tblCellMar>
      </w:tblPr>
      <w:tblGrid>
        <w:gridCol w:w="882"/>
        <w:gridCol w:w="140"/>
        <w:gridCol w:w="140"/>
        <w:gridCol w:w="456"/>
        <w:gridCol w:w="140"/>
        <w:gridCol w:w="140"/>
        <w:gridCol w:w="740"/>
        <w:gridCol w:w="140"/>
        <w:gridCol w:w="140"/>
        <w:gridCol w:w="860"/>
        <w:gridCol w:w="140"/>
        <w:gridCol w:w="140"/>
        <w:gridCol w:w="740"/>
        <w:gridCol w:w="140"/>
        <w:gridCol w:w="140"/>
        <w:gridCol w:w="531"/>
        <w:gridCol w:w="140"/>
        <w:gridCol w:w="140"/>
        <w:gridCol w:w="684"/>
        <w:gridCol w:w="140"/>
        <w:gridCol w:w="140"/>
        <w:gridCol w:w="607"/>
        <w:gridCol w:w="140"/>
        <w:gridCol w:w="140"/>
        <w:gridCol w:w="695"/>
        <w:gridCol w:w="140"/>
        <w:gridCol w:w="140"/>
        <w:gridCol w:w="596"/>
        <w:gridCol w:w="140"/>
        <w:gridCol w:w="140"/>
        <w:gridCol w:w="614"/>
      </w:tblGrid>
      <w:tr>
        <w:trPr/>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5" w:type="dxa"/>
            <w:gridSpan w:val="13"/>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2" w:type="dxa"/>
            <w:gridSpan w:val="10"/>
            <w:tcBorders/>
            <w:vAlign w:val="center"/>
          </w:tcPr>
          <w:p>
            <w:pPr>
              <w:pStyle w:val="TableContents"/>
              <w:bidi w:val="0"/>
              <w:spacing w:before="0" w:after="0"/>
              <w:jc w:val="left"/>
              <w:rPr/>
            </w:pPr>
            <w:r>
              <w:rPr/>
              <w:t> </w:t>
            </w:r>
          </w:p>
        </w:tc>
      </w:tr>
      <w:tr>
        <w:trPr/>
        <w:tc>
          <w:tcPr>
            <w:tcW w:w="8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75" w:type="dxa"/>
            <w:gridSpan w:val="13"/>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2" w:type="dxa"/>
            <w:gridSpan w:val="10"/>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Awards </w:t>
            </w:r>
          </w:p>
        </w:tc>
      </w:tr>
      <w:tr>
        <w:trPr/>
        <w:tc>
          <w:tcPr>
            <w:tcW w:w="882"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Price Per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Expiration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Units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Units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Units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Rights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Payout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Rights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Not Vested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882" w:type="dxa"/>
            <w:vMerge w:val="restart"/>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Bruce Culleton, M.D.</w:t>
            </w:r>
          </w:p>
          <w:p>
            <w:pPr>
              <w:pStyle w:val="TableContents"/>
              <w:bidi w:val="0"/>
              <w:spacing w:before="0" w:after="283"/>
              <w:ind w:left="160" w:right="0" w:hanging="0"/>
              <w:jc w:val="left"/>
              <w:rPr>
                <w:rFonts w:ascii="Times New Roman;Times;serif" w:hAnsi="Times New Roman;Times;serif"/>
                <w:i/>
                <w:color w:val="000000"/>
                <w:sz w:val="16"/>
              </w:rPr>
            </w:pPr>
            <w:r>
              <w:rPr>
                <w:rFonts w:ascii="Times New Roman;Times;serif" w:hAnsi="Times New Roman;Times;serif"/>
                <w:i/>
                <w:color w:val="000000"/>
                <w:sz w:val="16"/>
              </w:rPr>
              <w:t>Chief Executive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12/3/2023</w:t>
            </w:r>
            <w:r>
              <w:rPr>
                <w:rFonts w:ascii="Times New Roman;Times;serif" w:hAnsi="Times New Roman;Times;serif"/>
                <w:color w:val="000000"/>
                <w:sz w:val="16"/>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250,000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250,000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283"/>
              <w:ind w:left="3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12/3/2023</w:t>
            </w:r>
            <w:r>
              <w:rPr>
                <w:rFonts w:ascii="Times New Roman;Times;serif" w:hAnsi="Times New Roman;Times;serif"/>
                <w:color w:val="000000"/>
                <w:sz w:val="16"/>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283"/>
              <w:ind w:left="3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8/1/2023</w:t>
            </w:r>
            <w:r>
              <w:rPr>
                <w:rFonts w:ascii="Times New Roman;Times;serif" w:hAnsi="Times New Roman;Times;serif"/>
                <w:color w:val="000000"/>
                <w:sz w:val="16"/>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161,666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323,334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$13.08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283"/>
              <w:ind w:left="3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restart"/>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Todd C. Girolamo</w:t>
            </w:r>
          </w:p>
          <w:p>
            <w:pPr>
              <w:pStyle w:val="TableContents"/>
              <w:bidi w:val="0"/>
              <w:spacing w:before="0" w:after="283"/>
              <w:ind w:left="160" w:right="0" w:hanging="0"/>
              <w:jc w:val="left"/>
              <w:rPr>
                <w:rFonts w:ascii="Times New Roman;Times;serif" w:hAnsi="Times New Roman;Times;serif"/>
                <w:i/>
                <w:color w:val="000000"/>
                <w:sz w:val="16"/>
              </w:rPr>
            </w:pPr>
            <w:r>
              <w:rPr>
                <w:rFonts w:ascii="Times New Roman;Times;serif" w:hAnsi="Times New Roman;Times;serif"/>
                <w:i/>
                <w:color w:val="000000"/>
                <w:sz w:val="16"/>
              </w:rPr>
              <w:t>Chief Legal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3/1/2024</w:t>
            </w:r>
            <w:r>
              <w:rPr>
                <w:rFonts w:ascii="Times New Roman;Times;serif" w:hAnsi="Times New Roman;Times;serif"/>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56,250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243,750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vAlign w:val="center"/>
          </w:tcPr>
          <w:p>
            <w:pPr>
              <w:pStyle w:val="TableContents"/>
              <w:bidi w:val="0"/>
              <w:spacing w:before="0" w:after="283"/>
              <w:ind w:left="3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3/1/2024</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234,742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vAlign w:val="center"/>
          </w:tcPr>
          <w:p>
            <w:pPr>
              <w:pStyle w:val="TableContents"/>
              <w:bidi w:val="0"/>
              <w:spacing w:before="0" w:after="283"/>
              <w:ind w:left="3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1/16/2023</w:t>
            </w:r>
            <w:r>
              <w:rPr>
                <w:rFonts w:ascii="Times New Roman;Times;serif" w:hAnsi="Times New Roman;Times;serif"/>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138,958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151,042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1/16/2033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vAlign w:val="center"/>
          </w:tcPr>
          <w:p>
            <w:pPr>
              <w:pStyle w:val="TableContents"/>
              <w:bidi w:val="0"/>
              <w:spacing w:before="0" w:after="283"/>
              <w:ind w:left="3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10/20/2022(7)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377,429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319,364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$10.33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10/20/2032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vAlign w:val="center"/>
          </w:tcPr>
          <w:p>
            <w:pPr>
              <w:pStyle w:val="TableContents"/>
              <w:bidi w:val="0"/>
              <w:spacing w:before="0" w:after="283"/>
              <w:ind w:left="3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5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1/17/2022</w:t>
            </w:r>
            <w:r>
              <w:rPr>
                <w:rFonts w:ascii="Times New Roman;Times;serif" w:hAnsi="Times New Roman;Times;serif"/>
                <w:color w:val="000000"/>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163,856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$276,917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 w:type="dxa"/>
            <w:tcBorders/>
            <w:vAlign w:val="center"/>
          </w:tcPr>
          <w:p>
            <w:pPr>
              <w:pStyle w:val="TableContents"/>
              <w:bidi w:val="0"/>
              <w:spacing w:before="0" w:after="283"/>
              <w:ind w:left="3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 w:type="dxa"/>
            <w:tcBorders/>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restart"/>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Ulrich Ernst, Ph.D.</w:t>
            </w:r>
          </w:p>
          <w:p>
            <w:pPr>
              <w:pStyle w:val="TableContents"/>
              <w:bidi w:val="0"/>
              <w:spacing w:before="0" w:after="283"/>
              <w:ind w:left="160" w:right="0" w:hanging="0"/>
              <w:jc w:val="left"/>
              <w:rPr>
                <w:rFonts w:ascii="Times New Roman;Times;serif" w:hAnsi="Times New Roman;Times;serif"/>
                <w:i/>
                <w:color w:val="000000"/>
                <w:sz w:val="16"/>
              </w:rPr>
            </w:pPr>
            <w:r>
              <w:rPr>
                <w:rFonts w:ascii="Times New Roman;Times;serif" w:hAnsi="Times New Roman;Times;serif"/>
                <w:i/>
                <w:color w:val="000000"/>
                <w:sz w:val="16"/>
              </w:rPr>
              <w:t>Former Executive Vice President, Technical Operations</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7/17/2024</w:t>
            </w:r>
            <w:r>
              <w:rPr>
                <w:rFonts w:ascii="Times New Roman;Times;serif" w:hAnsi="Times New Roman;Times;serif"/>
                <w:color w:val="000000"/>
                <w:sz w:val="16"/>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6"/>
              </w:rPr>
            </w:pPr>
            <w:r>
              <w:rPr>
                <w:rFonts w:ascii="Times New Roman;Times;serif" w:hAnsi="Times New Roman;Times;serif"/>
                <w:color w:val="000000"/>
                <w:sz w:val="16"/>
              </w:rPr>
              <w:t>165,000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7/17/2034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283"/>
              <w:ind w:left="3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283"/>
              <w:ind w:left="315" w:right="0" w:hanging="0"/>
              <w:jc w:val="left"/>
              <w:rPr>
                <w:color w:val="000000"/>
              </w:rPr>
            </w:pPr>
            <w:r>
              <w:rPr>
                <w:color w:val="000000"/>
              </w:rPr>
              <w:t xml:space="preserve">— </w:t>
            </w:r>
          </w:p>
        </w:tc>
      </w:tr>
      <w:tr>
        <w:trPr/>
        <w:tc>
          <w:tcPr>
            <w:tcW w:w="882"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4/1/2024</w:t>
            </w:r>
            <w:r>
              <w:rPr>
                <w:rFonts w:ascii="Times New Roman;Times;serif" w:hAnsi="Times New Roman;Times;serif"/>
                <w:color w:val="000000"/>
                <w:sz w:val="16"/>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335,000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4/1/2034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283"/>
              <w:ind w:left="3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283"/>
              <w:ind w:left="315" w:right="0" w:hanging="0"/>
              <w:jc w:val="left"/>
              <w:rPr>
                <w:color w:val="000000"/>
              </w:rPr>
            </w:pPr>
            <w:r>
              <w:rPr>
                <w:color w:val="000000"/>
              </w:rPr>
              <w:t>—</w:t>
            </w:r>
          </w:p>
        </w:tc>
      </w:tr>
      <w:tr>
        <w:trPr/>
        <w:tc>
          <w:tcPr>
            <w:tcW w:w="88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market value of the award is calculated using the closing price of the Company’s Class A ordinary shares on the last trading day of our 2024 fiscal year (December 31, 2024), which was $1.69, multiplied by the number of shares subject to the award.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subject to the achievement of both time and performance vesting conditions, with 25% of the shares vesting on November 15, 2024 and the remaining shares vesting in equal quarterly installments over the following three years, subject to the achievement of certain performance milestones.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25% on November 15, 2024 and the remaining 75% vests in substantially equal quarterly installments over the following 36 months on each quarterly anniversary of the date of grant.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25% on the first anniversary of the date of grant and the remaining 75% vests in substantially equal monthly installments for 36 months thereafter. With respect to Dr. Ulrich, his options ceased to vest on March 3, 2025, the date of his termination, with no options exercisable at such date. </w:t>
            </w:r>
          </w:p>
        </w:tc>
      </w:tr>
    </w:tbl>
    <w:tbl>
      <w:tblPr>
        <w:tblW w:w="8575" w:type="dxa"/>
        <w:jc w:val="left"/>
        <w:tblInd w:w="0" w:type="dxa"/>
        <w:tblLayout w:type="fixed"/>
        <w:tblCellMar>
          <w:top w:w="0" w:type="dxa"/>
          <w:left w:w="0" w:type="dxa"/>
          <w:bottom w:w="0" w:type="dxa"/>
          <w:right w:w="0" w:type="dxa"/>
        </w:tblCellMar>
      </w:tblPr>
      <w:tblGrid>
        <w:gridCol w:w="230"/>
        <w:gridCol w:w="8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options vest in substantially equal monthly installments over the four-year period beginning on the date of grant.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option vests 50% on the first anniversary of the date of grant and the remaining 50% vests in substantially equal monthly installments for 12 months thereafter. </w:t>
            </w:r>
          </w:p>
        </w:tc>
      </w:tr>
    </w:tbl>
    <w:tbl>
      <w:tblPr>
        <w:tblW w:w="8665" w:type="dxa"/>
        <w:jc w:val="left"/>
        <w:tblInd w:w="0" w:type="dxa"/>
        <w:tblLayout w:type="fixed"/>
        <w:tblCellMar>
          <w:top w:w="0" w:type="dxa"/>
          <w:left w:w="0" w:type="dxa"/>
          <w:bottom w:w="0" w:type="dxa"/>
          <w:right w:w="0" w:type="dxa"/>
        </w:tblCellMar>
      </w:tblPr>
      <w:tblGrid>
        <w:gridCol w:w="230"/>
        <w:gridCol w:w="84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4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options vest in substantially equal monthly installments over the four-year period beginning on October 19, 2022. </w:t>
            </w:r>
          </w:p>
        </w:tc>
      </w:tr>
    </w:tbl>
    <w:tbl>
      <w:tblPr>
        <w:tblW w:w="8080" w:type="dxa"/>
        <w:jc w:val="left"/>
        <w:tblInd w:w="0" w:type="dxa"/>
        <w:tblLayout w:type="fixed"/>
        <w:tblCellMar>
          <w:top w:w="0" w:type="dxa"/>
          <w:left w:w="0" w:type="dxa"/>
          <w:bottom w:w="0" w:type="dxa"/>
          <w:right w:w="0" w:type="dxa"/>
        </w:tblCellMar>
      </w:tblPr>
      <w:tblGrid>
        <w:gridCol w:w="230"/>
        <w:gridCol w:w="78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78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these awards vest ratably on each of the first, second, third and fourth anniversaries of the date of grant.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vest subject to the achievement of performance vesting conditions, of which 82,500 vested in 2025 upon satisfaction of the performance condition. The remainder of the options were cancelled upon Dr. Ulrich's termination on March 3, 2025.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ProKidney’s NEOs are eligible to participate in its employee benefit plans, including its medical, dental, vision, life and disability insurance plans, in each case on the same basis as all of ProKidney’s other employees. ProKidney generally provides perquisites or personal benefits to its NEOs in limited circumstances.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401(k)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maintains a 401(k) plan for its ProKidney-US employees. The 401(k) plan is intended to qualify under Section 401(k) of the Code, so that contributions to the 401(k) plan by ProKidney-US employees or by ProKidney, and the investment earnings thereon, are not taxable to the employees until withdrawn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45101x2_424b3_113-executive_pg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401(k) plan, and so that contributions by ProKidney, if any, will be deductible by ProKidney when made. Full- time employees are eligible to participate in the ProKidney-US plan. Under the 401(k) plan, ProKidney-US employees may elect to reduce their current compensation by up to the statutorily prescribed annual limit and to have the amount of such reduction contributed to the 401(k) plan. The 401(k) plan permits ProKidney to make contributions up to the limits allowed by law on behalf of all eligible ProKidney-US employees. As of December 31, 2024, ProKidney matched 100% of participating ProKidney-US employees’ contribution up to 4% of salary to the ProKidney 401(k) plan.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Pension Benefits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qualified or non-qualified defined benefit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Nonqualified Deferred Compensation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nonqualified defined contribution plans or other deferred compensation plan.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Grant of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Compensation Committee does not grant equity awards in anticipation of the release of material non-public information. Similarly, we do not time the release of material non-public information based on equity award grant dates.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total compensation paid or accrued during the fiscal year ended December 31, 2024 to each of our non-employee directors. Directors who are employed by us are not compensated for their service on the Board. </w:t>
      </w:r>
    </w:p>
    <w:tbl>
      <w:tblPr>
        <w:tblW w:w="5555" w:type="dxa"/>
        <w:jc w:val="left"/>
        <w:tblInd w:w="0" w:type="dxa"/>
        <w:tblLayout w:type="fixed"/>
        <w:tblCellMar>
          <w:top w:w="0" w:type="dxa"/>
          <w:left w:w="0" w:type="dxa"/>
          <w:bottom w:w="0" w:type="dxa"/>
          <w:right w:w="0" w:type="dxa"/>
        </w:tblCellMar>
      </w:tblPr>
      <w:tblGrid>
        <w:gridCol w:w="2465"/>
        <w:gridCol w:w="140"/>
        <w:gridCol w:w="140"/>
        <w:gridCol w:w="800"/>
        <w:gridCol w:w="140"/>
        <w:gridCol w:w="140"/>
        <w:gridCol w:w="695"/>
        <w:gridCol w:w="140"/>
        <w:gridCol w:w="140"/>
        <w:gridCol w:w="755"/>
      </w:tblGrid>
      <w:tr>
        <w:trPr/>
        <w:tc>
          <w:tcPr>
            <w:tcW w:w="24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4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Pablo Legorreta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76,000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264,387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F. Doyle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54,750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243,137 </w:t>
            </w:r>
          </w:p>
        </w:tc>
      </w:tr>
      <w:tr>
        <w:trPr/>
        <w:tc>
          <w:tcPr>
            <w:tcW w:w="2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M. Lotvin,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65,500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253,887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J.G. Pereira,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252,887 </w:t>
            </w:r>
          </w:p>
        </w:tc>
      </w:tr>
      <w:tr>
        <w:trPr/>
        <w:tc>
          <w:tcPr>
            <w:tcW w:w="2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Uma Sinha,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51,000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239,387 </w:t>
            </w:r>
          </w:p>
        </w:tc>
      </w:tr>
      <w:tr>
        <w:trPr/>
        <w:tc>
          <w:tcPr>
            <w:tcW w:w="24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 Maraganore, Ph.D.(2)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31,000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31,000 </w:t>
            </w:r>
          </w:p>
        </w:tc>
      </w:tr>
      <w:tr>
        <w:trPr/>
        <w:tc>
          <w:tcPr>
            <w:tcW w:w="2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José Ignacio Jiménez Santos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233,387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56,250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204,569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260,819</w:t>
            </w:r>
          </w:p>
        </w:tc>
      </w:tr>
      <w:tr>
        <w:trPr/>
        <w:tc>
          <w:tcPr>
            <w:tcW w:w="24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grant date fair value of stock options granted to during 2024, as computed in accordance with ASC Topic 718, not including any estimates of forfeiture. See Notes 2 and 10 of “Notes to Consolidated Financial Statements” of our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 </w:t>
            </w:r>
          </w:p>
        </w:tc>
      </w:tr>
    </w:tbl>
    <w:tbl>
      <w:tblPr>
        <w:tblW w:w="8065" w:type="dxa"/>
        <w:jc w:val="left"/>
        <w:tblInd w:w="0" w:type="dxa"/>
        <w:tblLayout w:type="fixed"/>
        <w:tblCellMar>
          <w:top w:w="0" w:type="dxa"/>
          <w:left w:w="0" w:type="dxa"/>
          <w:bottom w:w="0" w:type="dxa"/>
          <w:right w:w="0" w:type="dxa"/>
        </w:tblCellMar>
      </w:tblPr>
      <w:tblGrid>
        <w:gridCol w:w="230"/>
        <w:gridCol w:w="78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8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Maraganore’s term as director expired at the annual general meeting of shareholders held on May 30,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45101x2_424b3_113-executive_pg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aggregate number of shares subject to options and Class B RSRs held by each of our non-employee directors as of December 31, 2024. </w:t>
      </w:r>
    </w:p>
    <w:tbl>
      <w:tblPr>
        <w:tblW w:w="4865" w:type="dxa"/>
        <w:jc w:val="left"/>
        <w:tblInd w:w="0" w:type="dxa"/>
        <w:tblLayout w:type="fixed"/>
        <w:tblCellMar>
          <w:top w:w="0" w:type="dxa"/>
          <w:left w:w="0" w:type="dxa"/>
          <w:bottom w:w="0" w:type="dxa"/>
          <w:right w:w="0" w:type="dxa"/>
        </w:tblCellMar>
      </w:tblPr>
      <w:tblGrid>
        <w:gridCol w:w="2330"/>
        <w:gridCol w:w="140"/>
        <w:gridCol w:w="140"/>
        <w:gridCol w:w="935"/>
        <w:gridCol w:w="140"/>
        <w:gridCol w:w="140"/>
        <w:gridCol w:w="1040"/>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RSRs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Pablo Legorreta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F. Doyle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54,619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M. Lotvin,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54,619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J.G. Pereira,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54,619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Uma Sinha,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José Ignacio Jiménez Santos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000000"/>
              </w:rPr>
            </w:pPr>
            <w:r>
              <w:rPr>
                <w:color w:val="000000"/>
              </w:rPr>
              <w:t xml:space="preserv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290,610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5" w:right="0" w:hanging="0"/>
              <w:jc w:val="left"/>
              <w:rPr>
                <w:color w:val="000000"/>
              </w:rPr>
            </w:pPr>
            <w:r>
              <w:rPr>
                <w:color w:val="000000"/>
              </w:rPr>
              <w:t>—</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the standard compensation arrangements under which our directors are compensated for their service as directors, including as members of the various committees of our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adopted a non-employee director compensation policy in September 2022, as amended in February 2024, April 2024, and November 2024, that is applicable to all of our non-employee directors (the “Non-Employee Director Compensation Policy”). Prior to the adoption of the Non-Employee Director Compensation Policy, we entered into various individual arrangements with our non-employee directors and granted options to them from time to time. The Non-Employee Director Compensation Policy provides that each non-employee director will receive the following compensation for service on the Board: </w:t>
      </w:r>
    </w:p>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of $40,000;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cash retainer of $35,000 for service as the non-executive chair of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annual cash retainer of $10,000, $7,500 and $5,000 for service as a non-chair member of the Audit Committee, Talent and Compensation Committee and the Nominating Committee,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annual cash retainer of $20,000, $15,000, and $10,000 for service as Chair of the Audit Committee, Talent and Compensation Committee and the Nominating Committee,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initial option grant (the “Initial Grant”) to purchase a number of Class A ordinary shares as determined by the Board. The options subject to the Initial Grant will vest in equal monthly installments over the 36 months following the date of grant, subject to the Non-Employee Director’s Continuous Service (as defined in the Incentive Equity Plan) on each vesting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option grant (the “Annual Grant”) to purchase a number of Class A ordinary shares equal to 0.043% of the total aggregate Class A ordinary shares and Class B ordinary shares outstanding on the date of grant. Such award is made on the date of each of our annual general shareholder meetings. The options subject to the Annual Grant will vest in full on the sooner of the one-year anniversary of the date of grant or the date of Company’s next annual general shareholder meeting, subject to the Non-Employee Director’s Continuous Service (as defined in the Incentive Equity Plan) through such vesting date.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 may make an election to receive a grant of Class A ordinary shares in lieu of all, or a portion of, their cash retainer payments described above. The number of Class A ordinary shares to be granted to the electing director will be computed by dividing the amount of cash compensation otherwise payable by the closing price of the Company’s Class A ordinary shares on the regular payment date of such cash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45101x2_424b3_114-equity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ECP"/>
      <w:bookmarkEnd w:id="100"/>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aggregate information with respect to all of our equity compensation plans in effect as of December 31, 2024: </w:t>
      </w:r>
    </w:p>
    <w:tbl>
      <w:tblPr>
        <w:tblW w:w="9650" w:type="dxa"/>
        <w:jc w:val="left"/>
        <w:tblInd w:w="0" w:type="dxa"/>
        <w:tblLayout w:type="fixed"/>
        <w:tblCellMar>
          <w:top w:w="0" w:type="dxa"/>
          <w:left w:w="0" w:type="dxa"/>
          <w:bottom w:w="0" w:type="dxa"/>
          <w:right w:w="0" w:type="dxa"/>
        </w:tblCellMar>
      </w:tblPr>
      <w:tblGrid>
        <w:gridCol w:w="4970"/>
        <w:gridCol w:w="140"/>
        <w:gridCol w:w="140"/>
        <w:gridCol w:w="1175"/>
        <w:gridCol w:w="140"/>
        <w:gridCol w:w="140"/>
        <w:gridCol w:w="1040"/>
        <w:gridCol w:w="140"/>
        <w:gridCol w:w="140"/>
        <w:gridCol w:w="1625"/>
      </w:tblGrid>
      <w:tr>
        <w:trPr/>
        <w:tc>
          <w:tcPr>
            <w:tcW w:w="49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49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w:t>
            </w:r>
          </w:p>
        </w:tc>
      </w:tr>
      <w:tr>
        <w:trPr/>
        <w:tc>
          <w:tcPr>
            <w:tcW w:w="497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21,449,920(1)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lineRule="auto" w:line="240" w:before="0" w:after="283"/>
              <w:ind w:left="242" w:right="0" w:hanging="0"/>
              <w:jc w:val="left"/>
              <w:rPr>
                <w:rFonts w:ascii="Times New Roman;Times;serif" w:hAnsi="Times New Roman;Times;serif"/>
                <w:color w:val="000000"/>
                <w:sz w:val="20"/>
              </w:rPr>
            </w:pPr>
            <w:r>
              <w:rPr>
                <w:rFonts w:ascii="Times New Roman;Times;serif" w:hAnsi="Times New Roman;Times;serif"/>
                <w:color w:val="000000"/>
                <w:sz w:val="20"/>
              </w:rPr>
              <w:t>$5.15(2)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lineRule="auto" w:line="240"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25,949,342(3) </w:t>
            </w:r>
          </w:p>
        </w:tc>
      </w:tr>
      <w:tr>
        <w:trPr/>
        <w:tc>
          <w:tcPr>
            <w:tcW w:w="497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1,755,686</w:t>
            </w: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4" w:right="0" w:hanging="0"/>
              <w:jc w:val="left"/>
              <w:rPr>
                <w:color w:val="000000"/>
                <w:bdr w:val="single" w:sz="8" w:space="2" w:color="000000"/>
              </w:rPr>
            </w:pPr>
            <w:r>
              <w:rPr>
                <w:color w:val="000000"/>
                <w:bdr w:val="single" w:sz="8" w:space="2" w:color="000000"/>
              </w:rPr>
              <w:t xml:space="preserve">— </w:t>
            </w:r>
          </w:p>
        </w:tc>
      </w:tr>
      <w:tr>
        <w:trPr/>
        <w:tc>
          <w:tcPr>
            <w:tcW w:w="4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23,205,606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lineRule="auto" w:line="240"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25,949,342(5)</w:t>
            </w:r>
          </w:p>
        </w:tc>
      </w:tr>
      <w:tr>
        <w:trPr/>
        <w:tc>
          <w:tcPr>
            <w:tcW w:w="49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to purchase 21,449,920 Class A ordinary shares under the Company’s 2022 Incentive Equity Plan (“2022 Plan”) as of December 31, 2024. </w:t>
            </w:r>
          </w:p>
        </w:tc>
      </w:tr>
    </w:tbl>
    <w:tbl>
      <w:tblPr>
        <w:tblW w:w="9100" w:type="dxa"/>
        <w:jc w:val="left"/>
        <w:tblInd w:w="0" w:type="dxa"/>
        <w:tblLayout w:type="fixed"/>
        <w:tblCellMar>
          <w:top w:w="0" w:type="dxa"/>
          <w:left w:w="0" w:type="dxa"/>
          <w:bottom w:w="0" w:type="dxa"/>
          <w:right w:w="0" w:type="dxa"/>
        </w:tblCellMar>
      </w:tblPr>
      <w:tblGrid>
        <w:gridCol w:w="230"/>
        <w:gridCol w:w="88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weighted-average exercise price of options to purchase Class A ordinary shares outstanding at December 31, 2024.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21,118,536 Class A ordinary shares reserved under the 2022 Plan as of December 31, 2024 and (ii) 4,830,806 Class A ordinary shares reserved under the Company’s Employee Stock Purchase Plan (the “ESPP”). The Company does not currently grant awards under the ESPP.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Class B ordinary shares issuable upon the vesting of restricted common units of PKLP held by ProKidney Management Equity LLC (“PMEL”).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2022 Plan has an evergreen provision that allows for an annual increase in the number of shares available for issuance under the 2022 Plan to be added on the first day of each fiscal year, beginning in fiscal year 2023 and ending on the second day of fiscal year 2032. The evergreen provides for an automatic increase in the number of shares available for issuance equal to the lesser of (i) 5% of the number of outstanding Class A ordinary shares on the last day of the immediately preceding fiscal year on a fully diluted basis and (ii) an amount determined by the Talent and Compensation Committee. This total does not reflect the automatic increase in the number of shares available for issuance under the 2022 Plan that was effective on January 1, 2025 pursuant the evergreen provision.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45101x2_424b3_115-report_pg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2" w:name="tROA"/>
      <w:bookmarkEnd w:id="102"/>
      <w:r>
        <w:rPr>
          <w:rFonts w:ascii="Times New Roman;Times;serif" w:hAnsi="Times New Roman;Times;serif"/>
          <w:b/>
          <w:color w:val="000000"/>
          <w:sz w:val="20"/>
        </w:rPr>
        <w:t xml:space="preserve">REPORT OF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which consists entirely of directors who meet the independence and experience requirements of the Nasdaq Stock Market, has furnished the following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www.prokidney.com. This committee reviews and reassesses our charter annually and recommends any changes to the Board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2024, the Audit Committee took the following 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and discussed the audited financial statements for the fiscal year ended December 31, 2024 with management and Ernst &amp; Young LLP,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Ernst &amp; Young LLP the matters required to be discussed in accordance with Auditing Standard No. 1301-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Audit Committee’s review of the audited financial statements and discussions with management and Ernst &amp; Young LLP, the Audit Committee recommended to the Board that the audited financial statements be included in our Annual Report on Form 10-K for the fiscal year ended December 31, 2024 for filing with the SEC.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ProKidney Corp. Audit Committee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Jennifer Fox,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J. G. Pereira, M.D.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Alan M. Lotvin, M.D.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45101x2_424b3_116-security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SOOC"/>
      <w:bookmarkEnd w:id="104"/>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the Company regarding the beneficial ownership of the Company’s ordinary shares as of April 22, 2025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the Company to be the beneficial owner of more than 5% of the outstanding Company ordinary shares;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Company’s executive officers and directors; and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April 22, 2025 are deemed outstanding for the purpose of computing the percentage ownership of the person holding those options but are not deemed outstanding for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beneficial ownership of the Company ordinary shares is based on 129,536,121 Class A ordinary shares and 163,166,903 Class B ordinary shares issued and outstanding as of April 22,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we believe that all persons named in the table below have sole voting and investment power with respect to all ordinary shares beneficially owned by them. </w:t>
      </w:r>
    </w:p>
    <w:tbl>
      <w:tblPr>
        <w:tblW w:w="10205" w:type="dxa"/>
        <w:jc w:val="left"/>
        <w:tblInd w:w="0" w:type="dxa"/>
        <w:tblLayout w:type="fixed"/>
        <w:tblCellMar>
          <w:top w:w="0" w:type="dxa"/>
          <w:left w:w="0" w:type="dxa"/>
          <w:bottom w:w="0" w:type="dxa"/>
          <w:right w:w="0" w:type="dxa"/>
        </w:tblCellMar>
      </w:tblPr>
      <w:tblGrid>
        <w:gridCol w:w="5218"/>
        <w:gridCol w:w="140"/>
        <w:gridCol w:w="140"/>
        <w:gridCol w:w="977"/>
        <w:gridCol w:w="140"/>
        <w:gridCol w:w="140"/>
        <w:gridCol w:w="479"/>
        <w:gridCol w:w="140"/>
        <w:gridCol w:w="140"/>
        <w:gridCol w:w="977"/>
        <w:gridCol w:w="140"/>
        <w:gridCol w:w="140"/>
        <w:gridCol w:w="506"/>
        <w:gridCol w:w="140"/>
        <w:gridCol w:w="140"/>
        <w:gridCol w:w="648"/>
      </w:tblGrid>
      <w:tr>
        <w:trPr/>
        <w:tc>
          <w:tcPr>
            <w:tcW w:w="52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0"/>
              <w:jc w:val="left"/>
              <w:rPr/>
            </w:pPr>
            <w:r>
              <w:rPr/>
              <w:t> </w:t>
            </w:r>
          </w:p>
        </w:tc>
      </w:tr>
      <w:tr>
        <w:trPr/>
        <w:tc>
          <w:tcPr>
            <w:tcW w:w="5218"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Power** </w:t>
            </w:r>
          </w:p>
        </w:tc>
      </w:tr>
      <w:tr>
        <w:trPr/>
        <w:tc>
          <w:tcPr>
            <w:tcW w:w="5218"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0"/>
              <w:jc w:val="center"/>
              <w:rPr>
                <w:color w:val="000000"/>
              </w:rPr>
            </w:pPr>
            <w:r>
              <w:rPr>
                <w:color w:val="000000"/>
              </w:rPr>
              <w:t> </w:t>
            </w:r>
          </w:p>
        </w:tc>
      </w:tr>
      <w:tr>
        <w:trPr/>
        <w:tc>
          <w:tcPr>
            <w:tcW w:w="521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1,584,541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Pablo Legorreta(2)(13)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22,728,595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88,107,426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37.9% </w:t>
            </w:r>
          </w:p>
        </w:tc>
      </w:tr>
      <w:tr>
        <w:trPr/>
        <w:tc>
          <w:tcPr>
            <w:tcW w:w="5218"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William F. Doyle(3)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1,514,326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Jennifer Fox(4)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José Ignacio Jiménez Santos(5)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Alan M. Lotvin(6)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1,514,326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Brian J.G. Pereira, M.D(7)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757,164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Uma Sinha, Ph.D.(8)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140,686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Todd Girolamo(9)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81,928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Ulrich Ernst, Ph.D.(10)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8" w:type="dxa"/>
            <w:tcBorders/>
            <w:vAlign w:val="center"/>
          </w:tcPr>
          <w:p>
            <w:pPr>
              <w:pStyle w:val="TableContents"/>
              <w:bidi w:val="0"/>
              <w:spacing w:lineRule="auto" w:line="240"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All Current Directors and Executive Officers as a Group (11 persons)(11)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27,421,454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93,732,413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40.8% </w:t>
            </w:r>
          </w:p>
        </w:tc>
      </w:tr>
      <w:tr>
        <w:trPr/>
        <w:tc>
          <w:tcPr>
            <w:tcW w:w="5218"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Greater-than-Five Percent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0"/>
              <w:jc w:val="center"/>
              <w:rPr>
                <w:color w:val="000000"/>
              </w:rPr>
            </w:pPr>
            <w:r>
              <w:rPr>
                <w:color w:val="000000"/>
              </w:rPr>
              <w:t> </w:t>
            </w:r>
          </w:p>
        </w:tc>
      </w:tr>
      <w:tr>
        <w:trPr/>
        <w:tc>
          <w:tcPr>
            <w:tcW w:w="521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Tolerantia, LLC(2)(13)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22,617,909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88,107,426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37.8% </w:t>
            </w:r>
          </w:p>
        </w:tc>
      </w:tr>
      <w:tr>
        <w:trPr/>
        <w:tc>
          <w:tcPr>
            <w:tcW w:w="521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Control Empresarial de Capitales, S.A. de C.V. (formerly Inversora Carso, S.A. de C.V.)(12)(13)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10,724,078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63,118,645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 </w:t>
            </w:r>
          </w:p>
        </w:tc>
      </w:tr>
      <w:tr>
        <w:trPr/>
        <w:tc>
          <w:tcPr>
            <w:tcW w:w="521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 Investment Management Inc.(14)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13,931,026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rPr/>
        <w:tc>
          <w:tcPr>
            <w:tcW w:w="521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Cowen(15)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13,198,766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r>
      <w:tr>
        <w:trPr/>
        <w:tc>
          <w:tcPr>
            <w:tcW w:w="52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0"/>
              <w:jc w:val="left"/>
              <w:rPr/>
            </w:pPr>
            <w:r>
              <w:rPr/>
              <w:t> </w:t>
            </w:r>
          </w:p>
        </w:tc>
      </w:tr>
    </w:tbl>
    <w:tbl>
      <w:tblPr>
        <w:tblW w:w="3445" w:type="dxa"/>
        <w:jc w:val="left"/>
        <w:tblInd w:w="0" w:type="dxa"/>
        <w:tblLayout w:type="fixed"/>
        <w:tblCellMar>
          <w:top w:w="0" w:type="dxa"/>
          <w:left w:w="0" w:type="dxa"/>
          <w:bottom w:w="0" w:type="dxa"/>
          <w:right w:w="0" w:type="dxa"/>
        </w:tblCellMar>
      </w:tblPr>
      <w:tblGrid>
        <w:gridCol w:w="110"/>
        <w:gridCol w:w="333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Indicated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Percentage of total voting power represents voting power with respect to all shares of Class A ordinary shares and Class B ordinary shares as a single class. Each share of Class A ordinary shares and Class B ordinary shares is entitled to one vote per share.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following entities or individuals is c/o ProKidney Corp., 2000 Frontis Plaza Blvd., Ste 250, Winston-Salem, North Carolina, 27103.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Schedule 13D/A filed with the SEC on February 6, 2025. Represents 22,728,595 Class A ordinary shares and 88,107,426 Class B ordinary shares held by Tolerantia, LLC (“Tolerantia”), a Delaware limited liability company, which 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45101x2_424b3_116-security_pg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59th Street, Suite 2800, New York, New York, 10022.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110,686 Class A ordinary shares held by Mr. Doyle that are vested and exercisable or will become vested or exercisable within 60 days of April 22, 2025. Also includes 1,514,326 Class B ordinary shares beneficially owned by Mr. Doyle.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216,693 Class A ordinary shares held by Ms. Fox that are vested and exercisable or will become vested or exercisable within 60 days of April 22,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110,686 Class A ordinary shares held by Mr. Jiménez Santos that are vested and exercisable or will become vested or exercisable within 60 days of April 22, 2025.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110,686 Class A ordinary shares held by Mr. Lotvin that are vested and exercisable or will become vested or exercisable within 60 days of April 22, 2025. Also includes 1,514,326 Class B ordinary shares beneficially owned by Mr. Lotvin.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110,686 Class A ordinary shares held by Dr. Pereira that are vested and exercisable or will become vested or exercisable within 60 days of April 22, 2025. Also includes 81,928 Class A ordinary shares and 81,929 Class B ordinary shares issued as consideration in the Business Combination held by PMEL for the benefit of Dr. Pereira. Additionally includes 675,234 Class A ordinary shares and 675,235 Class B ordinary shares held by the Brian J.G. Pereira 2012 Irrevocable Trust, for which Sunita Pereira, who is married to Dr. Pereira, serves as Trustee. Dr. Pereira disclaims beneficial ownership of the Class B ordinary shares reported herein except to the extent of any indirect pecuniary interest therein.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30,000 Class A ordinary shares held by Dr. Sinha, options to purchase up to 110,686 Class A ordinary shares held by Dr. Sinha that are vested and exercisable or will become vested or exercisable within 60 days of April 22, 2025.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163,856 Class A ordinary shares held by Mr. Girolamo, options to purchase up to 920,824 Class A ordinary shares held by Mr. Girolamo that are vested and exercisable or will become vested and exercisable within 60 days of April 22, 2025 and 81,928 Class B ordinary shares beneficially owned by Mr. Girolamo.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82,500 Class A ordinary shares held by Dr. Ernst that are vested and exercisable within 60 days of April 22, 2025.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footnotes 2 through 10. Also includes 1,076,483 shares held in the aggregate by executive officers other than the named executive officers including Class A ordinary shares held directly, options to purchase Class A ordinary shares that are vested and exercisable or will become vested and exercisable within 60 days of April 22, 2025 and Class B ordinary shares.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Form 4 filed with the SEC on April 24, 2025. Represents 10,724,078 Class A ordinary shares and 63,118,645 Class B ordinary shares held by Control Empresarial de Capitales, S.A. de C.V. (“CEC”).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CEC has an address of Paseo de las Palmas 781, Piso 3, Colonia Lomas de Chapultepec, Seccion III, Miguel Hidalgo, Ciudad de Mexico, Mexico, 11000.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February 14, 2022, CEC entered into the Deed of Undertaking (the “Voting Agreement”). The Voting Agreement provides that from the Closing Date until the third anniversary of the Closing (as defined below), CEC shall vote all ordinary shares beneficially held by it in a manner proportionate to the manner in which all other Class B ordinary shares not held by CEC, including the Class B ordinary shares beneficially held by Tolerantia, are voted, with respect to the election, appointment, or removal of any director to the Board. As a result, Tolerantia may be deemed to share beneficial ownership of CEC’s ordinary shares.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Schedule 13G/A filed with the SEC on November 8, 2024. Consists of 13,931,026 Class A ordinary shares beneficially owned by Morgan Stanley, including 13,906,811 Class A ordinary shares beneficially owned by Morgan Stanley Investment Management Inc. Morgan Stanley Investment Management Inc., a wholly-owned subsidiary of Morgan Stanley, may be deemed to own or beneficially own the shares held by Morgan Stanley as a parent holding company. The address of Morgan Stanley is 1585 Broadway New York, NY 10036.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information is based solely on a Schedule 13G/A filed with the SEC on October 22, 2024. Consists of 13,198,766 Class A ordinary shares beneficially owned by Mr. Cowen, including 11,428,937 Class A ordinary shares held by Averill Master Fund, Ltd. (“Averill Fund”). Mr. Cowen may be deemed to control Suvretta Capital Management, LLC, the investment manager of the Averill Fund, and therefore may be deemed to beneficially own the Class A ordinary shares held by the Averill Fund. Mr. Cowen disclaims beneficial ownership of the Class A ordinary shares reported herein except to the extent of any indirect pecuniary interest therein. The address of Mr. Cowen is c/o Suvretta Capital Management, LLC, 540 Madison Avenue, 7th Floor, New York, NY 10022.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45101x2_424b3_117-certain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CRAR"/>
      <w:bookmarkEnd w:id="107"/>
      <w:r>
        <w:rPr>
          <w:rFonts w:ascii="Times New Roman;Times;serif" w:hAnsi="Times New Roman;Times;serif"/>
          <w:b/>
          <w:color w:val="000000"/>
          <w:sz w:val="20"/>
        </w:rPr>
        <w:t xml:space="preserve">CERTAIN RELATIONSHIPS AND RELATED PERSON TRANSACTIONS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Closing Date, the Company entered into an exchange agreement (the “Exchange Agreement”) with PKLP and certain Closing ProKidney Unitholders (as defined in the Exchange Agreement) pursuant to which, subject to the procedures and restrictions therein, from and after the waiver or expiration of any contractual lock-up period (including pursuant to the Lock-Up Agreement (as defined below)) the holders of common units of PKLP (or certain permitted transferees thereof) will have the right from time to time at and after 180 days following the closing of the Business Combination (the “Closing”) to exchange their common units and an equal number of Class B ordinary shares on a one-for-one basis for the Class A ordinary shares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common units of PKLP will not have the right to exchange common units if the Company determines that such exchange would be prohibited by law or regulation or would violate other agreements with the Company and its subsidiaries to which the holder of common units may be subject, including the second amended and restated limited partnership agreement of PKLP, as amended and the Exchange Agreement. In connection with the Restructuring and the domestication, ProKidney Delaware intends to amend and restate the Exchange Agreement so that it provides for the exchange of common units of ProKidney Holdings for shares of Class A common stock of ProKidney Delaware on the same material terms as the existing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(ii)(a) for 33% of the Lock-Up Shares (as defined in the Lock-Up Agreement) (other than the Earnout Shares and the PIPE Shares (as each such term is defined in the Lock-Up Agreement)), the date on which the last reported sale price of a Class A ordinary share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January 2023, the lock-up period for 50% of the shares held by the Closing ProKidney Unitholders (other than the Earnout Shares) expired.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Receivable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Closing Date, the Company entered into a tax receivable agreement (the “Tax Receivable Agreement”) with the holders of common units in PKLP. Pursuant to the Tax Receivable Agreement, among other things, the Company will be required to pay the holders of common units of PKLP party thereto 85% of certain tax savings recognized by the Company, if any, as a result of the increases in tax basis attributable to exchanges by the holders of common units of PKLP for Class A ordinary shares or, subject to certain restrictions, cash, pursuant to the Exchange Agreement and certain other tax attributes of PKLP and tax benefits related to entering into the Tax Receivable Agreement. In connection with the Restructuring and the domestication, ProKidney Delaware intends to amend and restate the Tax Receivable Agreement so that ProKidney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45101x2_424b3_117-certain_pg2"/>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 succeed to the aforementioned obligations of ProKidney. As a result, holders of ProKidney Holdings common units will receive 85% of certain tax savings recognized by ProKidney Delaware, if any, pursuant to the Tax Receivable Agreement attributable to exchanges of common units of ProKidney Holdings for Class A common stock of ProKidney Delaware. These payment obligations under the Tax Receivable Agreement could have been greater or lesser than what they might have been had ProKidney determined to migrate to a jurisdiction other than the United States. The amount and timing of any payments under the Tax Receivable Agreement remains dependent upon a number of factors. Because ProKidney Holdings does not expect to generate significant operating revenues in the near future, if at all, ProKidney Delaware’s payment obligations under the Tax Receivable Agreement in the near future, if any, are not expected to be material.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Earnout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Closing, certain shareholders of ProKidney were issued an aggregate of 17,500,000 Earnout Restricted Common Units and 17,500,000 Earnout Restricted Stock Rights (collectively, the “Earnout Rights”). As a result of the domestication and related Restructuring, these Earnout Rights will convert, on a one-for-one basis into restricted common units of ProKidney Holdings and restricted stock rights for Class B common stock of ProKidney Delaware (the “Delaware Earnout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Delaware Earnout Rights vest in three equal tranches if, during the five-year period after the Closing, the VWAP of a Class A common share reaches $15.00 per share, $20.00 per share and $25.00 per share. Likewise, the Delaware Earnout Rights will vest upon a change of control with a per share price exceeding the those same VWAP thresholds within a five-year period immediately following the Closing. Upon vesting, the Delaware Earnout Rights will automatically convert into common units of ProKidney Holdings and shares of Class B common stock. 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Consulting Services Agreement between ProKidney-KY and Nefro Health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 2020, ProKidney-KY (formerly known as inRegen) entered into a consulting services agreement (the “KY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Under the KY Consulting Services Agreement, Nefro receives $25,000 per quarter and is reimbursed for any out-of-pocket expenses incurred in connection with activities Nefro conducted under the agreement. ProKidney-KY has paid Nefro an aggregate of $100,000 for each of the years ended December 31, 2024, 2023 and 2022. The initial term of the KY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the KY Consulting Services Agreement upon the occurrence of a material breach by the other party in the performance of its obligations under the KY Consulting Services Agreement or in respect of any provision, representation, warranty or covenant if such breach has not been cured within thirty (30) days after receiving written notice from the non-breaching party. Additionally, either of the parties may terminate the KY Consulting Services Agreement for any reason upon giving thirty (30) days’ advance notice of such termination to the other party. In the event of such termination, ProKidney-KY will be obligated to pay Nefro any earned but unpaid consulting fee as of the termination date. In connection with the Restructuring, it is intended that the KY Consulting Services Agreement will become an obligation of ProKidney IPCo.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Consulting Services Agreement between ProKidney-US and Nefro Health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 2020, ProKidney-US (formerly known as Twin City Bio, LLC) entered into a consulting services agreement (“US Consulting Service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Under the US Consulting Service Agreement, Nefro receives $25,000 per quarter and is reimbursed for any out-of-pocket expenses incurred in connection with activities Nefro conducted under the agreement. ProKidney-US has paid Nefro an aggregate of $100,000 for each of the years ended December 31, 2024, 2023 and 2022. The initial term of the US Consulting Service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45101x2_424b3_117-certain_pg3"/>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the US Consulting Service Agreement upon the occurrence of a material breach by the other party in the performance of its obligations under the US Consulting Service Agreement or in respect of any provision, representation, warranty or covenant if such breach has not been cured within thirty (30) days after receiving written notice from the non-breaching party. Additionally, either of the parties may terminate the US Consulting Service Agreement for any reason upon giving thirty (30) days’ advance notice of such termination to the other party. In the event of such termination, ProKidney-US will be obligated to pay Nefro any earned but unpaid consulting fee as of the termination date.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customary indemnification agreements with our executive officers and directors that provide, in general, that we will provide them with customary indemnification in connection with their service to us or on our behalf.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 In connection with the domestication, ProKidney Delaware is expected to enter into new indemnification agreements with its executive officers and directors to provide contractual rights to indemnification. 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written related person transaction policy that sets forth the following policies and procedures for the review and approval or ratification of related person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“Related Person Transaction” is a transaction, arrangement or relationship in which the Company or any of its subsidiaries was, is or will be a participant, the amount of which involved exceeds the lesser of (i) $120,000,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 (i) any election by the Company pursuant to the Exchange Agreement to deliver any Cash Exchange Notice or make any Cash Exchange Payment (as such terms are defined in the Exchange Agreement) with any Related Person or any affiliate of any Related Person and (ii) any material amendment to the Exchange Agreement, are deemed to be related person transactions.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“Related Person” is: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who is or was an executive officer, director, or director nominee of the Company at any time since the beginning of the Company’s last fiscal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 is or was an Immediate Family Member (as defined below) of an executive officer, director, director nominee at any time since the beginning of the Company’s last fiscal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who, at the time of the occurrence or existence of the transaction, is the beneficial owner of more than 5% of any class of the Company’s voting securities (a “Significant Stockholder”);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who, at the time of the occurrence or existence of the transaction, is an Immediate Family Member of a Significant Stockholder of the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“Immediate Family Member” of a person is any child, stepchild, parent, stepparent, spouse, sibling, mother-in-law, father-in-law, son-in-law, daughter-in-law, brother-in-law or sister-in-law of such person, or any other person sharing the household of such person, other than a tenant or employee.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implemented policies and procedures designed to minimize potential conflicts of interest arising from any dealings it may have with its affiliates and to provide appropriate procedures for the disclosure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45101x2_424b3_117-certain_pg4"/>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any real or potential conflicts of interest that may exist from time to time. Specifically, pursuant to its charter, the audit committee has the responsibility to review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related person transaction policy, 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 </w:t>
      </w:r>
    </w:p>
    <w:tbl>
      <w:tblPr>
        <w:tblW w:w="3910" w:type="dxa"/>
        <w:jc w:val="left"/>
        <w:tblInd w:w="0" w:type="dxa"/>
        <w:tblLayout w:type="fixed"/>
        <w:tblCellMar>
          <w:top w:w="0" w:type="dxa"/>
          <w:left w:w="0" w:type="dxa"/>
          <w:bottom w:w="0" w:type="dxa"/>
          <w:right w:w="0" w:type="dxa"/>
        </w:tblCellMar>
      </w:tblPr>
      <w:tblGrid>
        <w:gridCol w:w="110"/>
        <w:gridCol w:w="3800"/>
      </w:tblGrid>
      <w:tr>
        <w:trPr/>
        <w:tc>
          <w:tcPr>
            <w:tcW w:w="110" w:type="dxa"/>
            <w:tcBorders/>
            <w:vAlign w:val="center"/>
          </w:tcPr>
          <w:p>
            <w:pPr>
              <w:pStyle w:val="TableContents"/>
              <w:bidi w:val="0"/>
              <w:spacing w:before="0" w:after="0"/>
              <w:jc w:val="left"/>
              <w:rPr>
                <w:color w:val="000000"/>
              </w:rPr>
            </w:pPr>
            <w:r>
              <w:rPr>
                <w:color w:val="000000"/>
              </w:rPr>
              <w:t>•</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related person’s interest in the transaction; </w:t>
            </w:r>
          </w:p>
        </w:tc>
      </w:tr>
    </w:tbl>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approximate dollar value of the amount involved in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approximate dollar value of the amount of the related person’s interest in the transaction without regard to the amount of any profit or loss; </w:t>
            </w:r>
          </w:p>
        </w:tc>
      </w:tr>
    </w:tbl>
    <w:tbl>
      <w:tblPr>
        <w:tblW w:w="7540" w:type="dxa"/>
        <w:jc w:val="left"/>
        <w:tblInd w:w="0" w:type="dxa"/>
        <w:tblLayout w:type="fixed"/>
        <w:tblCellMar>
          <w:top w:w="0" w:type="dxa"/>
          <w:left w:w="0" w:type="dxa"/>
          <w:bottom w:w="0" w:type="dxa"/>
          <w:right w:w="0" w:type="dxa"/>
        </w:tblCellMar>
      </w:tblPr>
      <w:tblGrid>
        <w:gridCol w:w="110"/>
        <w:gridCol w:w="7430"/>
      </w:tblGrid>
      <w:tr>
        <w:trPr/>
        <w:tc>
          <w:tcPr>
            <w:tcW w:w="11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was undertaken in the ordinary course of business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with the related person is proposed to be, or was, entered into on terms no less favorable to the Company than terms that could have been reached with an unrelated third party; </w:t>
            </w:r>
          </w:p>
        </w:tc>
      </w:tr>
    </w:tbl>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purpose of, and the potential benefits to the Company of,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regarding the transaction or the related person in the context of the proposed transaction that would be material to investors in light of the circumstances of the particular transaction.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will approve only those transactions that it determines are fair to the Company and in the Company’s best interests.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45101x2_424b3_118-desc_pg1"/>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2" w:name="tDOS"/>
      <w:bookmarkEnd w:id="112"/>
      <w:r>
        <w:rPr>
          <w:rFonts w:ascii="Times New Roman;Times;serif" w:hAnsi="Times New Roman;Times;serif"/>
          <w:b/>
          <w:color w:val="000000"/>
          <w:sz w:val="20"/>
        </w:rPr>
        <w:t xml:space="preserve">DESCRIPTION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description of ProKidney Delaware’s capital stock reflects ProKidney Delaware’s capital stock as it will exist upon completion of the domestication, at the effective time of the domestication. Subject to the approval of the domestication proposal and the new charter proposal, at the effective time of the domestication ProKidney Delaware’s capital stock will be governed by the Proposed Charter and Proposed Bylaws and the DGCL. This description is a summary and is not complete. We urge you to read in their entirety ProKidney Delaware’s Proposed Organizational Documents, which, subject to the approval of the domestication proposal and the new charter proposal, will be in effect at the effective time of the domestication and are attached to this proxy statement/prospectus as Annexes B and C. The following summary should be read in conjunction with the section entitled “</w:t>
      </w:r>
      <w:r>
        <w:rPr>
          <w:rFonts w:ascii="Times New Roman;Times;serif" w:hAnsi="Times New Roman;Times;serif"/>
          <w:i/>
          <w:color w:val="000000"/>
          <w:sz w:val="20"/>
        </w:rPr>
        <w:t>Comparison of Corporate Governance and Shareholder Rights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and Outstanding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authorizes the issuance of 1,250,000,000 shares of capital stock, consisting of (x) 700,000,000 shares of ProKidney Delaware's Class A common stock, par value $0.0001 per share, (y) 500,000,000 shares of ProKidney Delaware's Class B common stock, par value $0.0001 per share and 50,000,000 shares of ProKidney Delaware’s preferred stock, par value $0.0001 per share. All issued and outstanding shares of capital stock of ProKidney Delaware in connection with domestication will be duly authorized, validly issued, fully paid and non-assessable. As of the record date for the annual general meeting, there were (1) 129,536,121 shares of Class A ordinary shares of ProKidney issued and outstanding held by 40 holders of record and 163,166,903 shares of Class B ordinary shares of ProKidney issued and outstanding held by 3 holders of record and (2) no shares of ProKidney’s preferred stock outstanding. Such numbers do not include DTCC participants or beneficial owners holding shares through nominee names.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domestication, there will be approximately 133,418,957 shares of Class A common stock outstanding. All shares of Class A common stock to be issued in connection with the domestication will be validly issued, fully paid and non-assessable.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Proposed Charter or any applicable law. Notwithstanding the foregoing, the holders of the outstanding shares of Class A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as compared to the Class B common stock (in addition to any other class vote required by applicable law).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preferences that may be applicable to any shares of preferred stock then outstanding, the holders of shares of Class A common stock are entitled to receive ratably such dividends, if any, as may be declared from time to time by the board of directors of ProKidney Delaware out of assets of ProKidney Delaware legally available therefor.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upon Liquidation, Dissolution and Winding-Up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in the event of any voluntary or involuntary liquidation, dissolution or winding up of ProKidney Delaware’s affairs, after payment of ProKidney Delaware’s debts and other liabilities, and of preferential and other amounts, if any, to which the holders of preferred stock are entitled, if any, the holders of the shares of Class A common stock are entitled to (i) receive, pari passu with the holders of shares of Class B common stock, an amount per share equal to the par value thereof, and (ii) thereafter, to share ratably in all assets remaining and available for distribution.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45101x2_424b3_118-desc_pg2"/>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Preemptive or 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shares of Class A common stock have no preemptive or conversion rights or other subscription rights (other than in connection with certain issuances of common units under the limited liability company agreement of ProKidney Holdings). There are no redemption or sinking fund provisions applicable to the shares of Class A common stock. The rights, preferences and privileges of holders of shares of Class A common stock will be subject to those of the holders of any shares of preferred stock ProKidney Delaware may issue in the future.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B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of the domestication, there will be approximately 159,288,931 shares of Class B common stock outstanding. All shares of Class B common stock to be issued in connection with the domestication will be validly issued, fully paid and non-assessable.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the shares of Class B common stock is entitled to one vote for each share of Class B common stock held of record by such holder on all matters on which stockholders generally are entitled to vote. The holders of the shares of Class B common stock do not have cumulative voting rights in the election of directors. Generally, all matters to be voted on by stockholders must be approved by the affirmative vote of a majority in voting power of shares of stock present in person or represented by proxy and entitle to vote thereon (or, in the case of election of directors, by a plurality of voting power of the outstanding shares present in person or represented by proxy and entitled to vote on the election of directors), except as otherwise provided by the certificate of incorporation of ProKidney Delaware or any applicable law. Notwithstanding the foregoing, the holders of the outstanding shares of Class B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as compared to the Class A common stock (in addition to any other class vote required by applicable law).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in the Proposed Charter with respect to stock dividends, dividends of cash or property will not be declared by the board of directors of ProKidney Delaware or paid on shares of Class B common stock.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upon Liquidation, Dissolution and Winding-Up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ProKidney Delaware’s affairs, the holders of Class B common stock are not entitled to receive any assets of ProKidney Delaware in excess of the par value of such shares (which such payment shall be pari passu with the holders of outstanding shares of Class A common stock).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Preemptive or 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Certain holders of shares of Class B common stock, who are also holders of common units of ProKidney Holdings (or certain permitted transferees thereof), subject to the procedures and restrictions set forth in the Exchange Agreement, have the right to exchange one common unit of ProKidney Holdings and one share of Class B common stock (the “Paired Interest”) for one share of Class A common stock. For more information, see the section entitled “</w:t>
      </w:r>
      <w:r>
        <w:rPr>
          <w:rFonts w:ascii="Times New Roman;Times;serif" w:hAnsi="Times New Roman;Times;serif"/>
          <w:i/>
          <w:color w:val="000000"/>
          <w:sz w:val="20"/>
        </w:rPr>
        <w:t>Certain Relationships and Related Person Transactions—Exchange Agreement</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shares of Class B common stock do not have other preemptive, subscription, redemption or conversion rights. There will be no redemption or sinking fund provisions applicable to the Class B common stock, other than with respect to the exchange of the Paired Interests of Class A common stock pursuant to the Exchange Agreement.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Issuance and Retirement of Class B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any outstanding share of Class B common stock ceases to be held directly or indirectly by a holder of a corresponding common unit of ProKidney Holdings, such share will automatically be transferred to ProKidney Delaware for no consideration and thereupon will be retired.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45101x2_424b3_118-desc_pg3"/>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shares of preferred stock will be issued or outstanding immediately after the completion of the domestication. The Proposed Charter will authorize the board of directors of ProKidney Delaware, subject to any limitations prescribed by the DGCL,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provided that the aggregate number of shares issued and not retired of any and all such series shall not exceed the total number of shares of preferred stock authorized in the Proposed Charter.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preferred stock may have the effect of delaying, deferring or preventing a change in control of ProKidney Delaware without further action by the stockholders. Additionally, the issuance of preferred stock may adversely affect the holders of the common stock of ProKidney Delaware by restricting dividends on the shares of Class A common stock, diluting the voting power of the shares of Class A common stock and the shares of Class B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Restricted Stock Rights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Earnout Restricted Stock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Closing, certain shareholders of ProKidney were issued an aggregate of 17,500,000 Earnout Restricted Common Units and 17,500,000 Earnout Restricted Stock Rights (collectively, the “Earnout Rights”). As a result of the domestication and related Restructuring, these Earnout Rights will convert, on a one-for-one basis into restricted common units of ProKidney Holdings and restricted stock rights for Class B common stock of ProKidney Delaware (the “Delaware Earnout Rights”).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Delaware Earnout Rights vest in three equal tranches if, during the five-year period after the Closing, the VWAP of a Class A common share reaches $15.00 per share, $20.00 per share and $25.00 per share. Likewise, the Delaware Earnout Rights will vest upon a change of control with a per share price exceeding those same VWAP thresholds within a five-year period immediately following the Closing. Upon vesting, the Delaware Earnout Rights will automatically convert into common units of ProKidney Holdings and shares of Class B common stock.</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PMEL Restricted Stock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Closing, certain persons who held indirect interests in PKLP through ProKidney Management Equity LLC (“PMEL”) were issued an aggregate of 9,276,039 PMEL Restricted Common Units and 9,276,039 PMEL Restricted Stock Rights (collectively, the “PMEL Rights”). Prior to the domestication, PMEL Rights vested into common units of PKLP and Class B ordinary shares in accordance with the terms of the applicable award agreement (the “PMEL Award Agreement”) between the holder of such PMEL Rights and PMEL as such award agreement was in effect immediately prior to the Closing. As of March 31, 2025, 779,856 PMEL Restricted Common Units and 779,856 PMEL Restricted Stock Rights remain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 result of the domestication and related Restructuring, the PMEL Rights will convert, on a one-for-one basis into restricted common units of ProKidney Holdings and restricted stock rights for Class B common stock of ProKidney Delaware and will continue to vest in accordance with the terms of the applicable PMEL Award Agreement into common units of ProKidney Holdings and Class B common stock of ProKidney Delaware.</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Provisions of the Proposed Charter and the Proposed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provisions of the Proposed Charter and the Proposed Bylaws, as described below, could have the effect of delaying, deterring or preventing another party from acquiring or seeking to acquire control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45101x2_424b3_118-desc_pg4"/>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ProKidney Delaware. These provisions are intended to discourage certain types of coercive takeover practices and inadequate takeover bids and to encourage anyone seeking to acquire control of us to negotiate first with the board of directors. However, these provisions may also delay, deter or prevent a change in control or other takeover of ProKidney Delaware that stockholders of ProKidney Delaware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ProKidney Delaware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ProKidney Delaware will initially be comprised of eight directors. The Proposed Charter provides that, subject to the right of holders of any series of preferred stock, the board of directors is divided into three classes of directors, apportioned to consist of, as nearly as possible, one third of the total number of directors, designated Class I, Class II and Class III, and with the directors serving staggered three-year terms, with only one class of directors being elected at each annual meeting. As a result, approximately one-third of the Board will be elected each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classification of directors has the effect of making it more difficult for members to change the composition of the board of directors. The Proposed Charter provides that the board of directors may increase or reduce the upper and lower limits of the number of directors by one or more resolutions of the Board, provided that in no event will a decrease in the number of directors shorten the term of any director then in office.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and the Proposed Bylaws provide that, subject to the rights of the holders of any outstanding series of preferred stock, special meetings of ProKidney Delaware’s stockholders may be called only by the chairperson of the board of directors of ProKidney Delaware, the chief executive officer or at the direction of the board pursuant to a written resolution adopted by a majority of the total number of directors that ProKidney Delaware would have if there were no vacancies.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provides that any action required or permitted to be taken by the stockholders of ProKidney Delaware may be effected only at a duly called annual or special meeting of stockholders of ProKidney Delaware and may not be effected by any consent by such stockholders; provided, however,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provided, further, that any action required or permitted to be taken by the holders of any or all series of preferred stock voting separately as a series of preferred stock or separately as a class of preferred stock (including with respect to any such action specified in the Proposed Charter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45101x2_424b3_118-desc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Bylaws may generally be altered, amended or repealed, and new bylaws of ProKidney Delaware may be adopted, by: </w:t>
      </w:r>
    </w:p>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a majority of the Board;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holders of at least at least 66 2/3% of the voting power of all of the then-outstanding shares of the capital stock of ProKidney Delaware entitled to vote thereon, voting together as a single class.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requires that ProKidney Delaware indemnify (and advance expenses to) its directors and officers to the fullest extent permitted by law, provided that we are not required to indemnify (or advance expenses to) any director or officer in connection with any proceeding (or part thereof) initiated by such person unless (i) such indemnification is expressly required to be made by law, (ii) the proceeding was authorized by our board of directors, (iii) such indemnification is provided by the Company, in its sole discretion, pursuant to the powers vested in the Company under the DGCL or any other applicable law, or (iv) such indemnification is required to be made under the indemnification rights enforcement provision of the Proposed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Proposed Charter, no director or officer of ProKidney Delaware will be personally liable to ProKidney Delaware or its stockholders for monetary damages for any breach of fiduciary duty as a director or officer, except to the extent such exception from liability or limitation thereof is not permitted under the DGCL. Currently, Delaware law prohibits corporations from eliminating or limiting the liability of: </w:t>
      </w:r>
    </w:p>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breach of the director’s or officer’s duty of loyalty to our company or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acts or omissions not in good faith or which involved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for unlawful payments of dividends or unlawful stock repurchases or redemptions as provided in Section 174 of the DGCL;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transaction from which the director or officer derived an improper personal benefit;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 in any action by or in the right of the corporation. The limitation of liability of officers of ProKidney is limited only to persons who at the time of an act or omission as to which liability is asserted is deemed to have consented to service by the delivery of process to the registered agent of ProKidney pursuant to Section 3114(b) of Title 10 of the Delaware Code.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Delaware will be subject to Section 203 of the DGCL. Section 203 provides that ProKidney Delaware may not engage in a broad range of “business combinations” with any “interested stockholder” for a three-year period following the time that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such time the Board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consummation of the transaction that resulted in the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or subsequent to the time the business combination is approved by the Board and authorized at an annual or special meeting of the stockholders, and not by written consent, by the affirmative vote of at least 66 2/3% of the outstanding voting stock which is not owned by the interested stockholder.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45101x2_424b3_118-desc_pg6"/>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consolidation, asset or stock sale, issuances of securities or other transaction resulting in a financial benefit to the interested stockholder. Subject to certain exceptions, an interested stockholder is a person who, together with that person’s affiliates and associates (as such terms are defined in Section 203 of the DGCL), owns (as such term is defined in Section 203 of the DGLC), or within the previous three years owned, 15% or more of our voting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203 could prohibit or delay mergers or other takeover or change in control attempts with respect to us and, accordingly, may discourage attempts to acquire us. Given existing commercial relationships as disclosed in “</w:t>
      </w:r>
      <w:r>
        <w:rPr>
          <w:rFonts w:ascii="Times New Roman;Times;serif" w:hAnsi="Times New Roman;Times;serif"/>
          <w:i/>
          <w:color w:val="000000"/>
          <w:sz w:val="20"/>
        </w:rPr>
        <w:t>Certain Relationships and Related Person Transactions</w:t>
      </w:r>
      <w:r>
        <w:rPr>
          <w:rFonts w:ascii="Times New Roman;Times;serif" w:hAnsi="Times New Roman;Times;serif"/>
          <w:color w:val="000000"/>
          <w:sz w:val="20"/>
        </w:rPr>
        <w:t xml:space="preserve">”, in connection with the domestication, the Board intends to adopt a resolution approving as an “interested stockholder” one or more existing stockholders, together with their affiliates or associates, effective upon the effective time of the domestication for purposes of Section 203 of the DGCL.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Provision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Charter provides that, unless ProKidney Delaware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(A) any derivative action or proceeding brought on behalf of ProKidney Delaware; (B) any action or proceeding (including any class action) asserting a claim of breach of a fiduciary duty owed by any current or former director, officer or other employee of ProKidney Delaware to ProKidney Delaware or ProKidney Delaware’s stockholders; (C) any action or proceeding (including any class action) asserting a claim against ProKidney Delaware or any current or former director, officer or other employee of ProKidney Delaware arising out of or pursuant to any provision of the DGCL, the Proposed Charter or the Proposed Bylaws (as each may be amended from time to time); (D) any action or proceeding (including any class action) to interpret, apply, enforce or determine the validity of the Proposed Charter or the Proposed Bylaws(including any right, obligation or remedy thereunder); (E) any action or proceeding as to which the DGCL confers jurisdiction to the Court of Chancery of the State of Delaware; and/or (F) any action or claim against the Corporation or any current or former director, officer or other employee of ProKidney Delaware governed by the internal affairs doctrine or an “internal corporate claim” as defined in Section 115 of the DGCL, in each case, subject to said court having personal jurisdiction over the indispensable parties named as defendants therein.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the common stock will be Continental Stock Transfer &amp; Trust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Class A common stock will be listed on the Nasdaq Capital Market under the symbol “PROK.”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45101x2_424b3_119-tax_pg1"/>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MUF"/>
      <w:bookmarkEnd w:id="119"/>
      <w:r>
        <w:rPr>
          <w:rFonts w:ascii="Times New Roman;Times;serif" w:hAnsi="Times New Roman;Times;serif"/>
          <w:b/>
          <w:color w:val="000000"/>
          <w:sz w:val="20"/>
        </w:rPr>
        <w:t xml:space="preserve">MATERIAL U.S. FEDERAL INCOME TAX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is a discussion of material U.S. federal income tax considerations of the domestication generally applicable to holders of ProKidney Class A ordinary shares and common stock. This section applies only to holders that hold their ProKidney Class A ordinary shares and common stock as capital assets for U.S. federal income tax purposes (generally, property held for investment). 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in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to use a mark-to-market method of accounting, </w:t>
            </w:r>
          </w:p>
        </w:tc>
      </w:tr>
    </w:tbl>
    <w:tbl>
      <w:tblPr>
        <w:tblW w:w="1390" w:type="dxa"/>
        <w:jc w:val="left"/>
        <w:tblInd w:w="0" w:type="dxa"/>
        <w:tblLayout w:type="fixed"/>
        <w:tblCellMar>
          <w:top w:w="0" w:type="dxa"/>
          <w:left w:w="0" w:type="dxa"/>
          <w:bottom w:w="0" w:type="dxa"/>
          <w:right w:w="0" w:type="dxa"/>
        </w:tblCellMar>
      </w:tblPr>
      <w:tblGrid>
        <w:gridCol w:w="110"/>
        <w:gridCol w:w="1280"/>
      </w:tblGrid>
      <w:tr>
        <w:trPr/>
        <w:tc>
          <w:tcPr>
            <w:tcW w:w="110" w:type="dxa"/>
            <w:tcBorders/>
            <w:vAlign w:val="center"/>
          </w:tcPr>
          <w:p>
            <w:pPr>
              <w:pStyle w:val="TableContents"/>
              <w:bidi w:val="0"/>
              <w:spacing w:before="0" w:after="0"/>
              <w:jc w:val="left"/>
              <w:rPr>
                <w:color w:val="000000"/>
              </w:rPr>
            </w:pPr>
            <w:r>
              <w:rPr>
                <w:color w:val="000000"/>
              </w:rPr>
              <w:t>•</w:t>
            </w:r>
          </w:p>
        </w:tc>
        <w:tc>
          <w:tcPr>
            <w:tcW w:w="1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corporations,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life insurance company, real estate investment trust or regulated investment company,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liable for alternative minimum tax,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governments or agencies or instrumentalities thereof, </w:t>
            </w:r>
          </w:p>
        </w:tc>
      </w:tr>
    </w:tbl>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expatriate or former long-term resident of the U.S., </w:t>
            </w:r>
          </w:p>
        </w:tc>
      </w:tr>
    </w:tbl>
    <w:tbl>
      <w:tblPr>
        <w:tblW w:w="7120" w:type="dxa"/>
        <w:jc w:val="left"/>
        <w:tblInd w:w="0" w:type="dxa"/>
        <w:tblLayout w:type="fixed"/>
        <w:tblCellMar>
          <w:top w:w="0" w:type="dxa"/>
          <w:left w:w="0" w:type="dxa"/>
          <w:bottom w:w="0" w:type="dxa"/>
          <w:right w:w="0" w:type="dxa"/>
        </w:tblCellMar>
      </w:tblPr>
      <w:tblGrid>
        <w:gridCol w:w="110"/>
        <w:gridCol w:w="7010"/>
      </w:tblGrid>
      <w:tr>
        <w:trPr/>
        <w:tc>
          <w:tcPr>
            <w:tcW w:w="11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actually or constructively owns 10% or more of ProKidney voting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partnership or other pass-through entity for U.S. federal income tax purposes, or a beneficial owner of a partnership or other pass-through entity,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ProKidney securities as part of a straddle or a hedging or conversion transaction,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whose functional currency is not the U.S. dollar,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received ProKidney securities as compensation for services,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controlled foreign corporation, or </w:t>
            </w:r>
          </w:p>
        </w:tc>
      </w:tr>
    </w:tbl>
    <w:tbl>
      <w:tblPr>
        <w:tblW w:w="3325" w:type="dxa"/>
        <w:jc w:val="left"/>
        <w:tblInd w:w="0" w:type="dxa"/>
        <w:tblLayout w:type="fixed"/>
        <w:tblCellMar>
          <w:top w:w="0" w:type="dxa"/>
          <w:left w:w="0" w:type="dxa"/>
          <w:bottom w:w="0" w:type="dxa"/>
          <w:right w:w="0" w:type="dxa"/>
        </w:tblCellMar>
      </w:tblPr>
      <w:tblGrid>
        <w:gridCol w:w="110"/>
        <w:gridCol w:w="3215"/>
      </w:tblGrid>
      <w:tr>
        <w:trPr/>
        <w:tc>
          <w:tcPr>
            <w:tcW w:w="11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passive foreign investment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is based on the U.S. Internal Revenue Code of 1986, as amended (the “Code”), proposed, temporary and final Treasury Regulations promulgated under the Code (the “Treasury Regulations”),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for example, estate or gift taxes or the Medicare tax on investment income), nor does it address any aspects of U.S. state or local or non-U.S. taxation.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and do not intend to seek any rulings from the U.S. Internal Revenue Service (the “IRS”) regarding the domestication. There can be no assurance that the IRS will not take positions concerning the tax consequences of the transactions that are inconsistent with the considerations discussed below or that any such positions would not be sustained by a court.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(or any entity so characterized for U.S. federal income tax purposes) holds ProKidney Class A ordinary shares or common stock, the tax treatment of such partnership and a person treated as a partner of such partnership will generally depend on the status of the partner and the activities of the partnership. Partnerships holding any ProKidney Class A ordinary shares or common stock, and persons that are treated as partners of such partnerships should consult their tax advisors as to the particular U.S. federal income tax consequences of the domestication to them.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IS FOR INFORMATIONAL PURPOSES ONLY. ALL SHAREHOLDERS SHOULD CONSULT THEIR TAX ADVISORS REGARDING THE TAX CONSEQUENCES OF THE DOMESTICATION INCLUDING THE EFFECTS OF U.S. FEDERAL, STATE AND LOCAL AND NON-U.S.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45101x2_424b3_119-tax_pg2"/>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ProKidney Class A ordinary shares or common stock, as the case may be, who or that is, for U.S. federal income tax purposes: </w:t>
      </w:r>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that is treated as a corporation for U.S. federal income tax purposes) created or organized in or under the laws of the U.S. or any state thereof (including the District of Columbia),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Domestication on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of the domestication will depend in part upon whether the domestication qualifies as a “reorganization” within the meaning of Section 368 of the Code. Under Section 368(a)(1)(F) of the Code, a reorganization (an “F Reorganization”) includes a “mere change in identity, form, or place of organization of one corporation, however effected.” To qualify as an F Reorganization, a transaction must generally, among other requirements, (i) involve only one operating corporation, (ii) result in no change in the shareholders, and (iii) result in no significant change in the assets of the corporation. Based on the foregoing, we expect that any change in our place of incorporation to a U.S. jurisdiction would qualify as an F reorganization. We believe that the domestication will qualify as an F reorganization under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Accordingly, assuming the domestication qualifies as an F reorganization, U.S. Holders would not recognize gain or loss on the domestication for U.S. federal income tax purposes, except as provided below under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and “—</w:t>
      </w:r>
      <w:r>
        <w:rPr>
          <w:rFonts w:ascii="Times New Roman;Times;serif" w:hAnsi="Times New Roman;Times;serif"/>
          <w:i/>
          <w:color w:val="000000"/>
          <w:sz w:val="20"/>
        </w:rPr>
        <w:t>PFIC Considerations</w:t>
      </w:r>
      <w:r>
        <w:rPr>
          <w:rFonts w:ascii="Times New Roman;Times;serif" w:hAnsi="Times New Roman;Times;serif"/>
          <w:color w:val="000000"/>
          <w:sz w:val="20"/>
        </w:rPr>
        <w:t>.” The initial tax basis of a new share received by a U.S. Holder in the domestication would equal the U.S. Holder’s tax basis in the ProKidney Class A ordinary share surrendered in exchange thereof, increased by any amount included in the income of such U.S. Holder as a result of Section 367 of the Code — see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xml:space="preserve">.” The holding period for a new share received by a U.S. Holder would include such Holder’s holding period for the ProKidney Class A ordinary share surrendered in exchange therefor.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domestication, a U.S. Holder generally would be required to include in gross income the amount of any distribution of cash or other property paid on the ProKidney Class A ordinary shares. A distribution on such shares generally would be treated as U.S. source dividend income for U.S. federal income tax purposes to the extent the distribution is paid out of our current or accumulated earnings and profits (as determined under U.S. federal income tax principles). Such amount would be includible in gross income by a U.S. Holder on the date that such U.S. Holder actually or constructively receives the distribution in accordance with such U.S. Holder’s regular method of accounting for U.S. federal income tax purposes. Dividends paid by us to a corporate U.S. Holder would be eligible for the dividends-received deduction generally allowed to domestic corporations in respect of dividends received from other domestic corporations. With respect to non-corporate U.S. Holders, such dividends generally would be taxed at the lower applicable capital gains rate.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Section 367 to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367 of the Code applies to certain non-recognition transactions involving foreign corporations, including a domestication of a foreign corporation in an F Reorganization. Section 367 of the Code imposes income tax on certain United States persons in connection with transactions that would otherwise be tax-free. Section 367(b) of the Code will generally apply to U.S. Holders of ProKidney at the time of the domestication. </w:t>
      </w:r>
    </w:p>
    <w:tbl>
      <w:tblPr>
        <w:tblW w:w="2395" w:type="dxa"/>
        <w:jc w:val="left"/>
        <w:tblInd w:w="0" w:type="dxa"/>
        <w:tblLayout w:type="fixed"/>
        <w:tblCellMar>
          <w:top w:w="0" w:type="dxa"/>
          <w:left w:w="0" w:type="dxa"/>
          <w:bottom w:w="0" w:type="dxa"/>
          <w:right w:w="0" w:type="dxa"/>
        </w:tblCellMar>
      </w:tblPr>
      <w:tblGrid>
        <w:gridCol w:w="200"/>
        <w:gridCol w:w="21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of ProKidney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at the time of the domestication beneficially owns (directly, indirectly or constructively) 10% or more of the total combined voting power of all classes of ProKidney ordinary shares entitled to vote (a “U.S. Shareholder”) must include in income as a dividend the “all earnings and profits amount” attributable to the ProKidney Class A ordinary shares it directly owns, within the meaning of Treasury Regulations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45101x2_424b3_119-tax_pg3"/>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367. A U.S. Holder’s ownership of warrants and stock options will be taken into account in determining whether such holder owns 10% or more of the total combined voting power of all classes of stock. Complex attribution rules apply in determining whether a U.S. Holder owns 10% or more of the total combined voting power of all classes of ProKidney ordinary shares entitled to vote and all U.S. Holders are urged to consult their tax advisors with respect to these attribution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Shareholder’s “all earnings and profits amount” with respect to its ProKidney Class A ordinary shares is the net positive earnings and profits of ProKidney (as determined under Treasury Regulations under Section 367) attributable to the shares (as determined under Treasury Regulations under Section 367) but without regard to any gain that would be realized on a sale or exchange of such shares. Treasury Regulations under Section 367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does not expect that its cumulative earnings and profits will be greater than zero at the time of the domestication. As a result, a U.S. Shareholder should not be required to include in gross income an “all earnings and profits amount” with respect to its ProKidney Class A ordinary shares. </w:t>
      </w:r>
    </w:p>
    <w:tbl>
      <w:tblPr>
        <w:tblW w:w="5005" w:type="dxa"/>
        <w:jc w:val="left"/>
        <w:tblInd w:w="0" w:type="dxa"/>
        <w:tblLayout w:type="fixed"/>
        <w:tblCellMar>
          <w:top w:w="0" w:type="dxa"/>
          <w:left w:w="0" w:type="dxa"/>
          <w:bottom w:w="0" w:type="dxa"/>
          <w:right w:w="0" w:type="dxa"/>
        </w:tblCellMar>
      </w:tblPr>
      <w:tblGrid>
        <w:gridCol w:w="200"/>
        <w:gridCol w:w="48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That Own Less Than 10 Percent of ProKidney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at the time of the domestication, beneficially owns (directly, indirectly or constructively) ProKidney Class A ordinary shares with a fair market value of $50,000 or more but less than 10% of the total combined voting power of all classes of ProKidney ordinary shares entitled to vote will recognize gain (but not loss) with respect to the domestication or, in the alternative, may elect to recognize the “all earnings and profits” amount attributable to such holder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 U.S. Holder makes the “all earnings and profits” election as described below, such holder generally must recognize gain (but not loss) with respect to Class A common stock received in the domestication in an amount equal to the excess of the fair market value of the Class A common stock received over the U.S. Holder’s adjusted tax basis in the ProKidney Class A ordinary shares deemed surrendered in exchange therefor.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recognizing any gain as described in the preceding paragraph, a U.S. Holder may elect to include in income the “all earnings and profits amount” attributable to its ProKidney Class A ordinary shares under Section 367(b). There are, however, strict conditions for making this election. This election must comply with applicable Treasury Regulations and generally must include, among other things: </w:t>
      </w:r>
    </w:p>
    <w:tbl>
      <w:tblPr>
        <w:tblW w:w="5485" w:type="dxa"/>
        <w:jc w:val="left"/>
        <w:tblInd w:w="0" w:type="dxa"/>
        <w:tblLayout w:type="fixed"/>
        <w:tblCellMar>
          <w:top w:w="0" w:type="dxa"/>
          <w:left w:w="0" w:type="dxa"/>
          <w:bottom w:w="0" w:type="dxa"/>
          <w:right w:w="0" w:type="dxa"/>
        </w:tblCellMar>
      </w:tblPr>
      <w:tblGrid>
        <w:gridCol w:w="200"/>
        <w:gridCol w:w="52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statement that the domestication is a Section 367(b) exchange; </w:t>
            </w:r>
          </w:p>
        </w:tc>
      </w:tr>
    </w:tbl>
    <w:tbl>
      <w:tblPr>
        <w:tblW w:w="3940" w:type="dxa"/>
        <w:jc w:val="left"/>
        <w:tblInd w:w="0" w:type="dxa"/>
        <w:tblLayout w:type="fixed"/>
        <w:tblCellMar>
          <w:top w:w="0" w:type="dxa"/>
          <w:left w:w="0" w:type="dxa"/>
          <w:bottom w:w="0" w:type="dxa"/>
          <w:right w:w="0" w:type="dxa"/>
        </w:tblCellMar>
      </w:tblPr>
      <w:tblGrid>
        <w:gridCol w:w="260"/>
        <w:gridCol w:w="368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 description of the domestication; </w:t>
            </w:r>
          </w:p>
        </w:tc>
      </w:tr>
    </w:tbl>
    <w:tbl>
      <w:tblPr>
        <w:tblW w:w="8770" w:type="dxa"/>
        <w:jc w:val="left"/>
        <w:tblInd w:w="0" w:type="dxa"/>
        <w:tblLayout w:type="fixed"/>
        <w:tblCellMar>
          <w:top w:w="0" w:type="dxa"/>
          <w:left w:w="0" w:type="dxa"/>
          <w:bottom w:w="0" w:type="dxa"/>
          <w:right w:w="0" w:type="dxa"/>
        </w:tblCellMar>
      </w:tblPr>
      <w:tblGrid>
        <w:gridCol w:w="320"/>
        <w:gridCol w:w="8450"/>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stock, securities or other consideration transferred or received in the domestication; </w:t>
            </w:r>
          </w:p>
        </w:tc>
      </w:tr>
    </w:tbl>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statement describing the amounts required to be taken into account for U.S. federal income tax purposes;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statement that the U.S. Holder is making the election that includes (A) a copy of the information that the U.S. Holder received from ProKidney establishing and substantiating the U.S. Holder’s all earnings and profits amount with respect to the U.S. Holder’s ProKidney Class A ordinary shares, and (B) a representation that the U.S. Holder has notified ProKidney (or ProKidney Delaware) that the U.S. Holder is making the election; and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information required to be furnished with the U.S. Holder’s tax return or otherwise furnished pursuant to the Code or the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election must be attached by an electing U.S. Holder to such holder’s timely filed U.S. federal income tax return for the year of the domestication, and the U.S. Holder must send notice of making the election to ProKidney Delaware no later than the date such tax return is filed. In connection with this election, ProKidney intends to provide each U.S. Holder eligible to make such an election with information regarding ProKidney’s earnings and profits upon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45101x2_424b3_119-tax_pg4"/>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does not expect that its cumulative earnings and profits will be greater than zero at the time of the domestication. Accordingly, U.S. Holders who make this election should generally not have an income inclusion under Section 367(b) provided the U.S. Holder properly executes the election and complies with the applicable notice requirements.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ARE STRONGLY URGED TO CONSULT A TAX ADVISOR REGARDING THE CONSEQUENCES OF MAKING AN ELECTION AND THE APPROPRIATE FILING REQUIREMENTS WITH RESPECT TO AN ELECTION. </w:t>
      </w:r>
    </w:p>
    <w:tbl>
      <w:tblPr>
        <w:tblW w:w="8815" w:type="dxa"/>
        <w:jc w:val="left"/>
        <w:tblInd w:w="0" w:type="dxa"/>
        <w:tblLayout w:type="fixed"/>
        <w:tblCellMar>
          <w:top w:w="0" w:type="dxa"/>
          <w:left w:w="0" w:type="dxa"/>
          <w:bottom w:w="0" w:type="dxa"/>
          <w:right w:w="0" w:type="dxa"/>
        </w:tblCellMar>
      </w:tblPr>
      <w:tblGrid>
        <w:gridCol w:w="200"/>
        <w:gridCol w:w="86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that Own ProKidney Class A Ordinary Shares with a Fair Market Value of Less Than $50,000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at the time of the domestication, owns (or is considered to own) stock of ProKidney with a fair market value less than $50,000 should not be required to recognize any gain or loss under Section 367 of the Code in connection with the domestication, and generally should not be required to include any part of the “all earnings and profits amount” in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U.S. Holders are urged to consult their tax advisors with respect to the effect of Section 367 of the Code to their particular circumstances.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PFIC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discussion under the heading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xml:space="preserve">,” above, the domestication could be a taxable event to U.S. Holders under the passive foreign investment company (“PFIC”) provisions of the Code. </w:t>
      </w:r>
    </w:p>
    <w:tbl>
      <w:tblPr>
        <w:tblW w:w="2335" w:type="dxa"/>
        <w:jc w:val="left"/>
        <w:tblInd w:w="0" w:type="dxa"/>
        <w:tblLayout w:type="fixed"/>
        <w:tblCellMar>
          <w:top w:w="0" w:type="dxa"/>
          <w:left w:w="0" w:type="dxa"/>
          <w:bottom w:w="0" w:type="dxa"/>
          <w:right w:w="0" w:type="dxa"/>
        </w:tblCellMar>
      </w:tblPr>
      <w:tblGrid>
        <w:gridCol w:w="200"/>
        <w:gridCol w:w="21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PFIC Status of ProKidney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ProKidney will be a PFIC with respect to a U.S. Holder if, for any taxable year in which such holder held ProKidney Class A ordinary shares, (a) at least 75% or more of ProKidney’s gross income for the taxable year was passive income or (b) at least 50% or more of the value, determined on the basis of a quarterly average, of ProKidney’s assets is attributable to assets that produce or are held to produce passive income. Passive income generally includes dividends, interest, rents and royalties, but excludes rents and royalties that are derived in the active conduct of a trade or business and that are received from an unrelated person, as well as annuities and gains from assets that produce passive income. For purposes of these rules, interest income earned by ProKidney would be considered to be passive income and cash held by ProKidney would be considered to be a passive asset.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ProKidney believes that it is likely (and likely has been) classified as a PFIC for U.S. federal income tax purposes. If ProKidney is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The actual PFIC status of ProKidney for any taxable year, moreover, will not be determinable until after the end of such taxable year. In addition to the discussion under the heading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xml:space="preserve">,” above, the domestication could be a taxable event to U.S. Holders under the PFIC provisions of the Code. </w:t>
      </w:r>
    </w:p>
    <w:tbl>
      <w:tblPr>
        <w:tblW w:w="3775" w:type="dxa"/>
        <w:jc w:val="left"/>
        <w:tblInd w:w="0" w:type="dxa"/>
        <w:tblLayout w:type="fixed"/>
        <w:tblCellMar>
          <w:top w:w="0" w:type="dxa"/>
          <w:left w:w="0" w:type="dxa"/>
          <w:bottom w:w="0" w:type="dxa"/>
          <w:right w:w="0" w:type="dxa"/>
        </w:tblCellMar>
      </w:tblPr>
      <w:tblGrid>
        <w:gridCol w:w="200"/>
        <w:gridCol w:w="35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Effects of PFIC Rules on the Domestication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regulations may require taxable gain recognition in the domestication if ProKidney were classified as a PFIC at any time during such U.S. Holder’s holding period in such stock and the U.S. Holder had not made a QEF Election (as described below) for the first taxable year in which the U.S. Holder owned ProKidney Class A ordinary shares or in which ProKidney was a PFIC, whichever is later or a mark-to-market election (as described below). The tax on any such recognized gain would be imposed based on a complex set of computational rules designed to offset the tax deferral with respect to the undistributed earnings of ProKidney.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45101x2_424b3_119-tax_pg5"/>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these rules: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U.S. Holder’s gain would be allocated ratably over the U.S. Holder’s holding period for such holder’s ProKidney Class A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gain allocated to the U.S. Holder’s taxable year in which the U.S. Holder recognized the gain, or to the period in the U.S. Holder’s holding period before the first day of the first taxable year in which ProKidney was a PFIC, would be taxed as ordinary income;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gain allocated to other taxable years (or portions thereof) of the U.S. Holder and included in such holder’s holding period would be taxed at the highest tax rate in effect for that year applicable to the U.S. Holder;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interest charge generally applicable to underpayments of tax would be imposed in respect of the tax attributable to each such other taxable year of the U.S. Holder.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“all earnings and profits amount” included in income by a U.S. Holder as a result of the domestication (discussed under the heading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xml:space="preserve">” above) generally would be treated as gain subject to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proposed regulation issued under the PFIC rules generally treats an “option” to acquire the stock of a PFIC as stock of the PFIC, while a final regulation issued under the PFIC rules provides that the holder of an option is not entitled to make a QEF election with respect to the option. It is difficult to predict whether, in what form and with what effective date, final Treasury Regulations under Section 1291(f) of the Code will be adopted. Therefore, U.S. Holders of ProKidney Class A ordinary shares that have not made a timely QEF Election or a mark-to-market election (as described below) may, pursuant to the proposed Treasury Regulations, be subject to taxation on the domestication to the extent their shares have a fair market value in excess of their tax basis. An Electing Shareholder (as described below) generally would not be subject to the adverse PFIC rules discussed above but rather would include annually in gross income its pro rata share of the ordinary earnings and net capital gain of ProKidney, whether or not such amounts are actually distributed. </w:t>
      </w:r>
    </w:p>
    <w:tbl>
      <w:tblPr>
        <w:tblW w:w="3295" w:type="dxa"/>
        <w:jc w:val="left"/>
        <w:tblInd w:w="0" w:type="dxa"/>
        <w:tblLayout w:type="fixed"/>
        <w:tblCellMar>
          <w:top w:w="0" w:type="dxa"/>
          <w:left w:w="0" w:type="dxa"/>
          <w:bottom w:w="0" w:type="dxa"/>
          <w:right w:w="0" w:type="dxa"/>
        </w:tblCellMar>
      </w:tblPr>
      <w:tblGrid>
        <w:gridCol w:w="200"/>
        <w:gridCol w:w="30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Impact of PFIC Rules on U.S. 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impact of the PFIC rules on a U.S. Holder of ProKidney Class A ordinary shares will depend on whether the U.S. Holder has made a timely and effective election to treat ProKidney as a “qualified electing fund” under Section 1295 of the Code for the tax year that is the first year in the U.S. Holder’s holding period of ProKidney Class A ordinary shares during which ProKidney qualified as a PFIC (a “QEF Election”). A U.S. Holder’s ability to make a QEF Election with respect to ProKidney is contingent upon, among other things, the provision by ProKidney of a “PFIC Annual Information Statement” to such U.S. Holder. ProKidney will make available such information statements to U.S. Holders upon request. A U.S. Holder of ProKidney that made a QEF Election may be referred to as an “Electing Shareholder” and a U.S. Holder of ProKidney that did not make a QEF Election may be referred to as a “Non-Electing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U.S. Holder that has made a valid QEF election effective for the first taxable year in the U.S. Holder’s holding period will not be subject to the general PFIC rules. As a result, such a U.S. Holder should not recognize gain or loss as a result of the domestication except to the extent described under the heading “—</w:t>
      </w:r>
      <w:r>
        <w:rPr>
          <w:rFonts w:ascii="Times New Roman;Times;serif" w:hAnsi="Times New Roman;Times;serif"/>
          <w:i/>
          <w:color w:val="000000"/>
          <w:sz w:val="20"/>
        </w:rPr>
        <w:t>Effects of Section 367 to U.S. Holders</w:t>
      </w:r>
      <w:r>
        <w:rPr>
          <w:rFonts w:ascii="Times New Roman;Times;serif" w:hAnsi="Times New Roman;Times;serif"/>
          <w:color w:val="000000"/>
          <w:sz w:val="20"/>
        </w:rPr>
        <w:t xml:space="preserve">”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has not had a valid QEF election in effect for its entire holding period in its ProKidney Class A ordinary shares (or a mark-to-market election as described below) may be subject to adverse tax consequences upon the sale of its ProKidney Class A ordinary shares and upon the domestication (as described below). If such a U.S. Holder sells or is otherwise treated as disposing of its ProKidney Class A ordinary shares, the entire amount of any gain realized upon the sale will be treated as an “excess distribution” made in the year of sale and as a consequence will generally be treated as ordinary income, and, to the extent allocated to years prior to the year of sale, will be subject to a special interest charge.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impact of the PFIC rules on a U.S. Holder of ProKidney Class A ordinary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ProKidney Class A ordinary shares are considered to be regularly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45101x2_424b3_119-tax_pg6"/>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ProKidney Class A 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 Holders are strongly urged to consult their tax advisors concerning the impact of the PFIC rules on the domestication, including, without limitation, whether a QEF Election, “deemed sale” election and/or “mark to market” election is available and whether a “deemed sale” election is available to the extent a timely QEF Election cannot be made with respect to their ProKidney Class A ordinary shares and the consequences to them of any such election.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on Shares of ProKidney Delaware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U.S. Holder generally will be required to include in gross income as dividends the amount of any cash distribution paid with respect to shares of ProKidney Delaware Class A common stock, to the extent the distribution is paid out of ProKidney Delaware’s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ProKidney Delaware Class A common stock. Any remaining excess will be treated as gain realized on the sale or other disposition of the shares of ProKidney Delaware Class A common stock and will be treated as described under “—</w:t>
      </w:r>
      <w:r>
        <w:rPr>
          <w:rFonts w:ascii="Times New Roman;Times;serif" w:hAnsi="Times New Roman;Times;serif"/>
          <w:i/>
          <w:color w:val="000000"/>
          <w:sz w:val="20"/>
        </w:rPr>
        <w:t>Sale, Exchange or Other Disposition of Shares of ProKidney Delaware Class A Common Stock</w:t>
      </w:r>
      <w:r>
        <w:rPr>
          <w:rFonts w:ascii="Times New Roman;Times;serif" w:hAnsi="Times New Roman;Times;serif"/>
          <w:color w:val="000000"/>
          <w:sz w:val="20"/>
        </w:rPr>
        <w:t xml:space="preserve">”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that ProKidney Delaware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ProKidney Delaware pays to a non-corporate U.S. Holder may be taxed as “qualified dividend income” at the preferential tax rate accorded to long-term capital gains.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Sale, Exchange or Other Disposition of Shares of ProKidney Delaware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or other taxable disposition of shares of ProKidney Delaware Class A common stock which, in general, would include a redemption of shares of ProKidney Delaware that is treated as a sale of such securities as described above and below, a U.S. Holder generally will recognize capital gain or loss. Any such capital gain or loss generally will be long-term capital gain or loss if the U.S. Holder’s holding period for the shares of ProKidney Delaware Class A common stock so disposed of exceeds one year. It is unclear, however, whether the redemption rights described herein with respect to the shares of ProKidney Delaware Class A common stock may have suspended the running of the applicable holding period for this purpose. Long-term capital gains recognized by non-corporate U.S. Holders will be eligible to be taxed at reduced rates. The deductibility of capital losses is subject to limitations.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ProKidney Delaware Class A common stock so disposed of. See “—</w:t>
      </w:r>
      <w:r>
        <w:rPr>
          <w:rFonts w:ascii="Times New Roman;Times;serif" w:hAnsi="Times New Roman;Times;serif"/>
          <w:i/>
          <w:color w:val="000000"/>
          <w:sz w:val="20"/>
        </w:rPr>
        <w:t>Effects of the Domestication on U.S. Holders</w:t>
      </w:r>
      <w:r>
        <w:rPr>
          <w:rFonts w:ascii="Times New Roman;Times;serif" w:hAnsi="Times New Roman;Times;serif"/>
          <w:color w:val="000000"/>
          <w:sz w:val="20"/>
        </w:rPr>
        <w:t xml:space="preserve">” above for discussion of a U.S. Holder’s adjusted tax basis in its shares of ProKidney Delaware Class A common stock following the domestication.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describes U.S. federal income tax considerations relating to the ownership and disposition of ProKidney Delaware Class A common stock by a non-U.S. Holder after the domestication. For purposes of this discussion, a non-U.S. Holder means a beneficial owner of ProKidney Delaware Class A common stock who or that is, for U.S. federal income tax purposes, not a U.S. Holder (as defined above).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any distributions made to a non-U.S. Holder on Class A shares of ProKidney Delaware, to the extent paid out of ProKidney Delaware’s current or accumulated earnings and profits (as determined under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45101x2_424b3_119-tax_pg7"/>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 income tax principles), will constitute dividends for U.S. federal income tax purposes and, provided such dividends are not effectively connected with the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common stock of ProKidney Delaware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i/>
          <w:color w:val="000000"/>
          <w:sz w:val="20"/>
        </w:rPr>
        <w:t>Non-U.S. Holders—Gain on Sale, Taxable Exchange or Other Taxable Disposition of common stock</w:t>
      </w:r>
      <w:r>
        <w:rPr>
          <w:rFonts w:ascii="Times New Roman;Times;serif" w:hAnsi="Times New Roman;Times;serif"/>
          <w:color w:val="000000"/>
          <w:sz w:val="20"/>
        </w:rPr>
        <w:t xml:space="preserve">” below. ProKidney does not expect to make any dividend distributions to its shareholders in the near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paid by ProKidney Delaware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Sale, Taxable Exchange or Other Taxable Disposition of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will generally not be subject to U.S. federal income tax on gain realized on a sale or other disposition of common stock unless: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non-U.S. Holder is an individual who was present in the United States for 183 days or more in the taxable year of the disposition and certain other requirements are met, in which case any gain realized would generally be subject to a flat 30% U.S. federal income tax,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a trade or business of the non-U.S. Holder in the United States, (and, if an applicable treaty so requires, is attributable to the conduct of trade or business through a permanent establishment or fixed base in the United States in which case the gain would be subject to U.S. federal income tax on a net income basis at the regular graduated rates and in the manner applicable to U.S. Holders and, if the non-U.S. Holder is a corporation, an additional “branch profits tax” may also apply), or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ProKidney Delaware is or has been a U.S. real property holding corporation at any time within the five-year period preceding the disposition or the non-U.S. Holder’s holding period, whichever period is shorter, and either (A) the common stock has ceased to be regularly traded on an established securities market or (B) the non-U.S. Holder has owned or is deemed to have owned, at any time within the five-year period preceding the disposition or the non-U.S. Holder’s holding period, whichever period is shorter, more than 5% of the common stock.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Requirements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returns will be filed with the IRS in connection with payments of dividends on and the proceeds from a sale or other disposition of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45101x2_424b3_119-tax_pg8"/>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ProKidney Class A ordinary shares and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ProKidney Class A ordinary shares or common stock are held will affect the determination of whether such withholding is required. Similarly, dividends in respect of ProKidney Class A ordinary shares or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All holders should consult their tax advisors regarding the possible implications of FATCA on their investment in ProKidney Class A ordinary shares or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45101x2_424b3_120-rights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8" w:name="tAR"/>
      <w:bookmarkEnd w:id="128"/>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shareholders do not have appraisal rights in connection with the domestication under the Cayman Islands Companies Act or under the DGCL. </w:t>
      </w:r>
    </w:p>
    <w:p>
      <w:pPr>
        <w:pStyle w:val="TextBody"/>
        <w:bidi w:val="0"/>
        <w:spacing w:before="240" w:after="283"/>
        <w:jc w:val="center"/>
        <w:rPr>
          <w:rFonts w:ascii="Times New Roman;Times;serif" w:hAnsi="Times New Roman;Times;serif"/>
          <w:b/>
          <w:color w:val="000000"/>
          <w:sz w:val="20"/>
        </w:rPr>
      </w:pPr>
      <w:bookmarkStart w:id="129" w:name="tSNAP"/>
      <w:bookmarkEnd w:id="129"/>
      <w:r>
        <w:rPr>
          <w:rFonts w:ascii="Times New Roman;Times;serif" w:hAnsi="Times New Roman;Times;serif"/>
          <w:b/>
          <w:color w:val="000000"/>
          <w:sz w:val="20"/>
        </w:rPr>
        <w:t xml:space="preserve">STOCKHOLDER NOMINATIONS AND PROPOSALS OF PROKIDNEY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disclosure set forth below describes the procedures for stockholder nominations and proposals pursuant to the Existing Organizational Documents of ProKidney. The following summary is qualified in its entirety by reference to the complete text of the Existing Organizational Documents, a copy of which is attached as Annex A to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is not effected, the Existing Organizational Documents will remain unchanged. To be considered for inclusion in the proxy statement relating to our 2026 annual general meeting of shareholders, we must receive shareholder proposals and nominations for director no later than December 29, 2025, or, if the date of the 2026 annual general meeting has been advanced or delayed by more than 30 days from the date of this year’s annual general meeting, then the deadline will be set by the Board and must be a reasonable time before ProKidney begins to print and send its related proxy materials. Nominations and proposals also must satisfy other requirements set forth in the Existing Organizational Documents. Proposals that are not received in a timely manner will not be voted on at the 2026 annual general meeting.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Corporate Secretary, 2000 Frontis Plaza Blvd, Suite 250, Winston-Salem, North Carolina 27103. </w:t>
      </w:r>
    </w:p>
    <w:p>
      <w:pPr>
        <w:pStyle w:val="TextBody"/>
        <w:bidi w:val="0"/>
        <w:spacing w:before="240" w:after="283"/>
        <w:jc w:val="center"/>
        <w:rPr>
          <w:rFonts w:ascii="Times New Roman;Times;serif" w:hAnsi="Times New Roman;Times;serif"/>
          <w:b/>
          <w:color w:val="000000"/>
          <w:sz w:val="20"/>
        </w:rPr>
      </w:pPr>
      <w:bookmarkStart w:id="130" w:name="tSNAPD"/>
      <w:bookmarkEnd w:id="130"/>
      <w:r>
        <w:rPr>
          <w:rFonts w:ascii="Times New Roman;Times;serif" w:hAnsi="Times New Roman;Times;serif"/>
          <w:b/>
          <w:color w:val="000000"/>
          <w:sz w:val="20"/>
        </w:rPr>
        <w:t xml:space="preserve">STOCKHOLDER NOMINATIONS AND PROPOSALS OF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disclosure set forth below describes the procedures for stockholder nominations and proposals pursuant to the Proposed Organizational Documents of ProKidney Delaware. The following summary is qualified in its entirety by reference to the complete text of the Proposed Bylaws, a copy of which is attached as Annex C to this proxy statement/prospectus.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Meeting of Stockholders Notice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new charter proposal is approved and the domestication is to be effected, ProKidney Delaware will be governed by the Proposed Organizational Documents. Nominations of persons for election to the board of directors of ProKidney Delaware or the proposal of other business to be transacted by stockholders may only be made at a meeting properly called for such purpose and only (i) by or at the direction of the board of directors or any committee thereof or (ii) by a stockholder who (A) was a stockholder of record of ProKidney Delaware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ProKidney Delaware by stockholders in accordance with the applicable sections of the Proposed Bylaws are referred to as “Stockholder Nominees.” A stockholder nominating persons for election to the board of directors is referred to as the “Nominating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Bylaws provide that, for nominations or business to be properly brought before an annual meeting by a stockholder, the stockholder must give timely notice thereof in writing to the secretary of ProKidney Delaware and, in the case of proposed business, any such proposed business must constitute a proper matter for stockholder action. To be timely, the notice must be delivered personally or mailed to, and received at, the principal executive offices of ProKidney Delaware, addressed to the secretary, by no earlier than one hundred and twenty (120) days and no later than ninety (90) days before the first anniversary of the date of the prior year’s annual meeting of stockholders;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45101x2_424b3_120-rights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Notice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election of directors is included as business to be brought before a special meeting in ProKidney Delaware’s notice of meeting, then nominations of persons for election to the board of directors at a special meeting of stockholders may be made (i) by or at the direction of the Board or any committee thereof or (ii) by a stockholder who (a) was a stockholder of record of ProKidney Delaware when the notice required by the Proposed Bylaws is delivered to the secretary of ProKidney Delaware and at the time of the meeting, (b) is entitled to vote for the election of directors at the meeting and (c) complies with the notice and other provisions of the Proposed Bylaws. The required notice, to be timely, must be delivered personally or mailed to and received at the executive offices of ProKidney Delaware, addressed to the attention of the secretary, by no earlier than one hundred and twenty (120) days before and no later than the later of ninety (90) days before such special meeting and the tenth day after the day on which the notice of such special meeting was made by mail or public disclosure.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Stockholder Notice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notice to the secretary must set forth (i) as to each person whom the stockholder proposes to nominate for election or reelection as a director: (A) Stockholder Information (as defined below) with respect to each Nominating Stockholder and Stockholder Associated Person (as defined in the Proposed Bylaws) (B) a representation to ProKidney Delaware that each Nominating Stockholder is a holder of record of stock entitled to vote at the meeting and intends to appear in person or by proxy at the meeting to propose such nomination; (C) all information regarding each Stockholder Nominee or Stockholder Associated Person, in each case, that would be required to be disclosed in a solicitation of proxies subject to Section 14 of the Exchange Act and the rules and regulations promulgated thereunder, including without limitation, Rule 14a-19 under the Exchange Act (including a corresponding provision or successor rule); (D) the written consent of each Stockholder Nominee to being named in a proxy statement as a nominee and to serve if elected and a completed signed questionnaire, representation and agreement required by certain sections of the Proposed Bylaws; (E) a description of related party transactions and other information that would be required to be disclosed pursuant to federal securities law, including Rule 404 promulgated under Regulation S-K of the Securities Act (or any successor provision) if the Nominating Stockholder or the Stockholder Associated Person were the “registrant” for purposes of such rule and the Stockholder Nominee were a director or executive of such registrant; (F) Stockholder Information with respect to any stock or other interests of ProKidney Delaware held by the Nominating Stockholder’s immediate family members; (G)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or they may incorporate a Schedule 13D or amendment that has been filed under the Exchange Act by reference (G) a representation to ProKidney Delaware as to whether each Nominating Stockholder intends (x) to deliver a proxy statement and form of proxy to holders of at least the percentage of ProKidney Delaware’s outstanding capital stock required to approve the nomination or (y) otherwise to solicit proxies from stockholders in support of such nomination; (H) all other information that would be required to be filed with the SEC if the Nominating Stockholders and Stockholder Associated Persons were participants in a solicitation subject to Section 14 of the Exchange Act; and (I) a representation by the Nominating Stockholder as to the accuracy of the information set forth in the notice; and (ii) as to any other business that the stockholder proposes to bring before the meeting, (A) Stockholder Information of the stockholder proposing business (the “Proponent”) and any Stockholder Associated Person; (B) a representation to ProKidney Delaware that each Proponent is a holder of record of stock of ProKidney Delaware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ProKidney Delaware as to whether the Proponent intends (x) to deliver a proxy statement and form of proxy to holders of at least the percentage of ProKidney Delaware’s outstanding capital stock required to approve or adopt such business or (y) otherwise to solicit proxies from the stockholders in support of such business; (E)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45101x2_424b3_120-rights_pg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information that would be required to be filed with the SEC if the Proponent or Stockholder Associated Persons were participants in a solicitation subject to Section 14 of the Exchange Act; and (F) a representation and covenant for the benefit of ProKidney Delaware that the Proponents shall provide any other information reasonably requested by ProKidney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any stockholder’s notice to the secretary must include the following information: (i) the name and record address of each Proponent, as they appear on ProKidney Delaware’s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ProKidney Delaware or with a value derived in whole or in part from the value or decrease in value of any class or series of stock of ProKidney Delaware, whether or not such instrument or right shall be subject to settlement in the underlying class or series of stock of ProKidney Delaware or otherwise (a “Derivative”), (E) a description in reasonable detail of any proxy (including revocable proxies), contract, arrangement, understanding or other relationship pursuant to which the Proponent or Stockholder Associated Person has a right to vote any shares of stock of ProKidney Delaware, (F) any rights to dividends on the stock of ProKidney Delaware owned beneficially by the Proponent or Stockholder Associated Person that are separated or separable from the underlying stock of ProKidney Delaware, (G) any proportionate interest in stock of ProKidney Delaware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ProKidney Delaware or derivatives thereof, if any, as of the date of such notice (the information specified above in (i)-(iii) is referred to herein as “Stockholder Information”) provided however, the Proponent is only required to disclose any such agreement or understanding only to the extent known to, or to the extent such matters should be know after the exercise of reasonable diligence, by any Proponent.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Proponents shall also provide any other information reasonably requested by ProKidney Delaware within ten (10) business days after such request. In addition, the Proponent shall further update and supplement the information provided to ProKidney Delaware in the notice of business or upon ProKidney Delaware’s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ProKidney Delaware, addressed to the secretary, by no later than five (5) business days after the record date for the meeting (in the case of the update and supplement required to be made as of the record date), and not later than two (2) business days before the date of the meeting (in the case of an update and supplement required to be made as of five (5) business days before the meeting and adjournment or postponement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stockholder nominations of directors for election to the Board, the Nominating Stockholders shall further update and supplement the information provided to ProKidney Delaware in their notice or upon ProKidney Delaware’s request as needed, so that such information shall be true and correct as of the record date for the meeting. Such update and supplement must be delivered personally or mailed to, and received at, the principal executive offices of ProKidney Delaware, addressed to the secretary, by no later than ten (10) business days after the record date for the meeting. In addition, the Nominating Stockholder shall deliver to ProKidney Delaware, not later than six (6) business days prior to the date of the meeting or any adjournment, recess, rescheduling or postponement thereof, reasonable evidence that it has complied with the requirements of Rule 14a-19.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45101x2_424b3_120-rights_pg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Nominee Eligibility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eligible to be a nominee for election or reelection as a director, a person must deliver (in accordance with the time periods prescribed for delivery of notice by the board of directors) to the secretary at the principal executive offices of ProKidney Delaware,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ProKidney Delaware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ProKidney Delaware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ProKidney Delaware that are applicable to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ProKidney Delaware.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410" w:after="283"/>
        <w:jc w:val="center"/>
        <w:rPr>
          <w:rFonts w:ascii="Times New Roman;Times;serif" w:hAnsi="Times New Roman;Times;serif"/>
          <w:b/>
          <w:color w:val="000000"/>
          <w:sz w:val="20"/>
        </w:rPr>
      </w:pPr>
      <w:bookmarkStart w:id="134" w:name="tSC"/>
      <w:bookmarkEnd w:id="134"/>
      <w:r>
        <w:rPr>
          <w:rFonts w:ascii="Times New Roman;Times;serif" w:hAnsi="Times New Roman;Times;serif"/>
          <w:b/>
          <w:color w:val="000000"/>
          <w:sz w:val="20"/>
        </w:rPr>
        <w:t xml:space="preserve">SHAREHOLDER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and interested parties may communicate with the Board, any committee chairperson or the non-management directors as a group by writing to the board or committee chairperson in care of our corporate secretary. Following the domestication, such communications should be sent to the same address. Each communication will be forwarded, depending on the subject matter, to the Board, the appropriate committee chairperson or all non-management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45101x2_424b3_121-legal_pg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6" w:name="tLM"/>
      <w:bookmarkEnd w:id="136"/>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Akin Gump Strauss Hauer &amp; Feld LLP have passed upon the validity of the securities of ProKidney Delaware offered by this proxy statement/prospectus. Akin Gump Strauss Hauer &amp; Feld LLP, tax counsel for ProKidney, have passed upon certain U.S. federal income tax consequences of the domestication for ProKidney. </w:t>
      </w:r>
    </w:p>
    <w:p>
      <w:pPr>
        <w:pStyle w:val="TextBody"/>
        <w:bidi w:val="0"/>
        <w:spacing w:before="410" w:after="283"/>
        <w:jc w:val="center"/>
        <w:rPr>
          <w:rFonts w:ascii="Times New Roman;Times;serif" w:hAnsi="Times New Roman;Times;serif"/>
          <w:b/>
          <w:color w:val="000000"/>
          <w:sz w:val="20"/>
        </w:rPr>
      </w:pPr>
      <w:bookmarkStart w:id="137" w:name="tEXP"/>
      <w:bookmarkEnd w:id="137"/>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45101x2_424b3_121-legal_pg2"/>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9" w:name="tWYC"/>
      <w:bookmarkEnd w:id="139"/>
      <w:r>
        <w:rPr>
          <w:rFonts w:ascii="Times New Roman;Times;serif" w:hAnsi="Times New Roman;Times;serif"/>
          <w:b/>
          <w:color w:val="000000"/>
          <w:sz w:val="20"/>
        </w:rPr>
        <w:t xml:space="preserve">WHERE YOU CAN FIND MORE INFORMATION; 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has filed a registration statement on Form S-4 to register the issuance of securities described elsewhere in this proxy statement/prospectus. This proxy statement/prospectus is a part of that registration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ProKidney files reports, proxy statements and other information with the SEC as required by the Exchange Act. You may access information on ProKidney at the SEC web site containing reports, proxy statements and other information at: http://www.sec.gov.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this proxy statement/prospectus relating to ProKidney has been supplied by ProKidney.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Incorporation by Reference of Certain of ProKidney’s Filings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ProKidney to “incorporate by reference” certain information filed with the SEC into this proxy statement/prospectus, which means that ProKidney can disclose important information to you by referring you to other documents that ProKidney has filed separately with the SEC. You should read any information incorporated by reference because it is an important part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ProKidney documents listed below (other than any portions of the documents not deemed to be filed), all of which have been previously filed by ProKidney with the SEC: </w:t>
      </w:r>
    </w:p>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pPr>
            <w:r>
              <w:rPr>
                <w:rFonts w:ascii="Times New Roman;Times;serif" w:hAnsi="Times New Roman;Times;serif"/>
                <w:color w:val="000000"/>
                <w:sz w:val="20"/>
              </w:rPr>
              <w:t xml:space="preserve">ProKidney’s Annual Report on Form 10-K for the year ended December 31, 2024, filed with the SEC on </w:t>
            </w:r>
            <w:hyperlink r:id="rId5">
              <w:r>
                <w:rPr>
                  <w:rStyle w:val="InternetLink"/>
                  <w:rFonts w:ascii="Times New Roman;Times;serif" w:hAnsi="Times New Roman;Times;serif"/>
                  <w:color w:val="000080"/>
                  <w:sz w:val="20"/>
                </w:rPr>
                <w:t>March 17</w:t>
              </w:r>
            </w:hyperlink>
            <w:r>
              <w:rPr>
                <w:rFonts w:ascii="Times New Roman;Times;serif" w:hAnsi="Times New Roman;Times;serif"/>
                <w:color w:val="000000"/>
                <w:sz w:val="20"/>
              </w:rPr>
              <w:t xml:space="preserve">, 2025;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pPr>
            <w:r>
              <w:rPr>
                <w:rFonts w:ascii="Times New Roman;Times;serif" w:hAnsi="Times New Roman;Times;serif"/>
                <w:color w:val="000000"/>
                <w:sz w:val="20"/>
              </w:rPr>
              <w:t xml:space="preserve">ProKidney’s Current Report on Form 8-K, filed with the SEC on </w:t>
            </w:r>
            <w:hyperlink r:id="rId6">
              <w:r>
                <w:rPr>
                  <w:rStyle w:val="InternetLink"/>
                  <w:rFonts w:ascii="Times New Roman;Times;serif" w:hAnsi="Times New Roman;Times;serif"/>
                  <w:color w:val="000080"/>
                  <w:sz w:val="20"/>
                </w:rPr>
                <w:t>January 21</w:t>
              </w:r>
            </w:hyperlink>
            <w:r>
              <w:rPr>
                <w:rFonts w:ascii="Times New Roman;Times;serif" w:hAnsi="Times New Roman;Times;serif"/>
                <w:color w:val="000000"/>
                <w:sz w:val="20"/>
              </w:rPr>
              <w:t xml:space="preserve">, 2025;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ProKidney’s ordinary shares contained in ProKidney’s Registration Statement on Form 8-A, filed with the SEC on </w:t>
            </w:r>
            <w:hyperlink r:id="rId7">
              <w:r>
                <w:rPr>
                  <w:rStyle w:val="InternetLink"/>
                  <w:rFonts w:ascii="Times New Roman;Times;serif" w:hAnsi="Times New Roman;Times;serif"/>
                  <w:color w:val="000080"/>
                  <w:sz w:val="20"/>
                </w:rPr>
                <w:t>June 29</w:t>
              </w:r>
            </w:hyperlink>
            <w:r>
              <w:rPr>
                <w:rFonts w:ascii="Times New Roman;Times;serif" w:hAnsi="Times New Roman;Times;serif"/>
                <w:color w:val="000000"/>
                <w:sz w:val="20"/>
              </w:rPr>
              <w:t xml:space="preserve">, 2021,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also incorporates by reference any additional filings that ProKidney makes with the SEC under Section 13(a), 13(c), 14 or 15(d) of the Exchange Act after the date of this proxy statement/prospectus and prior to the date of the annual meeting, and thereafter until the consummation of the domestication (other than those documents or the portions of those documents furnished, including pursuant to Items 2.02 or 7.01 of any Current Report on Form 8-K or exhibits filed under Item 9.01 relating to those Items, unless expressly stated otherwise therein). Any statement contained in a document incorporated by reference into this proxy statement/prospectus will be deemed to be modified or superseded to the extent that a statement contained in any other subsequently filed document that is also, or is deemed to be, incorporated by reference into this proxy statement/prospectus conflicts with, negates, modifies or supersedes that statement. Any statement that is modified or superseded will not constitute a part of this proxy statement/prospectus, except as modified or superseded.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45101x2_424b3_121-legal_pg3"/>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DSR"/>
      <w:bookmarkEnd w:id="141"/>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records reflect that all reports which were required to be filed with the SEC pursuant to Section 16(a) of the Exchange Act, were filed on a timely basis, except that two statements of changes in beneficial ownership of securities were filed late by each of Darin Weber and Control Empresarial de Capitales S.A. de C.V. Additionally, one initial statement of beneficial ownership of securities was filed late by Aaron Cowen. </w:t>
      </w:r>
    </w:p>
    <w:p>
      <w:pPr>
        <w:pStyle w:val="TextBody"/>
        <w:bidi w:val="0"/>
        <w:spacing w:before="410" w:after="283"/>
        <w:jc w:val="center"/>
        <w:rPr>
          <w:rFonts w:ascii="Times New Roman;Times;serif" w:hAnsi="Times New Roman;Times;serif"/>
          <w:b/>
          <w:color w:val="000000"/>
          <w:sz w:val="20"/>
        </w:rPr>
      </w:pPr>
      <w:bookmarkStart w:id="142" w:name="tCOE"/>
      <w:bookmarkEnd w:id="142"/>
      <w:r>
        <w:rPr>
          <w:rFonts w:ascii="Times New Roman;Times;serif" w:hAnsi="Times New Roman;Times;serif"/>
          <w:b/>
          <w:color w:val="000000"/>
          <w:sz w:val="20"/>
        </w:rPr>
        <w:t xml:space="preserve">CODE OF ETHICS AND BUSINESS CONDUCT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of our directors, officers and employees, including our principal executive officer, principal financial officer and principal accounting officer, which is available on our website at https://investors.prokidney.com/corporate-governance/governance-overview. Our code of business conduct is a “code of ethics,” as defined in Item 406(b) of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 </w:t>
      </w:r>
    </w:p>
    <w:p>
      <w:pPr>
        <w:pStyle w:val="TextBody"/>
        <w:bidi w:val="0"/>
        <w:spacing w:before="410" w:after="283"/>
        <w:jc w:val="center"/>
        <w:rPr>
          <w:rFonts w:ascii="Times New Roman;Times;serif" w:hAnsi="Times New Roman;Times;serif"/>
          <w:b/>
          <w:color w:val="000000"/>
          <w:sz w:val="20"/>
        </w:rPr>
      </w:pPr>
      <w:bookmarkStart w:id="143" w:name="tOM"/>
      <w:bookmarkEnd w:id="143"/>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business which will be presented to the annual general meeting. If any other business is properly brought before the annual general meeting, proxies will be voted in accordance with the judgment of the persons named therein.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Winston-Salem, North Carolina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28,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45101x2_424b3_300-toc1_pg1"/>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ANNEXES </w:t>
      </w:r>
    </w:p>
    <w:tbl>
      <w:tblPr>
        <w:tblW w:w="6785" w:type="dxa"/>
        <w:jc w:val="left"/>
        <w:tblInd w:w="0" w:type="dxa"/>
        <w:tblLayout w:type="fixed"/>
        <w:tblCellMar>
          <w:top w:w="0" w:type="dxa"/>
          <w:left w:w="0" w:type="dxa"/>
          <w:bottom w:w="0" w:type="dxa"/>
          <w:right w:w="0" w:type="dxa"/>
        </w:tblCellMar>
      </w:tblPr>
      <w:tblGrid>
        <w:gridCol w:w="6350"/>
        <w:gridCol w:w="140"/>
        <w:gridCol w:w="140"/>
        <w:gridCol w:w="155"/>
      </w:tblGrid>
      <w:tr>
        <w:trPr/>
        <w:tc>
          <w:tcPr>
            <w:tcW w:w="6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r>
      <w:tr>
        <w:trPr/>
        <w:tc>
          <w:tcPr>
            <w:tcW w:w="635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80"/>
                  <w:sz w:val="20"/>
                </w:rPr>
                <w:t>Annex A</w:t>
              </w:r>
            </w:hyperlink>
            <w:r>
              <w:rPr>
                <w:rFonts w:ascii="Times New Roman;Times;serif" w:hAnsi="Times New Roman;Times;serif"/>
                <w:color w:val="000000"/>
                <w:sz w:val="20"/>
              </w:rPr>
              <w:t xml:space="preserve"> - Existing Organizational Documents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r>
      <w:tr>
        <w:trPr/>
        <w:tc>
          <w:tcPr>
            <w:tcW w:w="635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80"/>
                  <w:sz w:val="20"/>
                </w:rPr>
                <w:t>Annex B</w:t>
              </w:r>
            </w:hyperlink>
            <w:r>
              <w:rPr>
                <w:rFonts w:ascii="Times New Roman;Times;serif" w:hAnsi="Times New Roman;Times;serif"/>
                <w:color w:val="000000"/>
                <w:sz w:val="20"/>
              </w:rPr>
              <w:t xml:space="preserve"> - Form of Certificate of Incorporation of ProKidney Delaware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635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80"/>
                  <w:sz w:val="20"/>
                </w:rPr>
                <w:t>Annex C</w:t>
              </w:r>
            </w:hyperlink>
            <w:r>
              <w:rPr>
                <w:rFonts w:ascii="Times New Roman;Times;serif" w:hAnsi="Times New Roman;Times;serif"/>
                <w:color w:val="000000"/>
                <w:sz w:val="20"/>
              </w:rPr>
              <w:t xml:space="preserve"> - Form of By-Laws of ProKidney Delaware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r>
      <w:tr>
        <w:trPr/>
        <w:tc>
          <w:tcPr>
            <w:tcW w:w="6350" w:type="dxa"/>
            <w:tcBorders/>
            <w:vAlign w:val="center"/>
          </w:tcPr>
          <w:p>
            <w:pPr>
              <w:pStyle w:val="TableContents"/>
              <w:bidi w:val="0"/>
              <w:spacing w:before="0" w:after="283"/>
              <w:ind w:left="0" w:right="0" w:hanging="0"/>
              <w:jc w:val="left"/>
              <w:rPr/>
            </w:pPr>
            <w:hyperlink w:anchor="tANNXD">
              <w:r>
                <w:rPr>
                  <w:rStyle w:val="InternetLink"/>
                  <w:rFonts w:ascii="Times New Roman;Times;serif" w:hAnsi="Times New Roman;Times;serif"/>
                  <w:color w:val="000080"/>
                  <w:sz w:val="20"/>
                </w:rPr>
                <w:t>Annex D</w:t>
              </w:r>
            </w:hyperlink>
            <w:r>
              <w:rPr>
                <w:rFonts w:ascii="Times New Roman;Times;serif" w:hAnsi="Times New Roman;Times;serif"/>
                <w:color w:val="000000"/>
                <w:sz w:val="20"/>
              </w:rPr>
              <w:t xml:space="preserve"> - Form of Certificate of Corporate Domestication of ProKidney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6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45101x2_424b3_301-annexa_pg1"/>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46" w:name="tANNA"/>
      <w:bookmarkEnd w:id="146"/>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COMPANIES ACT (AS REVISED)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CAYMAN ISLANDS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COMPANY LIMITED BY SHARES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MEMORANDUM AND ARTICLES OF ASSOCIATION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PROKIDNEY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(ADOPTED BY SPECIAL RESOLUTION DATED JULY 11, 2022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EFFECTIVE ON JULY 11, 2022)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COMPANIES ACT (AS REVISED)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CAYMAN ISLANDS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COMPANY LIMITED BY SHARES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MEMORANDUM OF ASSOCIATION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PROKIDNEY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(ADOPTED BY SPECIAL RESOLUTION DATED JULY 11, 2022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EFFECTIVE ON JULY 11, 2022) </w:t>
      </w:r>
    </w:p>
    <w:tbl>
      <w:tblPr>
        <w:tblW w:w="3925" w:type="dxa"/>
        <w:jc w:val="left"/>
        <w:tblInd w:w="0" w:type="dxa"/>
        <w:tblLayout w:type="fixed"/>
        <w:tblCellMar>
          <w:top w:w="0" w:type="dxa"/>
          <w:left w:w="0" w:type="dxa"/>
          <w:bottom w:w="0" w:type="dxa"/>
          <w:right w:w="0" w:type="dxa"/>
        </w:tblCellMar>
      </w:tblPr>
      <w:tblGrid>
        <w:gridCol w:w="125"/>
        <w:gridCol w:w="380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Company is ProKidney Corp.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Registered Office of the Company shall be at the offices of Walkers Corporate Limited, 190 Elgin Avenue, George Town, Grand Cayman KY1-9008, Cayman Islands, or at such other place within the Cayman Islands as the Directors may decide.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objects for which the Company is established are unrestricted and the Company shall have full power and authority to carry out any object not prohibited by the laws of the Cayman Islands. </w:t>
            </w:r>
          </w:p>
        </w:tc>
      </w:tr>
    </w:tbl>
    <w:tbl>
      <w:tblPr>
        <w:tblW w:w="7870" w:type="dxa"/>
        <w:jc w:val="left"/>
        <w:tblInd w:w="0" w:type="dxa"/>
        <w:tblLayout w:type="fixed"/>
        <w:tblCellMar>
          <w:top w:w="0" w:type="dxa"/>
          <w:left w:w="0" w:type="dxa"/>
          <w:bottom w:w="0" w:type="dxa"/>
          <w:right w:w="0" w:type="dxa"/>
        </w:tblCellMar>
      </w:tblPr>
      <w:tblGrid>
        <w:gridCol w:w="125"/>
        <w:gridCol w:w="7745"/>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liability of each Member is limited to the amount, if any, unpaid on such Member’s shares.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 capital of the Company is US$100,500 divided into 500,000,000 Class A ordinary shares of a par value of US$0.0001 each, 500,000,000 Class B ordinary shares of a par value of US$0.0001 each and 5,000,000 preference shares of a par value of US$0.0001 each.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power to register by way of continuation as a body corporate limited by shares under the laws of any jurisdiction outside the Cayman Islands and to be deregistered in the Cayman Islands.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Capitalised terms that are not defined in this Amended and Restated Memorandum of Association bear the respective meanings given to them in the Amended and Restated Articles of Association of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45101x2_424b3_301-annexa_pg2"/>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THE COMPANIES ACT (AS REVISED)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CAYMAN ISLANDS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COMPANY LIMITED BY SHARES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ARTICLES OF ASSOCIATION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PROKIDNEY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(ADOPTED BY SPECIAL RESOLUTION DATED JULY 11, 2022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EFFECTIVE ON JULY 11, 2022) </w:t>
      </w:r>
    </w:p>
    <w:tbl>
      <w:tblPr>
        <w:tblW w:w="1390" w:type="dxa"/>
        <w:jc w:val="left"/>
        <w:tblInd w:w="0" w:type="dxa"/>
        <w:tblLayout w:type="fixed"/>
        <w:tblCellMar>
          <w:top w:w="0" w:type="dxa"/>
          <w:left w:w="0" w:type="dxa"/>
          <w:bottom w:w="0" w:type="dxa"/>
          <w:right w:w="0" w:type="dxa"/>
        </w:tblCellMar>
      </w:tblPr>
      <w:tblGrid>
        <w:gridCol w:w="125"/>
        <w:gridCol w:w="1265"/>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Interpretation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Articles Table A in the First Schedule to the Statute does not apply and, unless there is something in the subject or context inconsistent therewith: </w:t>
            </w:r>
          </w:p>
        </w:tc>
      </w:tr>
    </w:tbl>
    <w:tbl>
      <w:tblPr>
        <w:tblW w:w="10205" w:type="dxa"/>
        <w:jc w:val="left"/>
        <w:tblInd w:w="0" w:type="dxa"/>
        <w:tblLayout w:type="fixed"/>
        <w:tblCellMar>
          <w:top w:w="0" w:type="dxa"/>
          <w:left w:w="0" w:type="dxa"/>
          <w:bottom w:w="0" w:type="dxa"/>
          <w:right w:w="0" w:type="dxa"/>
        </w:tblCellMar>
      </w:tblPr>
      <w:tblGrid>
        <w:gridCol w:w="1199"/>
        <w:gridCol w:w="140"/>
        <w:gridCol w:w="140"/>
        <w:gridCol w:w="8726"/>
      </w:tblGrid>
      <w:tr>
        <w:trPr/>
        <w:tc>
          <w:tcPr>
            <w:tcW w:w="11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pPr>
            <w:r>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Affiliate”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Applicable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with respect to any person, all provisions of laws, statutes, ordinances, rules, regulations, permits, certificates, judgments, decisions, decrees or orders of any governmental authority applicable to such person.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Articles”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these amended and restated articles of association of the Company.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Audit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audit committee of the board of directors of the Company established pursuant to the Articles, or any successor committee.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Auditor”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person for the time being performing the duties of auditor of the Company (if any).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Business Combination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Business Combination Agreement dated 18 January 2022 between the Company and the Partnership.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business day”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any day other than a Saturday, a Sunday or a legal holiday or a day on which banking institutions or trust companies are authorised or obligated by law to close in New York City.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A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Class A ordinary share of a par value of US$0.0001 in the share capital of the Company. </w:t>
            </w:r>
          </w:p>
        </w:tc>
      </w:tr>
      <w:tr>
        <w:trPr/>
        <w:tc>
          <w:tcPr>
            <w:tcW w:w="11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color w:val="000000"/>
              </w:rPr>
            </w:pPr>
            <w:r>
              <w:rPr>
                <w:color w:val="000000"/>
              </w:rPr>
              <w:t> </w:t>
            </w:r>
          </w:p>
        </w:tc>
      </w:tr>
      <w:tr>
        <w:trPr/>
        <w:tc>
          <w:tcPr>
            <w:tcW w:w="11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45101x2_424b3_301-annexa_pg3"/>
        <w:bookmarkEnd w:id="1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23"/>
        <w:gridCol w:w="140"/>
        <w:gridCol w:w="140"/>
        <w:gridCol w:w="8102"/>
      </w:tblGrid>
      <w:tr>
        <w:trPr/>
        <w:tc>
          <w:tcPr>
            <w:tcW w:w="18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pPr>
            <w:r>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B PMEL RSRs”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Restricted Stock Rights issued by the Company designated as “Class B PMEL RSRs”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B Series 1 RSRs”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Restricted Stock Rights issued by the Company designated as “Class B Series 1 RSRs”.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B Series 2 RSRs”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Restricted Stock Rights issued by the Company designated as “Class B Series 2 RSRs”.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B Series 3 RSRs”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Restricted Stock Rights issued by the Company designated as “Class B Series 3 RSRs”.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Class B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Class B ordinary share of a par value of US$0.0001 in the share capital of the Company.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Clearing House”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clearing house recognised by the laws of the jurisdiction in which the Shares (or depositary receipts therefor) are listed or quoted on a stock exchange or interdealer quotation system in such jurisdiction.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Common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units of the Partnership designated as “Common Units” pursuant to the Partnership Agreement.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above named company.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Company’s Website”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website of the Company and/or its web-address or domain name (if any).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Compensation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compensation committee of the board of directors of the Company established pursuant to the Articles, or any successor committee.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Designated Stock Exchange”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any United States national securities exchange on which the securities of the Company are listed for trading, including The Nasdaq Capital Market.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each of the members of the board of directors of the Company.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any dividend (whether interim or final) resolved to be paid on Shares pursuant to the Articles.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Earnout Participants”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such persons as are entitled to receive Class B Series 1 RSRs, Class B Series 2 RSRs and Class B Series 3 RSRs on the terms and subject to the conditions of the Business Combination Agreement.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Effective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July 11, 2022. </w:t>
            </w:r>
          </w:p>
        </w:tc>
      </w:tr>
      <w:tr>
        <w:trPr/>
        <w:tc>
          <w:tcPr>
            <w:tcW w:w="1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color w:val="000000"/>
              </w:rPr>
            </w:pPr>
            <w:r>
              <w:rPr>
                <w:color w:val="000000"/>
              </w:rPr>
              <w:t> </w:t>
            </w:r>
          </w:p>
        </w:tc>
      </w:tr>
      <w:tr>
        <w:trPr/>
        <w:tc>
          <w:tcPr>
            <w:tcW w:w="18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45101x2_424b3_301-annexa_pg4"/>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7"/>
        <w:gridCol w:w="140"/>
        <w:gridCol w:w="140"/>
        <w:gridCol w:w="7778"/>
      </w:tblGrid>
      <w:tr>
        <w:trPr/>
        <w:tc>
          <w:tcPr>
            <w:tcW w:w="21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pPr>
            <w:r>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Electronic Communication”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Electronic Record”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the same meaning as in the Electronic Transactions Act.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Electronic Transactions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Electronic Transactions Act (As Revised) of the Cayman Islands.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Exchange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United States Securities Exchange Act of 1934, as amended, or any similar U.S. federal statute and the rules and regulations of the Securities and Exchange Commission thereunder, all as the same shall be in effect at the time.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Exchange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Exchange Agreement dated the Effective Date among the Company, the Partnership acting through its General Partner and certain holders of interests in the Partnership party thereto.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General Partner”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ProKidney Corp. GP Limited.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the same meaning as in the rules and regulations of the Designated Stock Exchange or in Rule 10A-3 under the Exchange Act, as the case may be.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the same meaning as in the Statute.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Memorandum”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amended and restated memorandum of association of the Company.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Nominating and Corporate Governance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nominating and corporate governance committee of the board of directors of the Company established pursuant to the Articles, or any successor committee.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person appointed to hold an office in the Company, which Officers may consist of a chairman, a chief executive officer, a president, a chief operating officer, a chief financial officer, a director of research, vice presidents, a secretary, assistant secretaries, a treasurer and such other offices as may be determined by the board of directors of the Company.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Ordinary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Paired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one Common Unit together with one Class B Share, subject to adjustment pursuant to the Partnership Agreement. </w:t>
            </w:r>
          </w:p>
        </w:tc>
      </w:tr>
      <w:tr>
        <w:trPr/>
        <w:tc>
          <w:tcPr>
            <w:tcW w:w="21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color w:val="000000"/>
              </w:rPr>
            </w:pPr>
            <w:r>
              <w:rPr>
                <w:color w:val="000000"/>
              </w:rPr>
              <w:t> </w:t>
            </w:r>
          </w:p>
        </w:tc>
      </w:tr>
      <w:tr>
        <w:trPr/>
        <w:tc>
          <w:tcPr>
            <w:tcW w:w="21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7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45101x2_424b3_301-annexa_pg5"/>
        <w:bookmarkEnd w:id="1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72"/>
        <w:gridCol w:w="140"/>
        <w:gridCol w:w="140"/>
        <w:gridCol w:w="7853"/>
      </w:tblGrid>
      <w:tr>
        <w:trPr/>
        <w:tc>
          <w:tcPr>
            <w:tcW w:w="20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pPr>
            <w:r>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Partnership”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ProKidney LP, a limited partnership organized under the laws of Ireland.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Partnership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Second Amended and Restated Limited Partnership Deed of the Partnership, by and among the General Partner, the other Post-Combination Partnership Partners and the other persons that may become parties thereto from time to time, as the same may be amended, restated, supplemented and/or otherwise modified from time to time.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PMEL Post-Combination Company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such persons as are entitled to receive Class B PMEL RSRs on the terms and subject to the conditions of the Business Combination Agreement.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Post-Combination Partnership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holders of Common Units that are party to the Partnership Agreement from time to time.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Preference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preference share of a par value of US$0.0001 in the share capital of the Company.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Register of Members”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register of Members of the Company maintained in accordance with the Statute and includes (except where otherwise stated) any branch or duplicate register of Members.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Registered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registered office for the time being of the Company.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Restricted Stock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Class B Series 1 RSRs, the Class B Series 2 RSRs, the Class B Series 3 RSRs and the Class B PMEL RSRs.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Seal”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common seal of the Company and includes every duplicate seal.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Securities and Exchange Commission”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United States Securities and Exchange Commission.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a Class A Share, a Class B Share, or a Preference Share and includes a fraction of a share in the Company.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Special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the same meaning as in the Statute, and includes a unanimous written resolution.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Statute”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the Companies Act (As Revised) of the Cayman Islands.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200" w:right="0" w:hanging="200"/>
              <w:jc w:val="left"/>
              <w:rPr>
                <w:color w:val="000000"/>
              </w:rPr>
            </w:pPr>
            <w:r>
              <w:rPr>
                <w:color w:val="000000"/>
              </w:rPr>
              <w:t>“</w:t>
            </w:r>
            <w:r>
              <w:rPr>
                <w:rFonts w:ascii="Times New Roman;Times;serif" w:hAnsi="Times New Roman;Times;serif"/>
                <w:b/>
                <w:color w:val="000000"/>
                <w:sz w:val="20"/>
              </w:rPr>
              <w:t>Tax Filing Authorised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means such person as any Director shall designate from time to time, acting severally. </w:t>
            </w:r>
          </w:p>
        </w:tc>
      </w:tr>
      <w:tr>
        <w:trPr/>
        <w:tc>
          <w:tcPr>
            <w:tcW w:w="20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color w:val="000000"/>
              </w:rPr>
            </w:pPr>
            <w:r>
              <w:rPr>
                <w:color w:val="000000"/>
              </w:rPr>
              <w:t> </w:t>
            </w:r>
          </w:p>
        </w:tc>
      </w:tr>
      <w:tr>
        <w:trPr/>
        <w:tc>
          <w:tcPr>
            <w:tcW w:w="2072"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20"/>
              </w:rPr>
              <w:t>Treasury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means a Share held in the name of the Company as a treasury share in accordance with the Statute.</w:t>
            </w:r>
          </w:p>
        </w:tc>
      </w:tr>
      <w:tr>
        <w:trPr/>
        <w:tc>
          <w:tcPr>
            <w:tcW w:w="20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3" w:type="dxa"/>
            <w:tcBorders/>
            <w:vAlign w:val="center"/>
          </w:tcPr>
          <w:p>
            <w:pPr>
              <w:pStyle w:val="TableContents"/>
              <w:bidi w:val="0"/>
              <w:spacing w:before="0" w:after="0"/>
              <w:jc w:val="left"/>
              <w:rPr/>
            </w:pPr>
            <w:r>
              <w:rPr/>
              <w:t> </w:t>
            </w:r>
          </w:p>
        </w:tc>
      </w:tr>
    </w:tbl>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Articles: </w:t>
            </w:r>
          </w:p>
        </w:tc>
      </w:tr>
    </w:tbl>
    <w:tbl>
      <w:tblPr>
        <w:tblW w:w="6700" w:type="dxa"/>
        <w:jc w:val="left"/>
        <w:tblInd w:w="0" w:type="dxa"/>
        <w:tblLayout w:type="fixed"/>
        <w:tblCellMar>
          <w:top w:w="0" w:type="dxa"/>
          <w:left w:w="0" w:type="dxa"/>
          <w:bottom w:w="0" w:type="dxa"/>
          <w:right w:w="0" w:type="dxa"/>
        </w:tblCellMar>
      </w:tblPr>
      <w:tblGrid>
        <w:gridCol w:w="230"/>
        <w:gridCol w:w="64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words importing the singular number include the plural number and vice versa; </w:t>
            </w:r>
          </w:p>
        </w:tc>
      </w:tr>
    </w:tbl>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words importing the masculine gender include the feminine gender;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45101x2_424b3_301-annexa_pg6"/>
        <w:bookmarkEnd w:id="151"/>
        <w:r>
          <w:rPr>
            <w:rStyle w:val="InternetLink"/>
            <w:rFonts w:ascii="Times New Roman;Times;Serif" w:hAnsi="Times New Roman;Times;Serif"/>
            <w:b/>
            <w:caps w:val="false"/>
            <w:smallCaps w:val="false"/>
            <w:color w:val="000000"/>
            <w:sz w:val="16"/>
          </w:rPr>
          <w:t>TABLE OF CONTENTS</w:t>
        </w:r>
      </w:hyperlink>
    </w:p>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words importing persons include corporations as well as any other legal or natural person;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1"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written” and “in writing” include all modes of representing or reproducing words in visible form, including in the form of an Electronic Record; </w:t>
            </w:r>
          </w:p>
        </w:tc>
      </w:tr>
    </w:tbl>
    <w:tbl>
      <w:tblPr>
        <w:tblW w:w="7135" w:type="dxa"/>
        <w:jc w:val="left"/>
        <w:tblInd w:w="0" w:type="dxa"/>
        <w:tblLayout w:type="fixed"/>
        <w:tblCellMar>
          <w:top w:w="0" w:type="dxa"/>
          <w:left w:w="0" w:type="dxa"/>
          <w:bottom w:w="0" w:type="dxa"/>
          <w:right w:w="0" w:type="dxa"/>
        </w:tblCellMar>
      </w:tblPr>
      <w:tblGrid>
        <w:gridCol w:w="230"/>
        <w:gridCol w:w="69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69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shall” shall be construed as imperative and “may” shall be construed as permissive;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references to provisions of any law or regulation shall be construed as references to those provisions as amended, modified, re-enacted or replaced;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phrase introduced by the terms “including”, “include”, “in particular” or any similar expression shall be construed as illustrative and shall not limit the sense of the words preceding those terms;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 </w:t>
            </w:r>
          </w:p>
        </w:tc>
      </w:tr>
    </w:tbl>
    <w:tbl>
      <w:tblPr>
        <w:tblW w:w="7300" w:type="dxa"/>
        <w:jc w:val="left"/>
        <w:tblInd w:w="0" w:type="dxa"/>
        <w:tblLayout w:type="fixed"/>
        <w:tblCellMar>
          <w:top w:w="0" w:type="dxa"/>
          <w:left w:w="0" w:type="dxa"/>
          <w:bottom w:w="0" w:type="dxa"/>
          <w:right w:w="0" w:type="dxa"/>
        </w:tblCellMar>
      </w:tblPr>
      <w:tblGrid>
        <w:gridCol w:w="200"/>
        <w:gridCol w:w="710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headings are inserted for reference only and shall be ignored in construing the Articles; </w:t>
            </w:r>
          </w:p>
        </w:tc>
      </w:tr>
    </w:tbl>
    <w:tbl>
      <w:tblPr>
        <w:tblW w:w="8620" w:type="dxa"/>
        <w:jc w:val="left"/>
        <w:tblInd w:w="0" w:type="dxa"/>
        <w:tblLayout w:type="fixed"/>
        <w:tblCellMar>
          <w:top w:w="0" w:type="dxa"/>
          <w:left w:w="0" w:type="dxa"/>
          <w:bottom w:w="0" w:type="dxa"/>
          <w:right w:w="0" w:type="dxa"/>
        </w:tblCellMar>
      </w:tblPr>
      <w:tblGrid>
        <w:gridCol w:w="200"/>
        <w:gridCol w:w="84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requirements as to delivery under the Articles include delivery in the form of an Electronic Record;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requirements as to execution or signature under the Articles including the execution of the Articles themselves can be satisfied in the form of an electronic signature as defined in the Electronic Transactions Act; </w:t>
            </w:r>
          </w:p>
        </w:tc>
      </w:tr>
    </w:tbl>
    <w:tbl>
      <w:tblPr>
        <w:tblW w:w="6025" w:type="dxa"/>
        <w:jc w:val="left"/>
        <w:tblInd w:w="0" w:type="dxa"/>
        <w:tblLayout w:type="fixed"/>
        <w:tblCellMar>
          <w:top w:w="0" w:type="dxa"/>
          <w:left w:w="0" w:type="dxa"/>
          <w:bottom w:w="0" w:type="dxa"/>
          <w:right w:w="0" w:type="dxa"/>
        </w:tblCellMar>
      </w:tblPr>
      <w:tblGrid>
        <w:gridCol w:w="200"/>
        <w:gridCol w:w="58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sections 8 and 19(3) of the Electronic Transactions Act shall not apply;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 “clear days” in relation to the period of a notice means that period excluding the day when the notice is received or deemed to be received and the day for which it is given or on which it is to take effect; and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 “holder” in relation to a Share means a person whose name is entered in the Register of Members as the holder of such Share. </w:t>
            </w:r>
          </w:p>
        </w:tc>
      </w:tr>
    </w:tbl>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24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Commencement of Business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of the Company may be commenced as soon after incorporation of the Company as the Directors shall see fit.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pay, out of the capital or any other monies of the Company, all expenses incurred in or about the formation and establishment of the Company, including the expenses of registration. </w:t>
            </w:r>
          </w:p>
        </w:tc>
      </w:tr>
    </w:tbl>
    <w:tbl>
      <w:tblPr>
        <w:tblW w:w="3160" w:type="dxa"/>
        <w:jc w:val="left"/>
        <w:tblInd w:w="0" w:type="dxa"/>
        <w:tblLayout w:type="fixed"/>
        <w:tblCellMar>
          <w:top w:w="0" w:type="dxa"/>
          <w:left w:w="0" w:type="dxa"/>
          <w:bottom w:w="0" w:type="dxa"/>
          <w:right w:w="0" w:type="dxa"/>
        </w:tblCellMar>
      </w:tblPr>
      <w:tblGrid>
        <w:gridCol w:w="125"/>
        <w:gridCol w:w="3035"/>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30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Issue of Shares and other Securities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Article 3.2, Article 3.3, Article 3.4,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from time to time issue Class A Shares on the terms and subject to the conditions set forth in the Exchange Agreement. The Company shall at all times reserve and keep available out of its authorised but unissued share capital, such number of Class A Shares as may be issued upon any exchange pursuant to and in accordance with the Exchange Agreement; provided that nothing contained herein shall be construed to preclude the Company from satisfying its obligations in respect of the Exchange Agreement by the sale of Class A Shares which are held in the treasury of the Company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45101x2_424b3_301-annexa_pg7"/>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 held by any of its subsidiaries or by the issuance/sale of purchased Class A Shares (which may or may not be held in the treasury of the Company or held by any of its subsidiaries), or by delivery of cash in accordance with the Exchange Agreement.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Class A Shares that may be issued upon any such exchange pursuant to the Exchange Agreement shall, upon issuance, be validly issued, fully paid and non-assessable. All Class B Shares corresponding to the Class A Shares issued upon any such exchange shall automatically and without further action on the part of the Company or any holder of such Class B Shares be forfeited to the Company and cancelled upon such an Exchange.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3.4</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Common Units are issued pursuant to the Partnership Agreement at any time and from time to time to any person other than the Company or a wholly-owned subsidiary of the Company, the Company shall issue an equivalent number of Class B Shares at par value to the same person to which such Common Units are issued.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Article 19, 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3.6</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 </w:t>
            </w:r>
          </w:p>
        </w:tc>
      </w:tr>
    </w:tbl>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not issue Shares to bearer. </w:t>
            </w:r>
          </w:p>
        </w:tc>
      </w:tr>
    </w:tbl>
    <w:tbl>
      <w:tblPr>
        <w:tblW w:w="1435" w:type="dxa"/>
        <w:jc w:val="left"/>
        <w:tblInd w:w="0" w:type="dxa"/>
        <w:tblLayout w:type="fixed"/>
        <w:tblCellMar>
          <w:top w:w="0" w:type="dxa"/>
          <w:left w:w="0" w:type="dxa"/>
          <w:bottom w:w="0" w:type="dxa"/>
          <w:right w:w="0" w:type="dxa"/>
        </w:tblCellMar>
      </w:tblPr>
      <w:tblGrid>
        <w:gridCol w:w="125"/>
        <w:gridCol w:w="131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3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Class A Shares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A Shares shall carry the right to receive notice of and to attend, to speak at and to vote at any general meeting of the Company.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winding up or dissolution of the Company, whether voluntary or involuntary or for the purposes of a reorganisation or otherwise or upon any distribution of capital, the Class A Shares shall, subject to any Applicable Law and the rights, if any, of the holders of any outstanding Preference Shares, carry the right to receive all the remaining assets of the Company available for distribution to the Members, ratably in proportion to the number of Class A Shares held by them.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A Shares shall, subject to any Applicable Law and the rights, if any, of the holders of any outstanding Preference Shares, carry the right to receive such dividends and other distributions (payable in cash, property or shares of the Company) when, as and if declared thereon by the Directors from time to time out of any assets or funds of the Company legally available therefor, and shall share equally on a per share basis in such dividends and distributions. </w:t>
            </w:r>
          </w:p>
        </w:tc>
      </w:tr>
    </w:tbl>
    <w:tbl>
      <w:tblPr>
        <w:tblW w:w="1435" w:type="dxa"/>
        <w:jc w:val="left"/>
        <w:tblInd w:w="0" w:type="dxa"/>
        <w:tblLayout w:type="fixed"/>
        <w:tblCellMar>
          <w:top w:w="0" w:type="dxa"/>
          <w:left w:w="0" w:type="dxa"/>
          <w:bottom w:w="0" w:type="dxa"/>
          <w:right w:w="0" w:type="dxa"/>
        </w:tblCellMar>
      </w:tblPr>
      <w:tblGrid>
        <w:gridCol w:w="125"/>
        <w:gridCol w:w="131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13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Class B Shares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B Shares shall carry the right to receive notice of and to attend, to speak at and to vote at any general meeting of the Company.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winding up or dissolution of the Company, whether voluntary or involuntary or for the purposes of a reorganisation or otherwise or upon any distribution of capital, holders of Class B Shares shall be entitled,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the holders of Class A Shares, to an amount equal to the capital paid up on such Class B Shares. Class B Shares shall not carry any other right to participate in the profits or assets of the Company.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B Shares shall not carry the right to receive dividends or other distributions, and dividends and other distributions shall not be declared or paid on the Class B Shares, except by way of issue of further Class B Shares as a result of capitalisation pursuant to Article 42.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5.4</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B Shares shall automatically and without further action on the part of the Company or any holder of such Class B Share be forfeited and cancelled on the terms and subject to the set forth in the Exchange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45101x2_424b3_301-annexa_pg8"/>
        <w:bookmarkEnd w:id="153"/>
        <w:r>
          <w:rPr>
            <w:rStyle w:val="InternetLink"/>
            <w:rFonts w:ascii="Times New Roman;Times;Serif" w:hAnsi="Times New Roman;Times;Serif"/>
            <w:b/>
            <w:caps w:val="false"/>
            <w:smallCaps w:val="false"/>
            <w:color w:val="000000"/>
            <w:sz w:val="16"/>
          </w:rPr>
          <w:t>TABLE OF CONTENTS</w:t>
        </w:r>
      </w:hyperlink>
    </w:p>
    <w:tbl>
      <w:tblPr>
        <w:tblW w:w="1945" w:type="dxa"/>
        <w:jc w:val="left"/>
        <w:tblInd w:w="0" w:type="dxa"/>
        <w:tblLayout w:type="fixed"/>
        <w:tblCellMar>
          <w:top w:w="0" w:type="dxa"/>
          <w:left w:w="0" w:type="dxa"/>
          <w:bottom w:w="0" w:type="dxa"/>
          <w:right w:w="0" w:type="dxa"/>
        </w:tblCellMar>
      </w:tblPr>
      <w:tblGrid>
        <w:gridCol w:w="125"/>
        <w:gridCol w:w="182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Register of Members </w:t>
            </w:r>
          </w:p>
        </w:tc>
      </w:tr>
    </w:tbl>
    <w:tbl>
      <w:tblPr>
        <w:tblW w:w="9370" w:type="dxa"/>
        <w:jc w:val="left"/>
        <w:tblInd w:w="0" w:type="dxa"/>
        <w:tblLayout w:type="fixed"/>
        <w:tblCellMar>
          <w:top w:w="0" w:type="dxa"/>
          <w:left w:w="0" w:type="dxa"/>
          <w:bottom w:w="0" w:type="dxa"/>
          <w:right w:w="0" w:type="dxa"/>
        </w:tblCellMar>
      </w:tblPr>
      <w:tblGrid>
        <w:gridCol w:w="275"/>
        <w:gridCol w:w="909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6.1</w:t>
            </w:r>
          </w:p>
        </w:tc>
        <w:tc>
          <w:tcPr>
            <w:tcW w:w="9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maintain or cause to be maintained the Register of Members in accordance with the Statute.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 </w:t>
            </w:r>
          </w:p>
        </w:tc>
      </w:tr>
    </w:tbl>
    <w:tbl>
      <w:tblPr>
        <w:tblW w:w="4570" w:type="dxa"/>
        <w:jc w:val="left"/>
        <w:tblInd w:w="0" w:type="dxa"/>
        <w:tblLayout w:type="fixed"/>
        <w:tblCellMar>
          <w:top w:w="0" w:type="dxa"/>
          <w:left w:w="0" w:type="dxa"/>
          <w:bottom w:w="0" w:type="dxa"/>
          <w:right w:w="0" w:type="dxa"/>
        </w:tblCellMar>
      </w:tblPr>
      <w:tblGrid>
        <w:gridCol w:w="125"/>
        <w:gridCol w:w="4445"/>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4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Closing Register of Members or Fixing Record Date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40 days.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 </w:t>
            </w:r>
          </w:p>
        </w:tc>
      </w:tr>
    </w:tbl>
    <w:tbl>
      <w:tblPr>
        <w:tblW w:w="2080" w:type="dxa"/>
        <w:jc w:val="left"/>
        <w:tblInd w:w="0" w:type="dxa"/>
        <w:tblLayout w:type="fixed"/>
        <w:tblCellMar>
          <w:top w:w="0" w:type="dxa"/>
          <w:left w:w="0" w:type="dxa"/>
          <w:bottom w:w="0" w:type="dxa"/>
          <w:right w:w="0" w:type="dxa"/>
        </w:tblCellMar>
      </w:tblPr>
      <w:tblGrid>
        <w:gridCol w:w="125"/>
        <w:gridCol w:w="1955"/>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19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Certificates for Shares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not be bound to issue more than one certificate for Shares held jointly by more than one person and delivery of a certificate to one joint holder shall be a sufficient delivery to all of them.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8.4</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Every share certificate sent in accordance with the Articles will be sent at the risk of the Member or other person entitled to the certificate. The Company will not be responsible for any share certificate lost or delayed in the course of delivery.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8.5</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45101x2_424b3_301-annexa_pg9"/>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 Share transfer which the Company is for the time being entitled to refuse to register and does not register, after lodgement of a Share transfer with the Company. </w:t>
      </w:r>
    </w:p>
    <w:tbl>
      <w:tblPr>
        <w:tblW w:w="1765" w:type="dxa"/>
        <w:jc w:val="left"/>
        <w:tblInd w:w="0" w:type="dxa"/>
        <w:tblLayout w:type="fixed"/>
        <w:tblCellMar>
          <w:top w:w="0" w:type="dxa"/>
          <w:left w:w="0" w:type="dxa"/>
          <w:bottom w:w="0" w:type="dxa"/>
          <w:right w:w="0" w:type="dxa"/>
        </w:tblCellMar>
      </w:tblPr>
      <w:tblGrid>
        <w:gridCol w:w="125"/>
        <w:gridCol w:w="164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16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Transfer of Shares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9.1</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Subject to the terms of the Articles, including Article 9.2,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9.2</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holder of Class B Shares may transfer Class B Shares to any person unless such holder at the same time transfers a corresponding number of Common Units to the same person and otherwise in accordance with the provisions of the Partnership Agreement. If any outstanding Class B Share ceases to be held by a holder of the corresponding Common Unit such Class B Share shall automatically and without further action on the part of the Company or any holder of such Class B Share be forfeited to the Company for no consideration and cancelled.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9.3</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 </w:t>
            </w:r>
          </w:p>
        </w:tc>
      </w:tr>
    </w:tbl>
    <w:tbl>
      <w:tblPr>
        <w:tblW w:w="4495" w:type="dxa"/>
        <w:jc w:val="left"/>
        <w:tblInd w:w="0" w:type="dxa"/>
        <w:tblLayout w:type="fixed"/>
        <w:tblCellMar>
          <w:top w:w="0" w:type="dxa"/>
          <w:left w:w="0" w:type="dxa"/>
          <w:bottom w:w="0" w:type="dxa"/>
          <w:right w:w="0" w:type="dxa"/>
        </w:tblCellMar>
      </w:tblPr>
      <w:tblGrid>
        <w:gridCol w:w="230"/>
        <w:gridCol w:w="42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4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Repurchase and Surrender of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this Article 10 shall not require further approval of the Members.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make a payment in respect of the redemption or purchase of its own Shares in any manner permitted by the Statute, including out of capital. </w:t>
            </w:r>
          </w:p>
        </w:tc>
      </w:tr>
    </w:tbl>
    <w:tbl>
      <w:tblPr>
        <w:tblW w:w="7210" w:type="dxa"/>
        <w:jc w:val="left"/>
        <w:tblInd w:w="0" w:type="dxa"/>
        <w:tblLayout w:type="fixed"/>
        <w:tblCellMar>
          <w:top w:w="0" w:type="dxa"/>
          <w:left w:w="0" w:type="dxa"/>
          <w:bottom w:w="0" w:type="dxa"/>
          <w:right w:w="0" w:type="dxa"/>
        </w:tblCellMar>
      </w:tblPr>
      <w:tblGrid>
        <w:gridCol w:w="380"/>
        <w:gridCol w:w="683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accept the surrender for no consideration of any fully paid Share. </w:t>
            </w:r>
          </w:p>
        </w:tc>
      </w:tr>
    </w:tbl>
    <w:tbl>
      <w:tblPr>
        <w:tblW w:w="1705" w:type="dxa"/>
        <w:jc w:val="left"/>
        <w:tblInd w:w="0" w:type="dxa"/>
        <w:tblLayout w:type="fixed"/>
        <w:tblCellMar>
          <w:top w:w="0" w:type="dxa"/>
          <w:left w:w="0" w:type="dxa"/>
          <w:bottom w:w="0" w:type="dxa"/>
          <w:right w:w="0" w:type="dxa"/>
        </w:tblCellMar>
      </w:tblPr>
      <w:tblGrid>
        <w:gridCol w:w="230"/>
        <w:gridCol w:w="14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4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Treasury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prior to the purchase, redemption or surrender of any Share, determine that such Share shall be held as a Treasury Share.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determine to cancel a Treasury Share or transfer a Treasury Share on such terms as they think proper (including, without limitation, for nil consideration).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45101x2_424b3_301-annexa_pg10"/>
        <w:bookmarkEnd w:id="155"/>
        <w:r>
          <w:rPr>
            <w:rStyle w:val="InternetLink"/>
            <w:rFonts w:ascii="Times New Roman;Times;Serif" w:hAnsi="Times New Roman;Times;Serif"/>
            <w:b/>
            <w:caps w:val="false"/>
            <w:smallCaps w:val="false"/>
            <w:color w:val="000000"/>
            <w:sz w:val="16"/>
          </w:rPr>
          <w:t>TABLE OF CONTENTS</w:t>
        </w:r>
      </w:hyperlink>
    </w:p>
    <w:tbl>
      <w:tblPr>
        <w:tblW w:w="2740" w:type="dxa"/>
        <w:jc w:val="left"/>
        <w:tblInd w:w="0" w:type="dxa"/>
        <w:tblLayout w:type="fixed"/>
        <w:tblCellMar>
          <w:top w:w="0" w:type="dxa"/>
          <w:left w:w="0" w:type="dxa"/>
          <w:bottom w:w="0" w:type="dxa"/>
          <w:right w:w="0" w:type="dxa"/>
        </w:tblCellMar>
      </w:tblPr>
      <w:tblGrid>
        <w:gridCol w:w="230"/>
        <w:gridCol w:w="2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2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Variation of Rights of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an adverse effect upon such rights (it being noted that a variation to the rights attached to the Class B Shares shall be deemed to be an adverse variation to rights attached to the Class A Shares); otherwise, any such variation shall be made only with the consent in writing of the holders of not less than three fourths of the issued Shares of that class, or with the approval of a resolution passed by a majority of not less than three fourths of the issued Shares of that class at a separate meeting of the holders of the Shares of that class. For the avoidance of doubt, the Directors reserve the right, notwithstanding that any such variation may not have an adverse effect, to obtain consent from the holders of Shares of the relevant class. To any such meeting all the provisions of the Articles relating to general meetings shall apply </w:t>
            </w:r>
            <w:r>
              <w:rPr>
                <w:rFonts w:ascii="Times New Roman;Times;serif" w:hAnsi="Times New Roman;Times;serif"/>
                <w:i/>
                <w:color w:val="000000"/>
                <w:sz w:val="20"/>
              </w:rPr>
              <w:t>mutatis mutandis</w:t>
            </w:r>
            <w:r>
              <w:rPr>
                <w:rFonts w:ascii="Times New Roman;Times;serif" w:hAnsi="Times New Roman;Times;serif"/>
                <w:color w:val="000000"/>
                <w:sz w:val="20"/>
              </w:rPr>
              <w:t xml:space="preserve">, except that the necessary quorum shall be one or more persons holding or representing by proxy at least one third of the issued Shares of the class and that any holder of Shares of the class present in person or by proxy may demand a poll.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 </w:t>
            </w:r>
          </w:p>
        </w:tc>
      </w:tr>
    </w:tbl>
    <w:tbl>
      <w:tblPr>
        <w:tblW w:w="2830" w:type="dxa"/>
        <w:jc w:val="left"/>
        <w:tblInd w:w="0" w:type="dxa"/>
        <w:tblLayout w:type="fixed"/>
        <w:tblCellMar>
          <w:top w:w="0" w:type="dxa"/>
          <w:left w:w="0" w:type="dxa"/>
          <w:bottom w:w="0" w:type="dxa"/>
          <w:right w:w="0" w:type="dxa"/>
        </w:tblCellMar>
      </w:tblPr>
      <w:tblGrid>
        <w:gridCol w:w="230"/>
        <w:gridCol w:w="26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26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Commission on Sale of Shares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 </w:t>
      </w:r>
    </w:p>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22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Non Recognition of Trusts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Lien on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 </w:t>
            </w:r>
          </w:p>
        </w:tc>
      </w:tr>
    </w:tbl>
    <w:tbl>
      <w:tblPr>
        <w:tblW w:w="8350" w:type="dxa"/>
        <w:jc w:val="left"/>
        <w:tblInd w:w="0" w:type="dxa"/>
        <w:tblLayout w:type="fixed"/>
        <w:tblCellMar>
          <w:top w:w="0" w:type="dxa"/>
          <w:left w:w="0" w:type="dxa"/>
          <w:bottom w:w="0" w:type="dxa"/>
          <w:right w:w="0" w:type="dxa"/>
        </w:tblCellMar>
      </w:tblPr>
      <w:tblGrid>
        <w:gridCol w:w="380"/>
        <w:gridCol w:w="797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15.3</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give effect to any such sale the Directors may authorise any person to execute an instrument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45101x2_424b3_301-annexa_pg1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 </w:t>
            </w:r>
          </w:p>
        </w:tc>
      </w:tr>
    </w:tbl>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1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Call on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Subject to the terms of the allotment and issue of any Shares, the Directors may make calls upon the Members in respect of any monies unpaid 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call shall be deemed to have been made at the time when the resolution of the Directors authorising such call was passed. </w:t>
            </w:r>
          </w:p>
        </w:tc>
      </w:tr>
    </w:tbl>
    <w:tbl>
      <w:tblPr>
        <w:tblW w:w="8305" w:type="dxa"/>
        <w:jc w:val="left"/>
        <w:tblInd w:w="0" w:type="dxa"/>
        <w:tblLayout w:type="fixed"/>
        <w:tblCellMar>
          <w:top w:w="0" w:type="dxa"/>
          <w:left w:w="0" w:type="dxa"/>
          <w:bottom w:w="0" w:type="dxa"/>
          <w:right w:w="0" w:type="dxa"/>
        </w:tblCellMar>
      </w:tblPr>
      <w:tblGrid>
        <w:gridCol w:w="380"/>
        <w:gridCol w:w="79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16.3</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joint holders of a Share shall be jointly and severally liable to pay all calls in respect thereof.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issue Shares with different terms as to the amount and times of payment of calls, or the interest to be paid.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such amount paid in advance of calls shall entitle the Member paying such amount to any portion of a Dividend or other distribution payable in respect of any period prior to the date upon which such amount would, but for such payment, become payable. </w:t>
            </w:r>
          </w:p>
        </w:tc>
      </w:tr>
    </w:tbl>
    <w:tbl>
      <w:tblPr>
        <w:tblW w:w="1990" w:type="dxa"/>
        <w:jc w:val="left"/>
        <w:tblInd w:w="0" w:type="dxa"/>
        <w:tblLayout w:type="fixed"/>
        <w:tblCellMar>
          <w:top w:w="0" w:type="dxa"/>
          <w:left w:w="0" w:type="dxa"/>
          <w:bottom w:w="0" w:type="dxa"/>
          <w:right w:w="0" w:type="dxa"/>
        </w:tblCellMar>
      </w:tblPr>
      <w:tblGrid>
        <w:gridCol w:w="230"/>
        <w:gridCol w:w="17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w:t>
            </w:r>
          </w:p>
        </w:tc>
        <w:tc>
          <w:tcPr>
            <w:tcW w:w="17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Forfeiture of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45101x2_424b3_301-annexa_pg12"/>
        <w:bookmarkEnd w:id="1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w:t>
            </w:r>
          </w:p>
        </w:tc>
        <w:tc>
          <w:tcPr>
            <w:tcW w:w="2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Transmission of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18.3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45101x2_424b3_301-annexa_pg13"/>
        <w:bookmarkEnd w:id="158"/>
        <w:r>
          <w:rPr>
            <w:rStyle w:val="InternetLink"/>
            <w:rFonts w:ascii="Times New Roman;Times;Serif" w:hAnsi="Times New Roman;Times;Serif"/>
            <w:b/>
            <w:caps w:val="false"/>
            <w:smallCaps w:val="false"/>
            <w:color w:val="000000"/>
            <w:sz w:val="16"/>
          </w:rPr>
          <w:t>TABLE OF CONTENTS</w:t>
        </w:r>
      </w:hyperlink>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19</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Restricted Stock Rights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19.1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issued Restricted Stock Rights to certain Earnout Participants and PMEL Post-Combination Company Unitholders on the terms and subject to the conditions set forth in the Business Combination Agreement. At such time and from time to time if and as Restricted Stock Rights vest, the Company shall issue one Class B Share in satisfaction of its obligations in respect of each such Restricted Stock Right to the Earnout Participants or PMEL Post-Combination Company Unitholders, as applicable, on the terms and subject to the conditions set forth in the Business Combination Agreement and without the need for further action on the part of Company or any Earnout Participant or PMEL Post-Combination Company Unitholder, as applicable, and the Company shall forthwith on the issue of such Class B Shares enter the relevant Earnout Participant or PMEL Post-Combination Company Unitholder, as applicable, in the Register of Members as the holder of such Class B Shares.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19.2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Holder of Restricted Stock Rights shall have any right as a Member (including any right to attend meetings, vote, or receive any dividend, distribution or other payment of any kind in respect of its Restricted Stock Rights, or any Class B Shares issuable in respect thereof), in each case, unless and until such Class B Shares have been issued and recorded on the Register of Members. </w:t>
            </w:r>
          </w:p>
        </w:tc>
      </w:tr>
    </w:tbl>
    <w:tbl>
      <w:tblPr>
        <w:tblW w:w="7315" w:type="dxa"/>
        <w:jc w:val="left"/>
        <w:tblInd w:w="0" w:type="dxa"/>
        <w:tblLayout w:type="fixed"/>
        <w:tblCellMar>
          <w:top w:w="0" w:type="dxa"/>
          <w:left w:w="0" w:type="dxa"/>
          <w:bottom w:w="0" w:type="dxa"/>
          <w:right w:w="0" w:type="dxa"/>
        </w:tblCellMar>
      </w:tblPr>
      <w:tblGrid>
        <w:gridCol w:w="230"/>
        <w:gridCol w:w="70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20</w:t>
            </w:r>
          </w:p>
        </w:tc>
        <w:tc>
          <w:tcPr>
            <w:tcW w:w="70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Amendments of Memorandum and Articles of Association and Alteration of Capital </w:t>
            </w:r>
          </w:p>
        </w:tc>
      </w:tr>
    </w:tbl>
    <w:tbl>
      <w:tblPr>
        <w:tblW w:w="4015" w:type="dxa"/>
        <w:jc w:val="left"/>
        <w:tblInd w:w="0" w:type="dxa"/>
        <w:tblLayout w:type="fixed"/>
        <w:tblCellMar>
          <w:top w:w="0" w:type="dxa"/>
          <w:left w:w="0" w:type="dxa"/>
          <w:bottom w:w="0" w:type="dxa"/>
          <w:right w:w="0" w:type="dxa"/>
        </w:tblCellMar>
      </w:tblPr>
      <w:tblGrid>
        <w:gridCol w:w="380"/>
        <w:gridCol w:w="363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by Ordinary Resolution: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its share capital by such sum as the Ordinary Resolution shall prescribe and with such rights, priorities and privileges annexed thereto, as the Company in general meeting may determine;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consolidate and divide all or any of its share capital into Shares of larger amount than its existing Shares; </w:t>
            </w:r>
          </w:p>
        </w:tc>
      </w:tr>
    </w:tbl>
    <w:tbl>
      <w:tblPr>
        <w:tblW w:w="9730" w:type="dxa"/>
        <w:jc w:val="left"/>
        <w:tblInd w:w="0" w:type="dxa"/>
        <w:tblLayout w:type="fixed"/>
        <w:tblCellMar>
          <w:top w:w="0" w:type="dxa"/>
          <w:left w:w="0" w:type="dxa"/>
          <w:bottom w:w="0" w:type="dxa"/>
          <w:right w:w="0" w:type="dxa"/>
        </w:tblCellMar>
      </w:tblPr>
      <w:tblGrid>
        <w:gridCol w:w="230"/>
        <w:gridCol w:w="950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convert all or any of its paid-up Shares into stock, and reconvert that stock into paid-up Shares of any denomination;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subdivision of its existing Shares or any of them divide the whole or any part of its share capital into Shares of smaller amount than is fixed by the Memorandum or into Shares without par value; and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cancel any Shares that at the date of the passing of the Ordinary Resolution have not been taken or agreed to be taken by any person and diminish the amount of its share capital by the amount of the Shares so cancelled.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20.2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new Shares created in accordance with the provisions of this Article 20 shall be subject to the same provisions of the Articles with reference to the payment of calls, liens, transfer, transmission, forfeiture and otherwise as the Shares in the original share capital.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Statute, the provisions of the Articles as regards the matters to be dealt with by Ordinary Resolution, the Company may by Special Resolution: </w:t>
            </w:r>
          </w:p>
        </w:tc>
      </w:tr>
    </w:tbl>
    <w:tbl>
      <w:tblPr>
        <w:tblW w:w="1660" w:type="dxa"/>
        <w:jc w:val="left"/>
        <w:tblInd w:w="0" w:type="dxa"/>
        <w:tblLayout w:type="fixed"/>
        <w:tblCellMar>
          <w:top w:w="0" w:type="dxa"/>
          <w:left w:w="0" w:type="dxa"/>
          <w:bottom w:w="0" w:type="dxa"/>
          <w:right w:w="0" w:type="dxa"/>
        </w:tblCellMar>
      </w:tblPr>
      <w:tblGrid>
        <w:gridCol w:w="230"/>
        <w:gridCol w:w="14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 its name; </w:t>
            </w:r>
          </w:p>
        </w:tc>
      </w:tr>
    </w:tbl>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alter or add to the Articles; </w:t>
            </w:r>
          </w:p>
        </w:tc>
      </w:tr>
    </w:tbl>
    <w:tbl>
      <w:tblPr>
        <w:tblW w:w="8875" w:type="dxa"/>
        <w:jc w:val="left"/>
        <w:tblInd w:w="0" w:type="dxa"/>
        <w:tblLayout w:type="fixed"/>
        <w:tblCellMar>
          <w:top w:w="0" w:type="dxa"/>
          <w:left w:w="0" w:type="dxa"/>
          <w:bottom w:w="0" w:type="dxa"/>
          <w:right w:w="0" w:type="dxa"/>
        </w:tblCellMar>
      </w:tblPr>
      <w:tblGrid>
        <w:gridCol w:w="230"/>
        <w:gridCol w:w="864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alter or add to the Memorandum with respect to any objects, powers or other matters specified therein; and </w:t>
            </w:r>
          </w:p>
        </w:tc>
      </w:tr>
    </w:tbl>
    <w:tbl>
      <w:tblPr>
        <w:tblW w:w="5365" w:type="dxa"/>
        <w:jc w:val="left"/>
        <w:tblInd w:w="0" w:type="dxa"/>
        <w:tblLayout w:type="fixed"/>
        <w:tblCellMar>
          <w:top w:w="0" w:type="dxa"/>
          <w:left w:w="0" w:type="dxa"/>
          <w:bottom w:w="0" w:type="dxa"/>
          <w:right w:w="0" w:type="dxa"/>
        </w:tblCellMar>
      </w:tblPr>
      <w:tblGrid>
        <w:gridCol w:w="245"/>
        <w:gridCol w:w="51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its share capital or any capital redemption reserve fund. </w:t>
            </w:r>
          </w:p>
        </w:tc>
      </w:tr>
    </w:tbl>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21</w:t>
            </w:r>
          </w:p>
        </w:tc>
        <w:tc>
          <w:tcPr>
            <w:tcW w:w="25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Offices and Places of Business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Statute, the Company may by resolution of the Directors change the location of its Registered Office. The Company may, in addition to its Registered Office, maintain such other offices or places of business as the Directors determine.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45101x2_424b3_301-annexa_pg14"/>
        <w:bookmarkEnd w:id="159"/>
        <w:r>
          <w:rPr>
            <w:rStyle w:val="InternetLink"/>
            <w:rFonts w:ascii="Times New Roman;Times;Serif" w:hAnsi="Times New Roman;Times;Serif"/>
            <w:b/>
            <w:caps w:val="false"/>
            <w:smallCaps w:val="false"/>
            <w:color w:val="000000"/>
            <w:sz w:val="16"/>
          </w:rPr>
          <w:t>TABLE OF CONTENTS</w:t>
        </w:r>
      </w:hyperlink>
    </w:p>
    <w:tbl>
      <w:tblPr>
        <w:tblW w:w="1795" w:type="dxa"/>
        <w:jc w:val="left"/>
        <w:tblInd w:w="0" w:type="dxa"/>
        <w:tblLayout w:type="fixed"/>
        <w:tblCellMar>
          <w:top w:w="0" w:type="dxa"/>
          <w:left w:w="0" w:type="dxa"/>
          <w:bottom w:w="0" w:type="dxa"/>
          <w:right w:w="0" w:type="dxa"/>
        </w:tblCellMar>
      </w:tblPr>
      <w:tblGrid>
        <w:gridCol w:w="230"/>
        <w:gridCol w:w="1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22</w:t>
            </w:r>
          </w:p>
        </w:tc>
        <w:tc>
          <w:tcPr>
            <w:tcW w:w="1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General Meetings </w:t>
            </w:r>
          </w:p>
        </w:tc>
      </w:tr>
    </w:tbl>
    <w:tbl>
      <w:tblPr>
        <w:tblW w:w="8845" w:type="dxa"/>
        <w:jc w:val="left"/>
        <w:tblInd w:w="0" w:type="dxa"/>
        <w:tblLayout w:type="fixed"/>
        <w:tblCellMar>
          <w:top w:w="0" w:type="dxa"/>
          <w:left w:w="0" w:type="dxa"/>
          <w:bottom w:w="0" w:type="dxa"/>
          <w:right w:w="0" w:type="dxa"/>
        </w:tblCellMar>
      </w:tblPr>
      <w:tblGrid>
        <w:gridCol w:w="380"/>
        <w:gridCol w:w="846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22.1</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general meetings other than annual general meetings shall be called extraordinary general meetings.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the chief executive officer or the chairman of the board of directors of the Company may call general meetings, and, for the avoidance of doubt, Members shall not have the ability to call general meetings.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of the Company with such deadline being a reasonable time before the Company begins to print and send its related proxy materials. </w:t>
            </w:r>
          </w:p>
        </w:tc>
      </w:tr>
    </w:tbl>
    <w:tbl>
      <w:tblPr>
        <w:tblW w:w="2590" w:type="dxa"/>
        <w:jc w:val="left"/>
        <w:tblInd w:w="0" w:type="dxa"/>
        <w:tblLayout w:type="fixed"/>
        <w:tblCellMar>
          <w:top w:w="0" w:type="dxa"/>
          <w:left w:w="0" w:type="dxa"/>
          <w:bottom w:w="0" w:type="dxa"/>
          <w:right w:w="0" w:type="dxa"/>
        </w:tblCellMar>
      </w:tblPr>
      <w:tblGrid>
        <w:gridCol w:w="230"/>
        <w:gridCol w:w="23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23</w:t>
            </w:r>
          </w:p>
        </w:tc>
        <w:tc>
          <w:tcPr>
            <w:tcW w:w="2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Notice of General Meetings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23.1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 </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annual general meeting, by all of the Members entitled to attend and vote thereat; and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extraordinary general meeting, by a majority in number of the Members having a right to attend and vote at the meeting, together holding not less than 95 per cent in par value of the Shares giving that right.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accidental omission to give notice of a general meeting to, or the non-receipt of notice of a general meeting by, any person entitled to receive such notice shall not invalidate the proceedings of that general meeting. </w:t>
            </w:r>
          </w:p>
        </w:tc>
      </w:tr>
    </w:tbl>
    <w:tbl>
      <w:tblPr>
        <w:tblW w:w="3085" w:type="dxa"/>
        <w:jc w:val="left"/>
        <w:tblInd w:w="0" w:type="dxa"/>
        <w:tblLayout w:type="fixed"/>
        <w:tblCellMar>
          <w:top w:w="0" w:type="dxa"/>
          <w:left w:w="0" w:type="dxa"/>
          <w:bottom w:w="0" w:type="dxa"/>
          <w:right w:w="0" w:type="dxa"/>
        </w:tblCellMar>
      </w:tblPr>
      <w:tblGrid>
        <w:gridCol w:w="230"/>
        <w:gridCol w:w="28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24</w:t>
            </w:r>
          </w:p>
        </w:tc>
        <w:tc>
          <w:tcPr>
            <w:tcW w:w="28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Proceedings at General Meetings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business shall be transacted at any general meeting unless a quorum is present. The holders of a majority of the Shares entitled to vote at a general meeting, being individuals present in person or by proxy or if a corporation or other non-natural person by its duly authorised representative or proxy, shall be a quorum.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45101x2_424b3_301-annexa_pg15"/>
        <w:bookmarkEnd w:id="1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at any time prior to the time appointed for the meeting to commence, appoint any person to act as chairman of a general meeting of the Company or, if the Directors do not make any such appointment, the chairman, if any, of the board of directors of the Company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no Director is willing to act as chairman or if no Director is present within fifteen minutes after the time appointed for the meeting to commence, the Members present shall choose one of their number to be chairman of the meeting.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a general meeting is adjourned for 30 days or more, notice of the adjourned meeting shall be given as in the case of an original meeting. Otherwise it shall not be necessary to give any such notice of an adjourned meeting.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24.9</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 </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24.10</w:t>
            </w:r>
          </w:p>
        </w:tc>
        <w:tc>
          <w:tcPr>
            <w:tcW w:w="9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a general meeting is postponed for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 </w:t>
            </w:r>
          </w:p>
        </w:tc>
      </w:tr>
    </w:tbl>
    <w:tbl>
      <w:tblPr>
        <w:tblW w:w="6175" w:type="dxa"/>
        <w:jc w:val="left"/>
        <w:tblInd w:w="0" w:type="dxa"/>
        <w:tblLayout w:type="fixed"/>
        <w:tblCellMar>
          <w:top w:w="0" w:type="dxa"/>
          <w:left w:w="0" w:type="dxa"/>
          <w:bottom w:w="0" w:type="dxa"/>
          <w:right w:w="0" w:type="dxa"/>
        </w:tblCellMar>
      </w:tblPr>
      <w:tblGrid>
        <w:gridCol w:w="485"/>
        <w:gridCol w:w="5690"/>
      </w:tblGrid>
      <w:tr>
        <w:trPr/>
        <w:tc>
          <w:tcPr>
            <w:tcW w:w="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24.11</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resolution put to the vote of the meeting shall be decided on a poll. </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24.12</w:t>
            </w:r>
          </w:p>
        </w:tc>
        <w:tc>
          <w:tcPr>
            <w:tcW w:w="9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poll shall be taken as the chairman directs, and the result of the poll shall be deemed to be the resolution of the general meeting at which the poll was demanded. </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24.13</w:t>
            </w:r>
          </w:p>
        </w:tc>
        <w:tc>
          <w:tcPr>
            <w:tcW w:w="9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 </w:t>
            </w:r>
          </w:p>
        </w:tc>
      </w:tr>
    </w:tbl>
    <w:tbl>
      <w:tblPr>
        <w:tblW w:w="7960" w:type="dxa"/>
        <w:jc w:val="left"/>
        <w:tblInd w:w="0" w:type="dxa"/>
        <w:tblLayout w:type="fixed"/>
        <w:tblCellMar>
          <w:top w:w="0" w:type="dxa"/>
          <w:left w:w="0" w:type="dxa"/>
          <w:bottom w:w="0" w:type="dxa"/>
          <w:right w:w="0" w:type="dxa"/>
        </w:tblCellMar>
      </w:tblPr>
      <w:tblGrid>
        <w:gridCol w:w="485"/>
        <w:gridCol w:w="7475"/>
      </w:tblGrid>
      <w:tr>
        <w:trPr/>
        <w:tc>
          <w:tcPr>
            <w:tcW w:w="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24.14</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equality of votes the chairman shall be entitled to a second or casting vote. </w:t>
            </w:r>
          </w:p>
        </w:tc>
      </w:tr>
    </w:tbl>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25</w:t>
            </w:r>
          </w:p>
        </w:tc>
        <w:tc>
          <w:tcPr>
            <w:tcW w:w="1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Votes of Members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any rights or restrictions attached to any Shares, every Member present in any such manner shall have one vote for every Share of which he is the holder. The Class A Shares and Class B Shares shall vote together as a single class on all matters (subject to Article 12).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45101x2_424b3_301-annexa_pg16"/>
        <w:bookmarkEnd w:id="1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person shall be entitled to vote at any general meeting unless he is registered as a Member on the record date for such meeting nor unless all calls or other monies then payable by him in respect of Shares have been paid.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 </w:t>
            </w:r>
          </w:p>
        </w:tc>
      </w:tr>
    </w:tbl>
    <w:tbl>
      <w:tblPr>
        <w:tblW w:w="940" w:type="dxa"/>
        <w:jc w:val="left"/>
        <w:tblInd w:w="0" w:type="dxa"/>
        <w:tblLayout w:type="fixed"/>
        <w:tblCellMar>
          <w:top w:w="0" w:type="dxa"/>
          <w:left w:w="0" w:type="dxa"/>
          <w:bottom w:w="0" w:type="dxa"/>
          <w:right w:w="0" w:type="dxa"/>
        </w:tblCellMar>
      </w:tblPr>
      <w:tblGrid>
        <w:gridCol w:w="230"/>
        <w:gridCol w:w="7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26</w:t>
            </w:r>
          </w:p>
        </w:tc>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Proxies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Member.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45101x2_424b3_301-annexa_pg17"/>
        <w:bookmarkEnd w:id="162"/>
        <w:r>
          <w:rPr>
            <w:rStyle w:val="InternetLink"/>
            <w:rFonts w:ascii="Times New Roman;Times;Serif" w:hAnsi="Times New Roman;Times;Serif"/>
            <w:b/>
            <w:caps w:val="false"/>
            <w:smallCaps w:val="false"/>
            <w:color w:val="000000"/>
            <w:sz w:val="16"/>
          </w:rPr>
          <w:t>TABLE OF CONTENTS</w:t>
        </w:r>
      </w:hyperlink>
    </w:p>
    <w:tbl>
      <w:tblPr>
        <w:tblW w:w="2020" w:type="dxa"/>
        <w:jc w:val="left"/>
        <w:tblInd w:w="0" w:type="dxa"/>
        <w:tblLayout w:type="fixed"/>
        <w:tblCellMar>
          <w:top w:w="0" w:type="dxa"/>
          <w:left w:w="0" w:type="dxa"/>
          <w:bottom w:w="0" w:type="dxa"/>
          <w:right w:w="0" w:type="dxa"/>
        </w:tblCellMar>
      </w:tblPr>
      <w:tblGrid>
        <w:gridCol w:w="230"/>
        <w:gridCol w:w="17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27</w:t>
            </w:r>
          </w:p>
        </w:tc>
        <w:tc>
          <w:tcPr>
            <w:tcW w:w="17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Members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27.2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 </w:t>
            </w:r>
          </w:p>
        </w:tc>
      </w:tr>
    </w:tbl>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28</w:t>
            </w:r>
          </w:p>
        </w:tc>
        <w:tc>
          <w:tcPr>
            <w:tcW w:w="25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Shares that May Not be Voted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in the Company that are beneficially owned by the Company shall not be voted, directly or indirectly, at any meeting and shall not be counted in determining the total number of outstanding Shares at any given time.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8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29.1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shall be a board of directors of the Company consisting of not less than one person. Subject to this Article 29.1 and the Business Combination Agreement, the Directors may increase or reduce the limits in the number of Directors. </w:t>
            </w:r>
          </w:p>
        </w:tc>
      </w:tr>
    </w:tbl>
    <w:tbl>
      <w:tblPr>
        <w:tblW w:w="1960" w:type="dxa"/>
        <w:jc w:val="left"/>
        <w:tblInd w:w="0" w:type="dxa"/>
        <w:tblLayout w:type="fixed"/>
        <w:tblCellMar>
          <w:top w:w="0" w:type="dxa"/>
          <w:left w:w="0" w:type="dxa"/>
          <w:bottom w:w="0" w:type="dxa"/>
          <w:right w:w="0" w:type="dxa"/>
        </w:tblCellMar>
      </w:tblPr>
      <w:tblGrid>
        <w:gridCol w:w="230"/>
        <w:gridCol w:w="1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30</w:t>
            </w:r>
          </w:p>
        </w:tc>
        <w:tc>
          <w:tcPr>
            <w:tcW w:w="1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Powers of 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 </w:t>
            </w:r>
          </w:p>
        </w:tc>
      </w:tr>
    </w:tbl>
    <w:tbl>
      <w:tblPr>
        <w:tblW w:w="3610" w:type="dxa"/>
        <w:jc w:val="left"/>
        <w:tblInd w:w="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31</w:t>
            </w:r>
          </w:p>
        </w:tc>
        <w:tc>
          <w:tcPr>
            <w:tcW w:w="33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Appointment and Removal of Directors </w:t>
            </w:r>
          </w:p>
        </w:tc>
      </w:tr>
    </w:tbl>
    <w:tbl>
      <w:tblPr>
        <w:tblW w:w="7195" w:type="dxa"/>
        <w:jc w:val="left"/>
        <w:tblInd w:w="0" w:type="dxa"/>
        <w:tblLayout w:type="fixed"/>
        <w:tblCellMar>
          <w:top w:w="0" w:type="dxa"/>
          <w:left w:w="0" w:type="dxa"/>
          <w:bottom w:w="0" w:type="dxa"/>
          <w:right w:w="0" w:type="dxa"/>
        </w:tblCellMar>
      </w:tblPr>
      <w:tblGrid>
        <w:gridCol w:w="380"/>
        <w:gridCol w:w="681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31.1</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and as otherwise set out in the Articles, including Articles 29.1 and 31.2: </w:t>
            </w:r>
          </w:p>
        </w:tc>
      </w:tr>
    </w:tbl>
    <w:tbl>
      <w:tblPr>
        <w:tblW w:w="7045" w:type="dxa"/>
        <w:jc w:val="left"/>
        <w:tblInd w:w="0" w:type="dxa"/>
        <w:tblLayout w:type="fixed"/>
        <w:tblCellMar>
          <w:top w:w="0" w:type="dxa"/>
          <w:left w:w="0" w:type="dxa"/>
          <w:bottom w:w="0" w:type="dxa"/>
          <w:right w:w="0" w:type="dxa"/>
        </w:tblCellMar>
      </w:tblPr>
      <w:tblGrid>
        <w:gridCol w:w="230"/>
        <w:gridCol w:w="68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by Ordinary Resolution appoint any person to be a Director; and </w:t>
            </w:r>
          </w:p>
        </w:tc>
      </w:tr>
    </w:tbl>
    <w:tbl>
      <w:tblPr>
        <w:tblW w:w="8200" w:type="dxa"/>
        <w:jc w:val="left"/>
        <w:tblInd w:w="0" w:type="dxa"/>
        <w:tblLayout w:type="fixed"/>
        <w:tblCellMar>
          <w:top w:w="0" w:type="dxa"/>
          <w:left w:w="0" w:type="dxa"/>
          <w:bottom w:w="0" w:type="dxa"/>
          <w:right w:w="0" w:type="dxa"/>
        </w:tblCellMar>
      </w:tblPr>
      <w:tblGrid>
        <w:gridCol w:w="245"/>
        <w:gridCol w:w="79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shall hold office until such time as they are removed from office by Special Resolution.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45101x2_424b3_301-annexa_pg18"/>
        <w:bookmarkEnd w:id="1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the Company shall consist of three classes, each holding three-year terms, with the term of the first class of Directors expiring at the first annual meeting of the Members following the Effective Date, the term of the second class of Directors expiring at the second annual meeting of Members following the Effective Date and the term of the third class of Directors expiring at the third annual meeting of Members following the Effective Date, and the class into which a Director is to be appointed shall be set out in the resolutions appointing such Director.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appoint any person to be a Director, either to fill a vacancy or as an additional Director provided that the appointment does not cause the number of Directors to exceed any number fixed by or in accordance with the Articles as the maximum number of Directors. </w:t>
            </w:r>
          </w:p>
        </w:tc>
      </w:tr>
    </w:tbl>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32</w:t>
            </w:r>
          </w:p>
        </w:tc>
        <w:tc>
          <w:tcPr>
            <w:tcW w:w="25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Vacation of Office of Director </w:t>
            </w:r>
          </w:p>
        </w:tc>
      </w:tr>
    </w:tbl>
    <w:p>
      <w:pPr>
        <w:pStyle w:val="TextBody"/>
        <w:bidi w:val="0"/>
        <w:spacing w:before="14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The office of a Director shall be vacated if:</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gives notice in writing to the Company that he resigns the office of Director; or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absents himself (for the avoidance of doubt, without being represented by proxy) from three consecutive meetings of the board of directors of the Company without special leave of absence from the Directors, and the Directors pass a resolution that he has by reason of such absence vacated office; or </w:t>
            </w:r>
          </w:p>
        </w:tc>
      </w:tr>
    </w:tbl>
    <w:tbl>
      <w:tblPr>
        <w:tblW w:w="9160" w:type="dxa"/>
        <w:jc w:val="left"/>
        <w:tblInd w:w="0" w:type="dxa"/>
        <w:tblLayout w:type="fixed"/>
        <w:tblCellMar>
          <w:top w:w="0" w:type="dxa"/>
          <w:left w:w="0" w:type="dxa"/>
          <w:bottom w:w="0" w:type="dxa"/>
          <w:right w:w="0" w:type="dxa"/>
        </w:tblCellMar>
      </w:tblPr>
      <w:tblGrid>
        <w:gridCol w:w="230"/>
        <w:gridCol w:w="89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dies, becomes bankrupt or makes any arrangement or composition with his creditors generally; or </w:t>
            </w:r>
          </w:p>
        </w:tc>
      </w:tr>
    </w:tbl>
    <w:tbl>
      <w:tblPr>
        <w:tblW w:w="5080" w:type="dxa"/>
        <w:jc w:val="left"/>
        <w:tblInd w:w="0" w:type="dxa"/>
        <w:tblLayout w:type="fixed"/>
        <w:tblCellMar>
          <w:top w:w="0" w:type="dxa"/>
          <w:left w:w="0" w:type="dxa"/>
          <w:bottom w:w="0" w:type="dxa"/>
          <w:right w:w="0" w:type="dxa"/>
        </w:tblCellMar>
      </w:tblPr>
      <w:tblGrid>
        <w:gridCol w:w="245"/>
        <w:gridCol w:w="483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is found to be or becomes of unsound mind; or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 </w:t>
            </w:r>
          </w:p>
        </w:tc>
      </w:tr>
    </w:tbl>
    <w:tbl>
      <w:tblPr>
        <w:tblW w:w="2380" w:type="dxa"/>
        <w:jc w:val="left"/>
        <w:tblInd w:w="0" w:type="dxa"/>
        <w:tblLayout w:type="fixed"/>
        <w:tblCellMar>
          <w:top w:w="0" w:type="dxa"/>
          <w:left w:w="0" w:type="dxa"/>
          <w:bottom w:w="0" w:type="dxa"/>
          <w:right w:w="0" w:type="dxa"/>
        </w:tblCellMar>
      </w:tblPr>
      <w:tblGrid>
        <w:gridCol w:w="230"/>
        <w:gridCol w:w="21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33</w:t>
            </w:r>
          </w:p>
        </w:tc>
        <w:tc>
          <w:tcPr>
            <w:tcW w:w="21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Proceedings of 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quorum for the transaction of the business of the Directors may be fixed by the Directors, and unless so fixed shall be a majority of the Directors then in office.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Articles, the Directors may regulate their proceedings as they think fit. Questions arising at any meeting shall be decided by a majority of votes. In the case of an equality of votes, the chairman shall have a second or casting vote.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Times;serif" w:hAnsi="Times New Roman;Times;serif"/>
                <w:i/>
                <w:color w:val="000000"/>
                <w:sz w:val="20"/>
              </w:rPr>
              <w:t>mutatis mutandis.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continuing Directors (or a sole continuing Director, as the case may be) may act notwithstanding any vacancy in their body, but if and so long as their number is reduced below the number fixed by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45101x2_424b3_301-annexa_pg19"/>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Articles as the necessary quorum of Directors the continuing Directors or Director may act for the purpose of increasing the number of Directors to be equal to such fixed number, or of summoning a general meeting of the Company, but for no other purpose.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 </w:t>
            </w:r>
          </w:p>
        </w:tc>
      </w:tr>
    </w:tbl>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34</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Presumption of Assent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Director who is present at a meeting of the board of directors of the Company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 </w:t>
      </w:r>
    </w:p>
    <w:tbl>
      <w:tblPr>
        <w:tblW w:w="1915" w:type="dxa"/>
        <w:jc w:val="left"/>
        <w:tblInd w:w="0" w:type="dxa"/>
        <w:tblLayout w:type="fixed"/>
        <w:tblCellMar>
          <w:top w:w="0" w:type="dxa"/>
          <w:left w:w="0" w:type="dxa"/>
          <w:bottom w:w="0" w:type="dxa"/>
          <w:right w:w="0" w:type="dxa"/>
        </w:tblCellMar>
      </w:tblPr>
      <w:tblGrid>
        <w:gridCol w:w="230"/>
        <w:gridCol w:w="1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35</w:t>
            </w:r>
          </w:p>
        </w:tc>
        <w:tc>
          <w:tcPr>
            <w:tcW w:w="1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Interests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may hold any other office or place of profit under the Company (other than the office of Auditor) in conjunction with his office of Director for such period and on such terms as to remuneration and otherwise as the Directors may determine.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may act by himself or by, through or on behalf of his firm in a professional capacity for the Company and he or his firm shall be entitled to remuneration for professional services as if he were not a Director.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 </w:t>
            </w:r>
          </w:p>
        </w:tc>
      </w:tr>
    </w:tbl>
    <w:tbl>
      <w:tblPr>
        <w:tblW w:w="970" w:type="dxa"/>
        <w:jc w:val="left"/>
        <w:tblInd w:w="0" w:type="dxa"/>
        <w:tblLayout w:type="fixed"/>
        <w:tblCellMar>
          <w:top w:w="0" w:type="dxa"/>
          <w:left w:w="0" w:type="dxa"/>
          <w:bottom w:w="0" w:type="dxa"/>
          <w:right w:w="0" w:type="dxa"/>
        </w:tblCellMar>
      </w:tblPr>
      <w:tblGrid>
        <w:gridCol w:w="230"/>
        <w:gridCol w:w="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36</w:t>
            </w:r>
          </w:p>
        </w:tc>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Minutes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45101x2_424b3_301-annexa_pg20"/>
        <w:bookmarkEnd w:id="165"/>
        <w:r>
          <w:rPr>
            <w:rStyle w:val="InternetLink"/>
            <w:rFonts w:ascii="Times New Roman;Times;Serif" w:hAnsi="Times New Roman;Times;Serif"/>
            <w:b/>
            <w:caps w:val="false"/>
            <w:smallCaps w:val="false"/>
            <w:color w:val="000000"/>
            <w:sz w:val="16"/>
          </w:rPr>
          <w:t>TABLE OF CONTENTS</w:t>
        </w:r>
      </w:hyperlink>
    </w:p>
    <w:tbl>
      <w:tblPr>
        <w:tblW w:w="2980" w:type="dxa"/>
        <w:jc w:val="left"/>
        <w:tblInd w:w="0" w:type="dxa"/>
        <w:tblLayout w:type="fixed"/>
        <w:tblCellMar>
          <w:top w:w="0" w:type="dxa"/>
          <w:left w:w="0" w:type="dxa"/>
          <w:bottom w:w="0" w:type="dxa"/>
          <w:right w:w="0" w:type="dxa"/>
        </w:tblCellMar>
      </w:tblPr>
      <w:tblGrid>
        <w:gridCol w:w="230"/>
        <w:gridCol w:w="27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37</w:t>
            </w:r>
          </w:p>
        </w:tc>
        <w:tc>
          <w:tcPr>
            <w:tcW w:w="27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Delegation of Directors’ Powers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adopt formal written charters for committees. Each of these committees shall be empowered to do all things necessary to exercise the rights of such committee set forth in the Articles and its charter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by power of attorney or otherwise appoint any person to be the agent of the Company on such conditions as the Directors may determine, provided that the delegation is not to the exclusion of their own powers and may be revoked by the Directors at any time.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 </w:t>
            </w:r>
          </w:p>
        </w:tc>
      </w:tr>
    </w:tbl>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38</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 Minimum Shareholding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in general meeting may fix a minimum shareholding required to be held by a Director, but unless and until such a shareholding qualification is fixed a Director is not required to hold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45101x2_424b3_301-annexa_pg21"/>
        <w:bookmarkEnd w:id="166"/>
        <w:r>
          <w:rPr>
            <w:rStyle w:val="InternetLink"/>
            <w:rFonts w:ascii="Times New Roman;Times;Serif" w:hAnsi="Times New Roman;Times;Serif"/>
            <w:b/>
            <w:caps w:val="false"/>
            <w:smallCaps w:val="false"/>
            <w:color w:val="000000"/>
            <w:sz w:val="16"/>
          </w:rPr>
          <w:t>TABLE OF CONTENTS</w:t>
        </w:r>
      </w:hyperlink>
    </w:p>
    <w:tbl>
      <w:tblPr>
        <w:tblW w:w="2560" w:type="dxa"/>
        <w:jc w:val="left"/>
        <w:tblInd w:w="0" w:type="dxa"/>
        <w:tblLayout w:type="fixed"/>
        <w:tblCellMar>
          <w:top w:w="0" w:type="dxa"/>
          <w:left w:w="0" w:type="dxa"/>
          <w:bottom w:w="0" w:type="dxa"/>
          <w:right w:w="0" w:type="dxa"/>
        </w:tblCellMar>
      </w:tblPr>
      <w:tblGrid>
        <w:gridCol w:w="230"/>
        <w:gridCol w:w="23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39</w:t>
            </w:r>
          </w:p>
        </w:tc>
        <w:tc>
          <w:tcPr>
            <w:tcW w:w="2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Remuneration of 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39.1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39.2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 </w:t>
            </w:r>
          </w:p>
        </w:tc>
      </w:tr>
    </w:tbl>
    <w:tbl>
      <w:tblPr>
        <w:tblW w:w="655" w:type="dxa"/>
        <w:jc w:val="left"/>
        <w:tblInd w:w="0" w:type="dxa"/>
        <w:tblLayout w:type="fixed"/>
        <w:tblCellMar>
          <w:top w:w="0" w:type="dxa"/>
          <w:left w:w="0" w:type="dxa"/>
          <w:bottom w:w="0" w:type="dxa"/>
          <w:right w:w="0" w:type="dxa"/>
        </w:tblCellMar>
      </w:tblPr>
      <w:tblGrid>
        <w:gridCol w:w="230"/>
        <w:gridCol w:w="4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40</w:t>
            </w:r>
          </w:p>
        </w:tc>
        <w:tc>
          <w:tcPr>
            <w:tcW w:w="4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Seal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40.1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40.2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40.3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 </w:t>
            </w:r>
          </w:p>
        </w:tc>
      </w:tr>
    </w:tbl>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41</w:t>
            </w:r>
          </w:p>
        </w:tc>
        <w:tc>
          <w:tcPr>
            <w:tcW w:w="3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Distributions and Reserve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Subject to the Statute and the Articles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deduct from any Dividend or other distribution payable to any Member all sums of money (if any) then payable by him to the Company on account of calls or otherwise.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rights attached to any Shares, Dividends and other distributions may be paid in any currency. The Directors may determine the basis of conversion for any currency conversions that may be required and how any costs involved are to be met.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45101x2_424b3_301-annexa_pg22"/>
        <w:bookmarkEnd w:id="1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 </w:t>
            </w:r>
          </w:p>
        </w:tc>
      </w:tr>
    </w:tbl>
    <w:tbl>
      <w:tblPr>
        <w:tblW w:w="6460" w:type="dxa"/>
        <w:jc w:val="left"/>
        <w:tblInd w:w="0" w:type="dxa"/>
        <w:tblLayout w:type="fixed"/>
        <w:tblCellMar>
          <w:top w:w="0" w:type="dxa"/>
          <w:left w:w="0" w:type="dxa"/>
          <w:bottom w:w="0" w:type="dxa"/>
          <w:right w:w="0" w:type="dxa"/>
        </w:tblCellMar>
      </w:tblPr>
      <w:tblGrid>
        <w:gridCol w:w="380"/>
        <w:gridCol w:w="608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6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Dividend or other distribution shall bear interest against the Company.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41.9</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 </w:t>
            </w:r>
          </w:p>
        </w:tc>
      </w:tr>
    </w:tbl>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42</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Capitalisation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 </w:t>
      </w:r>
    </w:p>
    <w:tbl>
      <w:tblPr>
        <w:tblW w:w="1765" w:type="dxa"/>
        <w:jc w:val="left"/>
        <w:tblInd w:w="0" w:type="dxa"/>
        <w:tblLayout w:type="fixed"/>
        <w:tblCellMar>
          <w:top w:w="0" w:type="dxa"/>
          <w:left w:w="0" w:type="dxa"/>
          <w:bottom w:w="0" w:type="dxa"/>
          <w:right w:w="0" w:type="dxa"/>
        </w:tblCellMar>
      </w:tblPr>
      <w:tblGrid>
        <w:gridCol w:w="230"/>
        <w:gridCol w:w="15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43</w:t>
            </w:r>
          </w:p>
        </w:tc>
        <w:tc>
          <w:tcPr>
            <w:tcW w:w="1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Books of Account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43.1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45101x2_424b3_301-annexa_pg23"/>
        <w:bookmarkEnd w:id="16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43.3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cause to be prepared and to be laid before the Company in general meeting profit and loss accounts, balance sheets, group accounts (if any) and such other reports and accounts as may be required by law. </w:t>
            </w:r>
          </w:p>
        </w:tc>
      </w:tr>
    </w:tbl>
    <w:tbl>
      <w:tblPr>
        <w:tblW w:w="760" w:type="dxa"/>
        <w:jc w:val="left"/>
        <w:tblInd w:w="0" w:type="dxa"/>
        <w:tblLayout w:type="fixed"/>
        <w:tblCellMar>
          <w:top w:w="0" w:type="dxa"/>
          <w:left w:w="0" w:type="dxa"/>
          <w:bottom w:w="0" w:type="dxa"/>
          <w:right w:w="0" w:type="dxa"/>
        </w:tblCellMar>
      </w:tblPr>
      <w:tblGrid>
        <w:gridCol w:w="230"/>
        <w:gridCol w:w="5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44</w:t>
            </w:r>
          </w:p>
        </w:tc>
        <w:tc>
          <w:tcPr>
            <w:tcW w:w="5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Audit </w:t>
            </w:r>
          </w:p>
        </w:tc>
      </w:tr>
    </w:tbl>
    <w:tbl>
      <w:tblPr>
        <w:tblW w:w="9970" w:type="dxa"/>
        <w:jc w:val="left"/>
        <w:tblInd w:w="0" w:type="dxa"/>
        <w:tblLayout w:type="fixed"/>
        <w:tblCellMar>
          <w:top w:w="0" w:type="dxa"/>
          <w:left w:w="0" w:type="dxa"/>
          <w:bottom w:w="0" w:type="dxa"/>
          <w:right w:w="0" w:type="dxa"/>
        </w:tblCellMar>
      </w:tblPr>
      <w:tblGrid>
        <w:gridCol w:w="380"/>
        <w:gridCol w:w="959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44.1</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may appoint an Auditor of the Company who shall hold office on such terms as the Directors determine.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 </w:t>
            </w:r>
          </w:p>
        </w:tc>
      </w:tr>
    </w:tbl>
    <w:tbl>
      <w:tblPr>
        <w:tblW w:w="7405" w:type="dxa"/>
        <w:jc w:val="left"/>
        <w:tblInd w:w="0" w:type="dxa"/>
        <w:tblLayout w:type="fixed"/>
        <w:tblCellMar>
          <w:top w:w="0" w:type="dxa"/>
          <w:left w:w="0" w:type="dxa"/>
          <w:bottom w:w="0" w:type="dxa"/>
          <w:right w:w="0" w:type="dxa"/>
        </w:tblCellMar>
      </w:tblPr>
      <w:tblGrid>
        <w:gridCol w:w="380"/>
        <w:gridCol w:w="70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44.4</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remuneration of the Auditor shall be fixed by the Audit Committee (if one exists).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44.5</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44.6</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44.7</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 </w:t>
            </w:r>
          </w:p>
        </w:tc>
      </w:tr>
    </w:tbl>
    <w:tbl>
      <w:tblPr>
        <w:tblW w:w="910" w:type="dxa"/>
        <w:jc w:val="left"/>
        <w:tblInd w:w="0" w:type="dxa"/>
        <w:tblLayout w:type="fixed"/>
        <w:tblCellMar>
          <w:top w:w="0" w:type="dxa"/>
          <w:left w:w="0" w:type="dxa"/>
          <w:bottom w:w="0" w:type="dxa"/>
          <w:right w:w="0" w:type="dxa"/>
        </w:tblCellMar>
      </w:tblPr>
      <w:tblGrid>
        <w:gridCol w:w="230"/>
        <w:gridCol w:w="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45</w:t>
            </w:r>
          </w:p>
        </w:tc>
        <w:tc>
          <w:tcPr>
            <w:tcW w:w="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Notices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45.1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tc>
      </w:tr>
    </w:tbl>
    <w:tbl>
      <w:tblPr>
        <w:tblW w:w="2530" w:type="dxa"/>
        <w:jc w:val="left"/>
        <w:tblInd w:w="0" w:type="dxa"/>
        <w:tblLayout w:type="fixed"/>
        <w:tblCellMar>
          <w:top w:w="0" w:type="dxa"/>
          <w:left w:w="0" w:type="dxa"/>
          <w:bottom w:w="0" w:type="dxa"/>
          <w:right w:w="0" w:type="dxa"/>
        </w:tblCellMar>
      </w:tblPr>
      <w:tblGrid>
        <w:gridCol w:w="380"/>
        <w:gridCol w:w="215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45.2</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Where a notice is sent by: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cable, telex or fax; service of the notice shall be deemed to be effected by properly addressing and sending such notice and shall be deemed to have been received on the same day that it was transmitted;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45101x2_424b3_301-annexa_pg24"/>
        <w:bookmarkEnd w:id="16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placing it on the Company’s Website; service of the notice shall be deemed to have been effected one hour after the notice or document was placed on the Company’s Website.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45.3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45.4</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 </w:t>
            </w:r>
          </w:p>
        </w:tc>
      </w:tr>
    </w:tbl>
    <w:tbl>
      <w:tblPr>
        <w:tblW w:w="1315" w:type="dxa"/>
        <w:jc w:val="left"/>
        <w:tblInd w:w="0" w:type="dxa"/>
        <w:tblLayout w:type="fixed"/>
        <w:tblCellMar>
          <w:top w:w="0" w:type="dxa"/>
          <w:left w:w="0" w:type="dxa"/>
          <w:bottom w:w="0" w:type="dxa"/>
          <w:right w:w="0" w:type="dxa"/>
        </w:tblCellMar>
      </w:tblPr>
      <w:tblGrid>
        <w:gridCol w:w="230"/>
        <w:gridCol w:w="10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46</w:t>
            </w:r>
          </w:p>
        </w:tc>
        <w:tc>
          <w:tcPr>
            <w:tcW w:w="10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Winding Up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Company shall be wound up, the liquidator shall apply the assets of the Company in satisfaction of creditors’ claims in such manner and order as such liquidator thinks fit. Subject to the Articles and the rights attaching to any Shares, in a winding up: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assets available for distribution amongst the Members shall be more than sufficient to repay the whole of the Company’s issued share capital at the commencement of the winding up, the surplus shall be distributed amongst the Members holding Class A Shares in proportion to the par value of the Class A Shares held by them at the commencement of the winding up subject to a deduction from those Class A Shares in respect of which there are monies due, of all monies payable to the Company for unpaid calls or otherwise.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46.2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Company shall be wound up the liquidator may, subject to the Articles and the rights attaching to any Shares and with the approval of a Special Resolution of the Company and any other approval required by the Statute, divide amongst the Members holding Class A Shares in kind the whole or any part of the assets of the Company (whether such assets shall consist of property of the same kind or not) and may for that purpose value any assets and determine how the division shall be carried out as between the Members holding Class A Shares. The liquidator may, with the like approval, vest the whole or any part of such assets in trustees upon such trusts for the benefit of the Members holding Class A Shares as the liquidator, with the like approval, shall think fit, but so that no Member holding Class A Shares shall be compelled to accept any asset upon which there is a liability. </w:t>
            </w:r>
          </w:p>
        </w:tc>
      </w:tr>
    </w:tbl>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47</w:t>
            </w:r>
          </w:p>
        </w:tc>
        <w:tc>
          <w:tcPr>
            <w:tcW w:w="2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Indemnity and Insurance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47.1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Every Director and Officer (which for the avoidance of doubt, shall not include auditors of the Company), together with every former Director and former Officer, including every former Director and every former Officer prior to the date hereof, (each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45101x2_424b3_301-annexa_pg25"/>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47.2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47.3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48</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Financial Year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the Directors otherwise prescribe, the financial year of the Company shall end on 31st December in each year and, following the year of incorporation, shall begin on 1st January in each year. </w:t>
      </w:r>
    </w:p>
    <w:tbl>
      <w:tblPr>
        <w:tblW w:w="3115" w:type="dxa"/>
        <w:jc w:val="left"/>
        <w:tblInd w:w="0" w:type="dxa"/>
        <w:tblLayout w:type="fixed"/>
        <w:tblCellMar>
          <w:top w:w="0" w:type="dxa"/>
          <w:left w:w="0" w:type="dxa"/>
          <w:bottom w:w="0" w:type="dxa"/>
          <w:right w:w="0" w:type="dxa"/>
        </w:tblCellMar>
      </w:tblPr>
      <w:tblGrid>
        <w:gridCol w:w="230"/>
        <w:gridCol w:w="2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49</w:t>
            </w:r>
          </w:p>
        </w:tc>
        <w:tc>
          <w:tcPr>
            <w:tcW w:w="2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Transfer by Way of Continuation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w:t>
      </w:r>
    </w:p>
    <w:tbl>
      <w:tblPr>
        <w:tblW w:w="2680" w:type="dxa"/>
        <w:jc w:val="left"/>
        <w:tblInd w:w="0" w:type="dxa"/>
        <w:tblLayout w:type="fixed"/>
        <w:tblCellMar>
          <w:top w:w="0" w:type="dxa"/>
          <w:left w:w="0" w:type="dxa"/>
          <w:bottom w:w="0" w:type="dxa"/>
          <w:right w:w="0" w:type="dxa"/>
        </w:tblCellMar>
      </w:tblPr>
      <w:tblGrid>
        <w:gridCol w:w="230"/>
        <w:gridCol w:w="24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50</w:t>
            </w:r>
          </w:p>
        </w:tc>
        <w:tc>
          <w:tcPr>
            <w:tcW w:w="2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Mergers and Consolidations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have the power to merge or consolidate with one or more other constituent companies (as defined in the Statute) upon such terms as the Directors may determine and (to the extent required by the Statute) with the approval of a Special Resolution. </w:t>
      </w:r>
    </w:p>
    <w:tbl>
      <w:tblPr>
        <w:tblW w:w="1960" w:type="dxa"/>
        <w:jc w:val="left"/>
        <w:tblInd w:w="0" w:type="dxa"/>
        <w:tblLayout w:type="fixed"/>
        <w:tblCellMar>
          <w:top w:w="0" w:type="dxa"/>
          <w:left w:w="0" w:type="dxa"/>
          <w:bottom w:w="0" w:type="dxa"/>
          <w:right w:w="0" w:type="dxa"/>
        </w:tblCellMar>
      </w:tblPr>
      <w:tblGrid>
        <w:gridCol w:w="230"/>
        <w:gridCol w:w="1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51</w:t>
            </w:r>
          </w:p>
        </w:tc>
        <w:tc>
          <w:tcPr>
            <w:tcW w:w="1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Certain Tax Filings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 </w:t>
      </w:r>
    </w:p>
    <w:tbl>
      <w:tblPr>
        <w:tblW w:w="2230" w:type="dxa"/>
        <w:jc w:val="left"/>
        <w:tblInd w:w="0" w:type="dxa"/>
        <w:tblLayout w:type="fixed"/>
        <w:tblCellMar>
          <w:top w:w="0" w:type="dxa"/>
          <w:left w:w="0" w:type="dxa"/>
          <w:bottom w:w="0" w:type="dxa"/>
          <w:right w:w="0" w:type="dxa"/>
        </w:tblCellMar>
      </w:tblPr>
      <w:tblGrid>
        <w:gridCol w:w="230"/>
        <w:gridCol w:w="20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52</w:t>
            </w:r>
          </w:p>
        </w:tc>
        <w:tc>
          <w:tcPr>
            <w:tcW w:w="20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Business Opportunities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52.1</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the fullest extent permitted by Applicable Law, no individual serving as a Director who is not also an employee of the Company or its subsidiaries (“</w:t>
            </w:r>
            <w:r>
              <w:rPr>
                <w:rFonts w:ascii="Times New Roman;Times;serif" w:hAnsi="Times New Roman;Times;serif"/>
                <w:b/>
                <w:color w:val="000000"/>
                <w:sz w:val="20"/>
              </w:rPr>
              <w:t>Specified Directors</w:t>
            </w:r>
            <w:r>
              <w:rPr>
                <w:rFonts w:ascii="Times New Roman;Times;serif" w:hAnsi="Times New Roman;Times;serif"/>
                <w:color w:val="000000"/>
                <w:sz w:val="20"/>
              </w:rPr>
              <w:t xml:space="preserve">”)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45101x2_424b3_301-annexa_pg26"/>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offered an opportunity to participate in, any potential transaction or matter which may be a corporate opportunity for any Specified Director, on the one hand, and the Company, on the other. Except to the extent expressly assumed by contract, to the fullest extent permitted by Applicable Law, a Specified Director shall have no duty to communicate or offer any such corporate opportunity to the Company and shall not be liable to the Company or its Members for breach of any fiduciary duty as a Member or Director solely by reason of the fact that such Specified Director pursues or acquires such corporate opportunity for himself or herself, directs such corporate opportunity to another person, or does not communicate information regarding such corporate opportunity to the Company.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52.2</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this Article 52, this Article 52 shall not apply to any potential transaction or matter that may be a corporate opportunity for the Company or any of its subsidiaries presented to a Specified Director expressly in his or her capacity as a director of the Company or any of its subsidiaries.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52.3</w:t>
            </w:r>
          </w:p>
        </w:tc>
        <w:tc>
          <w:tcPr>
            <w:tcW w:w="9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a court might hold that the conduct of any activity related to a corporate opportunity that is renounced in this Article is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45101x2_424b3_302-annexb_pg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73" w:name="tANNB"/>
      <w:bookmarkEnd w:id="173"/>
      <w:r>
        <w:rPr>
          <w:rFonts w:ascii="Times New Roman;Times;serif" w:hAnsi="Times New Roman;Times;serif"/>
          <w:b/>
          <w:color w:val="000000"/>
          <w:sz w:val="20"/>
        </w:rPr>
        <w:t xml:space="preserve">Annex B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PROKIDNEY CORP.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for the purposes of incorporating and organizing a corporation under the General Corporation Law of the State of Delaware (as from time to time in effect, the “</w:t>
      </w:r>
      <w:r>
        <w:rPr>
          <w:rFonts w:ascii="Times New Roman;Times;serif" w:hAnsi="Times New Roman;Times;serif"/>
          <w:color w:val="000000"/>
          <w:sz w:val="20"/>
          <w:u w:val="single"/>
        </w:rPr>
        <w:t>General Corporation Law</w:t>
      </w:r>
      <w:r>
        <w:rPr>
          <w:rFonts w:ascii="Times New Roman;Times;serif" w:hAnsi="Times New Roman;Times;serif"/>
          <w:color w:val="000000"/>
          <w:sz w:val="20"/>
        </w:rPr>
        <w:t xml:space="preserve">”), does execute this Certificate of Incorporation and hereby certifies as follows: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Name</w:t>
      </w:r>
      <w:r>
        <w:rPr>
          <w:rFonts w:ascii="Times New Roman;Times;serif" w:hAnsi="Times New Roman;Times;serif"/>
          <w:color w:val="000000"/>
          <w:sz w:val="20"/>
        </w:rPr>
        <w:t>. The name of the Corporation is ProKidney Corp.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Address; Registered Office and Agent</w:t>
      </w:r>
      <w:r>
        <w:rPr>
          <w:rFonts w:ascii="Times New Roman;Times;serif" w:hAnsi="Times New Roman;Times;serif"/>
          <w:color w:val="000000"/>
          <w:sz w:val="20"/>
        </w:rPr>
        <w:t xml:space="preserve">. The address of the Corporation’s registered office in the State of Delaware is c/o Corporation Service Company, 251 Little Falls Drive, City of Wilmington, County of New Castle, State of Delaware 19808 and the name of its registered agent at such address is the Corporation Service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Purpose</w:t>
      </w:r>
      <w:r>
        <w:rPr>
          <w:rFonts w:ascii="Times New Roman;Times;serif" w:hAnsi="Times New Roman;Times;serif"/>
          <w:color w:val="000000"/>
          <w:sz w:val="20"/>
        </w:rPr>
        <w:t xml:space="preserve">. The purpose of the Corporation is to engage in any lawful act or activity for which corporations may be organized under the General Corporation Law.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4.1 The total number of shares of all classes of capital stock that the Corporation shall have authority to issue is 1,250,000,000 shares, consisting of: (i) 1,200,000,000 shares of common stock, divided into (a) 700,000,000 shares of Class A common stock, with the par value of $0.0001 per share (the “</w:t>
      </w:r>
      <w:r>
        <w:rPr>
          <w:rFonts w:ascii="Times New Roman;Times;serif" w:hAnsi="Times New Roman;Times;serif"/>
          <w:color w:val="000000"/>
          <w:sz w:val="20"/>
          <w:u w:val="single"/>
        </w:rPr>
        <w:t>Class A Common Stock</w:t>
      </w:r>
      <w:r>
        <w:rPr>
          <w:rFonts w:ascii="Times New Roman;Times;serif" w:hAnsi="Times New Roman;Times;serif"/>
          <w:color w:val="000000"/>
          <w:sz w:val="20"/>
        </w:rPr>
        <w:t>”) and (b) 500,000,000 shares of Class B common stock, with the par value of $0.0001 per share (the “</w:t>
      </w:r>
      <w:r>
        <w:rPr>
          <w:rFonts w:ascii="Times New Roman;Times;serif" w:hAnsi="Times New Roman;Times;serif"/>
          <w:color w:val="000000"/>
          <w:sz w:val="20"/>
          <w:u w:val="single"/>
        </w:rPr>
        <w:t>Class B Common Stock</w:t>
      </w:r>
      <w:r>
        <w:rPr>
          <w:rFonts w:ascii="Times New Roman;Times;serif" w:hAnsi="Times New Roman;Times;serif"/>
          <w:color w:val="000000"/>
          <w:sz w:val="20"/>
        </w:rPr>
        <w:t>” and, together with Class A Common Stock, the “</w:t>
      </w:r>
      <w:r>
        <w:rPr>
          <w:rFonts w:ascii="Times New Roman;Times;serif" w:hAnsi="Times New Roman;Times;serif"/>
          <w:color w:val="000000"/>
          <w:sz w:val="20"/>
          <w:u w:val="single"/>
        </w:rPr>
        <w:t>Common Stock</w:t>
      </w:r>
      <w:r>
        <w:rPr>
          <w:rFonts w:ascii="Times New Roman;Times;serif" w:hAnsi="Times New Roman;Times;serif"/>
          <w:color w:val="000000"/>
          <w:sz w:val="20"/>
        </w:rPr>
        <w:t>”); and (ii) 50,000,000 shares of preferred stock, with the par value of $0.0001 per share (the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4.2 Subject to 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of the Common Stock, Class A Common Stock, Class B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the case of Class A Common Stock, the number of shares of Class A Common Stock issuable in connection with (x) the exchange of all outstanding shares of Class B Common Stock, together with the corresponding Common Units, pursuant to the Exchange Agreement and (y) the exercise of outstanding options, warrants, exchange rights, conversion rights or similar rights for Class A Common Stock;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 the case of Class B Common Stock, the number of shares of Class B Common Stock issuable in connection with the exercise of outstanding options, warrants, exchange rights, conversion rights or similar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Classes of Shares</w:t>
      </w:r>
      <w:r>
        <w:rPr>
          <w:rFonts w:ascii="Times New Roman;Times;serif" w:hAnsi="Times New Roman;Times;serif"/>
          <w:color w:val="000000"/>
          <w:sz w:val="20"/>
        </w:rPr>
        <w:t xml:space="preserve">. The designation, relative rights, preferences and limitations of the shares of each class of stock are as follows: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6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Voting Rights</w:t>
      </w:r>
      <w:r>
        <w:rPr>
          <w:rFonts w:ascii="Times New Roman;Times;serif" w:hAnsi="Times New Roman;Times;serif"/>
          <w:color w:val="000000"/>
          <w:sz w:val="20"/>
        </w:rPr>
        <w:t xml:space="preserve">.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(1) Each holder of Class A Common Stock will be entitled to one vote for each share of Class A Common Stock held of record by such holder on all matters on which stockholders generally are entitled to vote, and each holder of Class B Common Stock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45101x2_424b3_302-annexb_pg2"/>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entitled to one vote for each share of Class B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series of Preferred Stock if the holders of such series of Preferred Stock are entitled, either separately or together with the holders of one or more other such series, to vote or consent thereon pursuant to this Certificate of Incorporation (including any certificate of designations relating to any series of Preferred Stock) or under the General Corporation Law.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(2) (a) The holders of the outstanding shares of Class A Common Stock shall be entitled to vote separately upon any amendment to this Certificate of Incorporation (including by merger, conversion, consolidation, reorganization or similar event) that would alter or change the powers, preferences or special rights of such class of Common Stock in a manner that is adverse as compared to the Class B Common Stock and (b) the holders of the outstanding shares of Class B Common Stock shall be entitled to vote separately upon any amendment to this Certificate of Incorporation (including by merger, conversion, consolidation, reorganization or similar event) that would alter or change the powers, preferences or special rights of such class of Common Stock in a manner that is adverse as compared to the Class A Common Stock.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 </w:t>
      </w:r>
    </w:p>
    <w:p>
      <w:pPr>
        <w:pStyle w:val="TextBody"/>
        <w:bidi w:val="0"/>
        <w:spacing w:before="16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Dividends; Stock Splits or Combinations</w:t>
      </w:r>
      <w:r>
        <w:rPr>
          <w:rFonts w:ascii="Times New Roman;Times;serif" w:hAnsi="Times New Roman;Times;serif"/>
          <w:color w:val="000000"/>
          <w:sz w:val="20"/>
        </w:rPr>
        <w:t xml:space="preserve">.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(1) Subject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of directors of the Corporation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in its discretion may determine, and shall share equally on a per share basis in such dividends.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(2) Except as provided in Section ‎5.1(ii)(3) with respect to stock dividends, dividends of cash or property shall not be declared or paid on shares of Class B Common Stock. </w:t>
      </w:r>
    </w:p>
    <w:p>
      <w:pPr>
        <w:pStyle w:val="TextBody"/>
        <w:bidi w:val="0"/>
        <w:spacing w:before="120" w:after="283"/>
        <w:ind w:left="1600" w:right="0" w:firstLine="400"/>
        <w:jc w:val="left"/>
        <w:rPr>
          <w:rFonts w:ascii="Times New Roman;Times;serif" w:hAnsi="Times New Roman;Times;serif"/>
          <w:color w:val="000000"/>
          <w:sz w:val="20"/>
        </w:rPr>
      </w:pPr>
      <w:r>
        <w:rPr>
          <w:rFonts w:ascii="Times New Roman;Times;serif" w:hAnsi="Times New Roman;Times;serif"/>
          <w:color w:val="000000"/>
          <w:sz w:val="20"/>
        </w:rPr>
        <w:t>(3) In no event will any stock dividend, stock split, reverse stock split, combination of stock, subdivision of stock, reclassification or recapitalization be declared or made on any class of Common Stock (each, a “</w:t>
      </w:r>
      <w:r>
        <w:rPr>
          <w:rFonts w:ascii="Times New Roman;Times;serif" w:hAnsi="Times New Roman;Times;serif"/>
          <w:color w:val="000000"/>
          <w:sz w:val="20"/>
          <w:u w:val="single"/>
        </w:rPr>
        <w:t>Stock Adjustment</w:t>
      </w:r>
      <w:r>
        <w:rPr>
          <w:rFonts w:ascii="Times New Roman;Times;serif" w:hAnsi="Times New Roman;Times;serif"/>
          <w:color w:val="000000"/>
          <w:sz w:val="20"/>
        </w:rPr>
        <w:t xml:space="preserve">”)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Stock dividends with respect to each class of Common Stock may only be declared and paid with shares of stock of the same class of Common Stock.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Liquidation</w:t>
      </w:r>
      <w:r>
        <w:rPr>
          <w:rFonts w:ascii="Times New Roman;Times;serif" w:hAnsi="Times New Roman;Times;serif"/>
          <w:color w:val="000000"/>
          <w:sz w:val="20"/>
        </w:rPr>
        <w:t xml:space="preserve">. Subject to applicable law,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any outstanding series of Preferred Stock are entitled, if any, the holders of all outstanding shares of Class A Common Stock will be entitled to receive, </w:t>
      </w:r>
      <w:r>
        <w:rPr>
          <w:rFonts w:ascii="Times New Roman;Times;serif" w:hAnsi="Times New Roman;Times;serif"/>
          <w:i/>
          <w:color w:val="000000"/>
          <w:sz w:val="20"/>
        </w:rPr>
        <w:t xml:space="preserve">pari passu </w:t>
      </w:r>
      <w:r>
        <w:rPr>
          <w:rFonts w:ascii="Times New Roman;Times;serif" w:hAnsi="Times New Roman;Times;serif"/>
          <w:color w:val="000000"/>
          <w:sz w:val="20"/>
        </w:rPr>
        <w:t xml:space="preserve">with the holders of outstanding shares of Class B Common Stock, an amount per share equal to the par value thereof, and thereafter the holders of all outstanding shares of Class A Common Stock will be entitled to receive the remaining assets of the Corporation available for distribution ratably in proportion to the number of shares of Class A Common Stock. Without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45101x2_424b3_302-annexb_pg3"/>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limiting the rights of the holders of the outstanding shares of Class B Common Stock to exchange their shares of Class B Common Stock, together with the corresponding Common Units constituting the remainder of any Paired Interests in which such shares are included, for shares of Class A Common Stock in accordance with the Exchange Agreement (or for the consideration payable in respect of shares of Class A Common Stock in such voluntary or involuntary liquidation, dissolution or winding-up), the holders of outstanding shares of Class B Common Stock, as such, will not be entitled to receive, with respect to such shares, any assets of the Corporation in excess of the par value thereof (which such payment shall be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the holders of outstanding shares of Class A Common Stock), in the event of any voluntary or involuntary liquidation, dissolution or winding up of the affairs of the Corporation.</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The Board is hereby expressly authorized, subject to any limitations prescribed by the General Corporation Law,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aggregate number of shares issued and not retired of any and all such series shall not exceed the total number of shares of Preferred Stock hereinabove authorized.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Class B Common Stock</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Retirement of Class B Shares</w:t>
      </w:r>
      <w:r>
        <w:rPr>
          <w:rFonts w:ascii="Times New Roman;Times;serif" w:hAnsi="Times New Roman;Times;serif"/>
          <w:color w:val="000000"/>
          <w:sz w:val="20"/>
        </w:rPr>
        <w:t xml:space="preserve">. No holder of Class B Common Stock may transfer shares of Class B Common Stock to any person unless such holder transfers a corresponding number of Common Units to the same person in accordance with the provisions of the LLC Agreement. If any outstanding share of Class B Common Stock ceases to be held by a holder of the corresponding Common Unit, as set forth in the books and records of ProKidney Holdings, LLC, such share shall automatically and without further action on the part of the Corporation or any holder of Class B Common Stock be transferred to the Corporation for no consideration and retired, and any purported transfer of Class B Common Stock which does not include the simultaneous transfer of a corresponding number of such holder’s Common Units to such transferee or is otherwise not in accordance with the LLC Agreement and/or Exchange Agreement, as applicable, shall be null and void and such transferee shall not obtain any rights in and to such shares of Class B Common Stock, nor shall such transferee be recognized by the Corporation’s transfer agent.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Reservation of Shares of Class A Common Stock</w:t>
      </w:r>
      <w:r>
        <w:rPr>
          <w:rFonts w:ascii="Times New Roman;Times;serif" w:hAnsi="Times New Roman;Times;serif"/>
          <w:color w:val="000000"/>
          <w:sz w:val="20"/>
        </w:rPr>
        <w:t xml:space="preserve">. The Corporation will at all times reserve and keep available out of its authorized and unissued shares of Class A Common Stock, solely for the purpose of the issuance in connection with the exchange of Paired Interests, the number of shares of Class A Common Stock that are issuable upon conversion of all outstanding Paired Interests, pursuant to the Exchange Agreement. The Corporation covenants that all the shares of Class A Common Stock that are issued upon the exchange of such Paired Interests will, upon issuance, be validly issued, fully paid and non-assessable.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The issuance of shares of Class A Common Stock upon the exercise by holders of Common Units of their right under the Exchange Agreement to exchange Paired Interests for shares of Class A Common Stock will be made without charge to such holders for any transfer taxes, stamp taxes or duties or other similar tax in respect of the issuance;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any such shares of Class A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45101x2_424b3_302-annexb_pg4"/>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Preemptive Rights</w:t>
      </w:r>
      <w:r>
        <w:rPr>
          <w:rFonts w:ascii="Times New Roman;Times;serif" w:hAnsi="Times New Roman;Times;serif"/>
          <w:color w:val="000000"/>
          <w:sz w:val="20"/>
        </w:rPr>
        <w:t xml:space="preserve">. To the extent Common Units are issued pursuant to the LLC Agreement to anyone other than the Corporation or a wholly owned subsidiary of the Corporation, an equivalent number of shares of Class B Common Stock (subject to adjustment as set forth herein) shall to the fullest extent permitted by law be issued to the same Person to which such Common Units are issued at par value.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Number of Directors</w:t>
      </w:r>
      <w:r>
        <w:rPr>
          <w:rFonts w:ascii="Times New Roman;Times;serif" w:hAnsi="Times New Roman;Times;serif"/>
          <w:color w:val="000000"/>
          <w:sz w:val="20"/>
        </w:rPr>
        <w:t>.</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(i) Unless and except to the extent that the By-laws of the Corporation (as such By-laws may be amended from time to time, the “</w:t>
      </w:r>
      <w:r>
        <w:rPr>
          <w:rFonts w:ascii="Times New Roman;Times;serif" w:hAnsi="Times New Roman;Times;serif"/>
          <w:color w:val="000000"/>
          <w:sz w:val="20"/>
          <w:u w:val="single"/>
        </w:rPr>
        <w:t>By-laws</w:t>
      </w:r>
      <w:r>
        <w:rPr>
          <w:rFonts w:ascii="Times New Roman;Times;serif" w:hAnsi="Times New Roman;Times;serif"/>
          <w:color w:val="000000"/>
          <w:sz w:val="20"/>
        </w:rPr>
        <w:t>”) shall so require, the election of the directors of the Corporation (the “</w:t>
      </w:r>
      <w:r>
        <w:rPr>
          <w:rFonts w:ascii="Times New Roman;Times;serif" w:hAnsi="Times New Roman;Times;serif"/>
          <w:color w:val="000000"/>
          <w:sz w:val="20"/>
          <w:u w:val="single"/>
        </w:rPr>
        <w:t>Directors</w:t>
      </w:r>
      <w:r>
        <w:rPr>
          <w:rFonts w:ascii="Times New Roman;Times;serif" w:hAnsi="Times New Roman;Times;serif"/>
          <w:color w:val="000000"/>
          <w:sz w:val="20"/>
        </w:rPr>
        <w:t xml:space="preserve">”) need not be by written ballot. Except as otherwise provided for or fixed pursuant to the provisions of Section 5.2 of this Certificate of Incorporation relating to the rights of the holders of any series of Preferred Stock to elect additional Directors, the total number of Directors constituting the entire Board shall, (a) as of the date of this Certificate of Incorporation, initially be eight (8) and (b) thereafter, shall be determined exclusively by one or more resolutions adopted from time to time by the Board. The initial Directors of the Board are listed below: </w:t>
      </w:r>
    </w:p>
    <w:tbl>
      <w:tblPr>
        <w:tblW w:w="8090" w:type="dxa"/>
        <w:jc w:val="left"/>
        <w:tblInd w:w="0" w:type="dxa"/>
        <w:tblLayout w:type="fixed"/>
        <w:tblCellMar>
          <w:top w:w="0" w:type="dxa"/>
          <w:left w:w="0" w:type="dxa"/>
          <w:bottom w:w="0" w:type="dxa"/>
          <w:right w:w="0" w:type="dxa"/>
        </w:tblCellMar>
      </w:tblPr>
      <w:tblGrid>
        <w:gridCol w:w="2330"/>
        <w:gridCol w:w="140"/>
        <w:gridCol w:w="140"/>
        <w:gridCol w:w="5480"/>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Pablo Legorreta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Culleton,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Uma Sinha,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F. Doyle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M. Lotvin,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J. G. Pereira,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José Ignacio Jiménez Santos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2000 Frontis Plaza Blvd., Suite 250, Winston-Salem, NC 27103</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pPr>
            <w:r>
              <w:rPr/>
              <w:t> </w:t>
            </w:r>
          </w:p>
        </w:tc>
      </w:tr>
    </w:tbl>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(ii) During any period when the holders of any series of Preferred Stock have the right to elect additional Directors as provided for or fixed pursuant to the provisions of Section ‎5.2 (“</w:t>
      </w:r>
      <w:r>
        <w:rPr>
          <w:rFonts w:ascii="Times New Roman;Times;serif" w:hAnsi="Times New Roman;Times;serif"/>
          <w:color w:val="000000"/>
          <w:sz w:val="20"/>
          <w:u w:val="single"/>
        </w:rPr>
        <w:t>Preferred Stock Directors</w:t>
      </w:r>
      <w:r>
        <w:rPr>
          <w:rFonts w:ascii="Times New Roman;Times;serif" w:hAnsi="Times New Roman;Times;serif"/>
          <w:color w:val="000000"/>
          <w:sz w:val="20"/>
        </w:rPr>
        <w:t xml:space="preserve">”), upon the commencement, and for the duration, of the period during which such right continues: (i) the then total authorized number of Directors of the Corporation fixed pursuant to Section 7.1(i) hereof shall automatically be increased by such specified number of Preferred Stock Directors, and the holders of the related Preferred Stock shall be entitled to elect the Preferred Stock Directors pursuant to the provisions of the certificate of designation for the series of Preferred Stock and (ii) each such Preferred Stock Director shall serve until such Preferred Stock Director’s successor shall have been duly elected and qualified, or until such Preferred Stock Director’s right to hold such directorship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 but in no case to less than the number of directors fixed pursuant to Section 7.1(i) 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Staggered Board</w:t>
      </w:r>
      <w:r>
        <w:rPr>
          <w:rFonts w:ascii="Times New Roman;Times;serif" w:hAnsi="Times New Roman;Times;serif"/>
          <w:color w:val="000000"/>
          <w:sz w:val="20"/>
        </w:rPr>
        <w:t xml:space="preserve">. The Board (other than Preferred Stock Directors) shall be divided into three (3) classes, apportioned to consist of, as nearly as possible, one-third of the total number of directors, designated Class I, Class II and Class III. Class I Directors shall initially serve until the first annual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45101x2_424b3_302-annexb_pg5"/>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of stockholders following the effective time of this Certificate of Incorporation; Class II Directors shall initially serve until the second annual meeting of stockholders following the effective time of this Certificate of Incorporation; and Class III Directors shall initially serve until the third annual meeting of stockholders following the effective time of this Certificate of Incorporation. Each Director of each class, the term of which shall then expire, shall be elected to hold office for a term ending on the date of the third annual meeting of stockholders next following the annual meeting at which such director was elected. In case of any increase or decrease, from time to time, in the number of Directors (other than Preferred Stock Directors), the number of Directors in each class shall be apportioned to consist of, as nearly as possible, one-third of the total number of directors in the sole discretion of the Board. As of the effective time of this Certificate of Incorporation, (i) the Class I Directors are William F. Doyle, Alan M Lotvin, M.D., Brian J.D. Pereria, M.D., (ii) the Class II Directors are Jennifer Fox and José Ignacio Jiménez Santos and (iii) the Class III Directors are Bruce Culleton, M.D., Pablo Legoretta and Uma Sinha, Ph.D. In the event of any change in the number of directors, the Board shall apportion any newly created directorships among, or reduce the number of directorships in, such class or classes so that each class is apportioned to consist of, as nearly as possible, one-third of the total number of directors in each class, as determined necessary in the sole discretion of the Board. In no event will a decrease in the number of Directors shorten the term of any Director then in office.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7.3 </w:t>
      </w:r>
      <w:r>
        <w:rPr>
          <w:rFonts w:ascii="Times New Roman;Times;serif" w:hAnsi="Times New Roman;Times;serif"/>
          <w:color w:val="000000"/>
          <w:sz w:val="20"/>
          <w:u w:val="single"/>
        </w:rPr>
        <w:t>Vacancies and Newly Created Directorships</w:t>
      </w:r>
      <w:r>
        <w:rPr>
          <w:rFonts w:ascii="Times New Roman;Times;serif" w:hAnsi="Times New Roman;Times;serif"/>
          <w:color w:val="000000"/>
          <w:sz w:val="20"/>
        </w:rPr>
        <w:t xml:space="preserve">.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only by the affirmative vote of a majority of the remaining Directors then in office, even if less than a quorum of the Board, and not by the stockholders. Any Director so chosen shall hold office until the next election of the class for which such Director shall have been chosen and until his or her successor shall be duly elected and qualified or until such Director’s earlier death, disqualification, resignation or removal. In no event will a decrease in the number of Directors shorten the term of any Director then in office.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7.4 </w:t>
      </w:r>
      <w:r>
        <w:rPr>
          <w:rFonts w:ascii="Times New Roman;Times;serif" w:hAnsi="Times New Roman;Times;serif"/>
          <w:color w:val="000000"/>
          <w:sz w:val="20"/>
          <w:u w:val="single"/>
        </w:rPr>
        <w:t>Removal of Directors</w:t>
      </w:r>
      <w:r>
        <w:rPr>
          <w:rFonts w:ascii="Times New Roman;Times;serif" w:hAnsi="Times New Roman;Times;serif"/>
          <w:color w:val="000000"/>
          <w:sz w:val="20"/>
        </w:rPr>
        <w:t xml:space="preserve">. Subject to any limitations imposed by applicable law, except for Preferred Stock Directors, any Director or the entire Board may be removed from office at any time, but only for cause by the affirmative vote of the holders of at least 66 2/3% of the total voting power of the outstanding shares of capital stock of the Corporation entitled to vote generally in the election of Directors, voting together as a single class.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Meetings of Stockholders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Action by Written Consent</w:t>
      </w:r>
      <w:r>
        <w:rPr>
          <w:rFonts w:ascii="Times New Roman;Times;serif" w:hAnsi="Times New Roman;Times;serif"/>
          <w:color w:val="000000"/>
          <w:sz w:val="20"/>
        </w:rPr>
        <w:t xml:space="preserve">. Any action required or permitted to be taken by the stockholders of the Corporation may be effected only at a duly called annual or special meeting of stockholders of the Corporation and may not be effected by any consent by such stockholders;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action required or permitted to be taken by the holders of any or all series of Preferred Stock voting separately as a series of Preferred Stock or separately as a class of Preferred Stock (including with respect to any such action specified in the Certificate of Incorporation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Meetings of Stockholders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45101x2_424b3_302-annexb_pg6"/>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 annual meeting of stockholders for the election of Directors to succeed those whose terms expire and for the transaction of such other business as may properly come before the meeting shall be held at such date, time and place, or, if so determined by the Board in its sole discretion, at no place (but rather by means of remote communication), as the Board shall determine from time to time.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(ii) Subject to any special rights of the holders of any outstanding series of Preferred Stock, and to the requirements of applicable law, special meetings of stockholders of the Corporation may be called only by the chairperson of the Board, the chief executive officer of the Corporation or at the direction of the Board pursuant to a written resolution adopted by a majority of the total number of Directors that the Corporation would have if there were no vacancies. Any business transacted at any special meeting of stockholders shall be limited to matters relating to the purpose or purposes stated in the notice of meeting, and the Board shall have exclusive authority to determine the business included in such notice pursuant to the procedures provided in the By-laws. Subject to applicable law, the chairperson of the Board, the chief executive officer or the Board may postpone, reschedule or cancel any special meeting of the stockholders previously called by such persons. The ability of holders of Common Stock to call a special meeting of the stockholders is hereby specifically denied.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(iii) Advance notice of stockholder nominations for the election of Directors and of business to be brought by stockholders before any meeting of the stockholders of the Corporation shall be given in the manner provided in the By-laws of the Corporation.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No Cumulative Voting; Election of Directors by Written Ballot</w:t>
      </w:r>
      <w:r>
        <w:rPr>
          <w:rFonts w:ascii="Times New Roman;Times;serif" w:hAnsi="Times New Roman;Times;serif"/>
          <w:color w:val="000000"/>
          <w:sz w:val="20"/>
        </w:rPr>
        <w:t xml:space="preserve">. There shall be no cumulative voting in the election of Directors. Unless and except to the extent that the By-laws shall so require, the election of the Directors need not be by written ballot.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Limited Liability</w:t>
      </w:r>
      <w:r>
        <w:rPr>
          <w:rFonts w:ascii="Times New Roman;Times;serif" w:hAnsi="Times New Roman;Times;serif"/>
          <w:color w:val="000000"/>
          <w:sz w:val="20"/>
        </w:rPr>
        <w:t xml:space="preserve">. No director or officer of the Corporation shall be personally liable to the Corporation or its stockholders for monetary damages for any breach of fiduciary duty as a director or officer, except to the extent such exemption from liability or limitation thereof is not permitted under the General Corporation Law as the same exists or may hereafter be amended. Any repeal or modification of the foregoing sentence shall not adversely affect any right or protection of a director or officer of the Corporation existing hereunder with respect to any act or omission occurring prior to such repeal or modification.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9.2 </w:t>
      </w:r>
      <w:r>
        <w:rPr>
          <w:rFonts w:ascii="Times New Roman;Times;serif" w:hAnsi="Times New Roman;Times;serif"/>
          <w:color w:val="000000"/>
          <w:sz w:val="20"/>
          <w:u w:val="single"/>
        </w:rPr>
        <w:t>Right to Indemnification</w:t>
      </w:r>
      <w:r>
        <w:rPr>
          <w:rFonts w:ascii="Times New Roman;Times;serif" w:hAnsi="Times New Roman;Times;serif"/>
          <w:color w:val="000000"/>
          <w:sz w:val="20"/>
        </w:rPr>
        <w:t xml:space="preserve">. To the fullest extent permitted by applicable law, the Corporation shall provide indemnification of (and advancement of expenses to) the Directors and officers of the Corporation; provided, however, that the Corporation shall not be required to indemnify (or advance expenses to) any Director or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pursuant to the Corporation’s By-laws. If applicable law is amended after approval by the stockholders of this Article 9 to authorize corporate action further eliminating or limiting the personal liability of Directors or officers, then the liability of a Director or an officer to the Corporation shall be eliminated or limited to the fullest extent permitted by applicable law as so amended. Any repeal or modification of this Article 9 shall only be prospective and shall not affect the rights or protections or increase the liability of any Director or officer under this Article 9 in effect at the time of the alleged occurrence of any act or omission to act giving rise to liability or indemnification.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9.3 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45101x2_424b3_302-annexb_pg7"/>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9.4 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The rights and authority conferred in this Article 9 shall not be exclusive of any other right that any Person may otherwise have or hereafter acquire.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Adoption, Amendment or Repeal of By-Laws</w:t>
      </w:r>
      <w:r>
        <w:rPr>
          <w:rFonts w:ascii="Times New Roman;Times;serif" w:hAnsi="Times New Roman;Times;serif"/>
          <w:color w:val="000000"/>
          <w:sz w:val="20"/>
        </w:rPr>
        <w:t xml:space="preserve">. In furtherance and not in limitation of the powers conferred by law, the Board is expressly authorized to make, adopt, alter, amend, change, add to, rescind or repeal, in whole or in part, the By-laws. Any of the foregoing shall require the approval of a majority of the Board. The stockholders shall also have power to make, adopt, alter, amend, change, add to, rescind or repeal, in whole or in part, the By-laws of the Corporation; provided, however, that, in addition to any vote of the holders of any class or series of stock of the Corporation required by law or by this Certificate of Incorporation, such action by stockholders shall require the affirmative vote of the holders of at least 66 2/3% of the voting power of all of the then-outstanding shares of the capital stock of the Corporation entitled to vote thereon, voting together as a single class.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Adoption, Amendment and Repeal of Certificate</w:t>
      </w:r>
      <w:r>
        <w:rPr>
          <w:rFonts w:ascii="Times New Roman;Times;serif" w:hAnsi="Times New Roman;Times;serif"/>
          <w:color w:val="000000"/>
          <w:sz w:val="20"/>
        </w:rPr>
        <w:t xml:space="preserve">. Subject to Article ‎5, the Corporation reserves the right to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Notwithstanding anything to the contrary contained in this Certificate of Incorporation, and notwithstanding that a lesser percentage may be permitted from time to time by applicable law, no provision of Sections ‎7.2, ‎7.3 and ‎7.4 of Article ‎7, Sections ‎8.1 and ‎8.2 of Article ‎8 or Article ‎9, ‎10, 11, ‎12 or 15 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in addition to any other vote otherwise required by law, the affirmative vote of the holders of sixty-six and two-thirds percent (66 and 2/3%) of the total voting power of the outstanding shares of capital stock of the Corporation entitled to vote thereon, voting together as a single class, at a meeting of the stockholders called for that purpose.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Forum for Adjudication of Disputes</w:t>
      </w:r>
      <w:r>
        <w:rPr>
          <w:rFonts w:ascii="Times New Roman;Times;serif" w:hAnsi="Times New Roman;Times;serif"/>
          <w:color w:val="000000"/>
          <w:sz w:val="20"/>
        </w:rPr>
        <w:t>.</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Corporation arising out of or pursuant to any provision of the General Corporation Law,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General Corporation Law confers jurisdiction to the Court of Chancery of the State of Delaware; and/or (F) any action or claim against the Corporation or any current or former Director, officer or other employee of the Corporation governed by the internal affairs doctrine or an “internal corporate claim” as defined in Section 115 of the General Corporation Law, in each case, subject to said court having personal jurisdiction over the indispensable parties named as defendants therein. This Article 12 shall not apply to suits brought to enforce a duty or liability created by the Exchange Act or any other claim for which the federal courts have exclusive jurisdiction.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45101x2_424b3_302-annexb_pg8"/>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12.2 If any action the subject matter of which is within the scope of Section 12.1 is filed in a court other than a court located within the State of Delaware (a “</w:t>
      </w:r>
      <w:r>
        <w:rPr>
          <w:rFonts w:ascii="Times New Roman;Times;serif" w:hAnsi="Times New Roman;Times;serif"/>
          <w:color w:val="000000"/>
          <w:sz w:val="20"/>
          <w:u w:val="single"/>
        </w:rPr>
        <w:t>Foreign Action</w:t>
      </w:r>
      <w:r>
        <w:rPr>
          <w:rFonts w:ascii="Times New Roman;Times;serif" w:hAnsi="Times New Roman;Times;serif"/>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Section 12.1 (an “</w:t>
      </w:r>
      <w:r>
        <w:rPr>
          <w:rFonts w:ascii="Times New Roman;Times;serif" w:hAnsi="Times New Roman;Times;serif"/>
          <w:color w:val="000000"/>
          <w:sz w:val="20"/>
          <w:u w:val="single"/>
        </w:rPr>
        <w:t>Enforcement Action</w:t>
      </w:r>
      <w:r>
        <w:rPr>
          <w:rFonts w:ascii="Times New Roman;Times;serif" w:hAnsi="Times New Roman;Times;serif"/>
          <w:color w:val="000000"/>
          <w:sz w:val="20"/>
        </w:rPr>
        <w:t xml:space="preserve">”) and (ii) having service of process made upon such stockholder in any such Enforcement Action by service upon such stockholder’s counsel in the Foreign Action as agent for such stockholder.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12.3 Notwithstanding the foregoing provisions of this Article 12,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including all causes of action asserted against any defendant to such complaint. For the avoidance of doubt, this provision is intended to benefit and may be enforced by the Corporation (including any successor),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12.4 To the fullest extent permitted by applicable law, any person or entity purchasing, holding, owning or otherwise acquiring any interest in any security of the Corporation shall be deemed to have notice of and to have consented to the provisions of this Article 12.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Sole Incorporator</w:t>
      </w:r>
      <w:r>
        <w:rPr>
          <w:rFonts w:ascii="Times New Roman;Times;serif" w:hAnsi="Times New Roman;Times;serif"/>
          <w:color w:val="000000"/>
          <w:sz w:val="20"/>
        </w:rPr>
        <w:t xml:space="preserve">. The name and mailing address of the sole incorporator of the Corporation is Todd C. Girolamo, c/o 2000 Frontis Plaza Blvd., Suite 250, Winston-Salem, NC 27103.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Corporate Opportunity</w:t>
      </w:r>
      <w:r>
        <w:rPr>
          <w:rFonts w:ascii="Times New Roman;Times;serif" w:hAnsi="Times New Roman;Times;serif"/>
          <w:color w:val="000000"/>
          <w:sz w:val="20"/>
        </w:rPr>
        <w:t xml:space="preserve">. To the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Restricted Stock Rights</w:t>
      </w:r>
      <w:r>
        <w:rPr>
          <w:rFonts w:ascii="Times New Roman;Times;serif" w:hAnsi="Times New Roman;Times;serif"/>
          <w:color w:val="000000"/>
          <w:sz w:val="20"/>
        </w:rPr>
        <w:t>. In connection with the transactions contemplated by the Business Combination Agreement, the Corporation has issued one or more series of restricted stock rights evidencing the right to receive share(s) of Class B Common Stock in the future, the settlement of which is subject to vesting, forfeiture and cancellation for no consideration and other restrictions, in each case, as determined in the Corporation’s sole discretion (“</w:t>
      </w:r>
      <w:r>
        <w:rPr>
          <w:rFonts w:ascii="Times New Roman;Times;serif" w:hAnsi="Times New Roman;Times;serif"/>
          <w:color w:val="000000"/>
          <w:sz w:val="20"/>
          <w:u w:val="single"/>
        </w:rPr>
        <w:t>Restricted Stock Rights</w:t>
      </w:r>
      <w:r>
        <w:rPr>
          <w:rFonts w:ascii="Times New Roman;Times;serif" w:hAnsi="Times New Roman;Times;serif"/>
          <w:color w:val="000000"/>
          <w:sz w:val="20"/>
        </w:rPr>
        <w:t>” and the holder thereof, an “</w:t>
      </w:r>
      <w:r>
        <w:rPr>
          <w:rFonts w:ascii="Times New Roman;Times;serif" w:hAnsi="Times New Roman;Times;serif"/>
          <w:color w:val="000000"/>
          <w:sz w:val="20"/>
          <w:u w:val="single"/>
        </w:rPr>
        <w:t>RSR Holder</w:t>
      </w:r>
      <w:r>
        <w:rPr>
          <w:rFonts w:ascii="Times New Roman;Times;serif" w:hAnsi="Times New Roman;Times;serif"/>
          <w:color w:val="000000"/>
          <w:sz w:val="20"/>
        </w:rPr>
        <w:t xml:space="preserve">”). Each RSR Holder shall have the economic rights and entitlements in respect of its Restricted Stock Right(s) as determined by the Corporation in its sole discretion; provided that, no RSR Holder shall have any right to receive any dividend, distribution or other payment of any kind with respect its Restricted Stock Right(s)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45101x2_424b3_302-annexb_pg9"/>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share(s) of Class B Common Stock issuable in respect of its Restricted Stock Right(s) upon the achievement of applicable vesting events, in each case, unless and until certain applicable vesting events set forth in the Business Combination Agreement have been achieved, in each case, as determined by the Corporation in its sole discretion.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17. </w:t>
      </w:r>
      <w:r>
        <w:rPr>
          <w:rFonts w:ascii="Times New Roman;Times;serif" w:hAnsi="Times New Roman;Times;serif"/>
          <w:color w:val="000000"/>
          <w:sz w:val="20"/>
          <w:u w:val="single"/>
        </w:rPr>
        <w:t>Facts Ascertainable</w:t>
      </w:r>
      <w:r>
        <w:rPr>
          <w:rFonts w:ascii="Times New Roman;Times;serif" w:hAnsi="Times New Roman;Times;serif"/>
          <w:color w:val="000000"/>
          <w:sz w:val="20"/>
        </w:rPr>
        <w:t xml:space="preserve">.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upon a request therefor.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18. 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As used in this Certificate of Incorporation, unless the context otherwise requires or as set forth in another Article or Section of this Certificate of Incorporation, the term: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directly or indirectly controlling, controlled by or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is defined in Section ‎5.1(ii)(1).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Business Combination Agreement</w:t>
      </w:r>
      <w:r>
        <w:rPr>
          <w:rFonts w:ascii="Times New Roman;Times;serif" w:hAnsi="Times New Roman;Times;serif"/>
          <w:color w:val="000000"/>
          <w:sz w:val="20"/>
        </w:rPr>
        <w:t xml:space="preserve">” means the Business Combination Agreement dated as of January 18, 2022, by and between Social Capital Suvretta Holdings Corp. III (as predecessor-in-interest to the Corporation) and ProKidney LP (as predecessor-in-interest to ProKidney Holdings, LLC).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is defined in Section ‎7.1.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is defined in the recitals.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Class A Common Stock</w:t>
      </w:r>
      <w:r>
        <w:rPr>
          <w:rFonts w:ascii="Times New Roman;Times;serif" w:hAnsi="Times New Roman;Times;serif"/>
          <w:color w:val="000000"/>
          <w:sz w:val="20"/>
        </w:rPr>
        <w:t xml:space="preserve">” is defined in Section ‎4.1.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Class B Common Stock</w:t>
      </w:r>
      <w:r>
        <w:rPr>
          <w:rFonts w:ascii="Times New Roman;Times;serif" w:hAnsi="Times New Roman;Times;serif"/>
          <w:color w:val="000000"/>
          <w:sz w:val="20"/>
        </w:rPr>
        <w:t xml:space="preserve">” is defined in Section ‎4.1.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is defined in Section ‎4.1.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Common Unit</w:t>
      </w:r>
      <w:r>
        <w:rPr>
          <w:rFonts w:ascii="Times New Roman;Times;serif" w:hAnsi="Times New Roman;Times;serif"/>
          <w:color w:val="000000"/>
          <w:sz w:val="20"/>
        </w:rPr>
        <w:t xml:space="preserve">” means a unit of limited liability company interest in ProKidney Holdings, LLC designated as a Common Unit pursuant to the LLC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control</w:t>
      </w:r>
      <w:r>
        <w:rPr>
          <w:rFonts w:ascii="Times New Roman;Times;serif" w:hAnsi="Times New Roman;Times;serif"/>
          <w:color w:val="000000"/>
          <w:sz w:val="20"/>
        </w:rPr>
        <w:t>” (including the terms “</w:t>
      </w:r>
      <w:r>
        <w:rPr>
          <w:rFonts w:ascii="Times New Roman;Times;serif" w:hAnsi="Times New Roman;Times;serif"/>
          <w:color w:val="000000"/>
          <w:sz w:val="20"/>
          <w:u w:val="single"/>
        </w:rPr>
        <w:t>controlling</w:t>
      </w:r>
      <w:r>
        <w:rPr>
          <w:rFonts w:ascii="Times New Roman;Times;serif" w:hAnsi="Times New Roman;Times;serif"/>
          <w:color w:val="000000"/>
          <w:sz w:val="20"/>
        </w:rPr>
        <w:t>” and “</w:t>
      </w:r>
      <w:r>
        <w:rPr>
          <w:rFonts w:ascii="Times New Roman;Times;serif" w:hAnsi="Times New Roman;Times;serif"/>
          <w:color w:val="000000"/>
          <w:sz w:val="20"/>
          <w:u w:val="single"/>
        </w:rPr>
        <w:t>controlled</w:t>
      </w:r>
      <w:r>
        <w:rPr>
          <w:rFonts w:ascii="Times New Roman;Times;serif" w:hAnsi="Times New Roman;Times;serif"/>
          <w:color w:val="000000"/>
          <w:sz w:val="20"/>
        </w:rPr>
        <w:t xml:space="preserve">”),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means ProKidney Corp.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is defined in Section ‎7.1.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Enforcement Action</w:t>
      </w:r>
      <w:r>
        <w:rPr>
          <w:rFonts w:ascii="Times New Roman;Times;serif" w:hAnsi="Times New Roman;Times;serif"/>
          <w:color w:val="000000"/>
          <w:sz w:val="20"/>
        </w:rPr>
        <w:t xml:space="preserve">” is defined in Section 12.2.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Exchange Agreement</w:t>
      </w:r>
      <w:r>
        <w:rPr>
          <w:rFonts w:ascii="Times New Roman;Times;serif" w:hAnsi="Times New Roman;Times;serif"/>
          <w:color w:val="000000"/>
          <w:sz w:val="20"/>
        </w:rPr>
        <w:t xml:space="preserve">” means the Exchange Agreement, dated as of [•], 2025, by and among the Corporation, ProKidney Holdings, LLC and certain holders of interests in ProKidney Holdings, LLC party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45101x2_424b3_302-annexb_pg10"/>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Foreign Action</w:t>
      </w:r>
      <w:r>
        <w:rPr>
          <w:rFonts w:ascii="Times New Roman;Times;serif" w:hAnsi="Times New Roman;Times;serif"/>
          <w:color w:val="000000"/>
          <w:sz w:val="20"/>
        </w:rPr>
        <w:t xml:space="preserve">” is defined in Section 12.2.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General Corporation Law</w:t>
      </w:r>
      <w:r>
        <w:rPr>
          <w:rFonts w:ascii="Times New Roman;Times;serif" w:hAnsi="Times New Roman;Times;serif"/>
          <w:color w:val="000000"/>
          <w:sz w:val="20"/>
        </w:rPr>
        <w:t xml:space="preserve">” is defined in Section 3.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LLC Agreement</w:t>
      </w:r>
      <w:r>
        <w:rPr>
          <w:rFonts w:ascii="Times New Roman;Times;serif" w:hAnsi="Times New Roman;Times;serif"/>
          <w:color w:val="000000"/>
          <w:sz w:val="20"/>
        </w:rPr>
        <w:t xml:space="preserve">” means the Second Amended and Restated Limited Liability Company Agreement of ProKidney Holdings, LLC, dated as of [•], 2025, by and among the Corporation, the Post-Combination LLC Members and the other Persons that may become parties thereto from time to time, as the same may be amended, restated, supplemented and/or otherwise modified, from time to time.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Paired Interest</w:t>
      </w:r>
      <w:r>
        <w:rPr>
          <w:rFonts w:ascii="Times New Roman;Times;serif" w:hAnsi="Times New Roman;Times;serif"/>
          <w:color w:val="000000"/>
          <w:sz w:val="20"/>
        </w:rPr>
        <w:t xml:space="preserve">” means one Common Unit together with one share of Class B Common Stock, subject to adjustment pursuant to the LLC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partnership, firm, corporation, limited liability company, association, trust, unincorporated organization or other entity.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Post-Combination LLC Members</w:t>
      </w:r>
      <w:r>
        <w:rPr>
          <w:rFonts w:ascii="Times New Roman;Times;serif" w:hAnsi="Times New Roman;Times;serif"/>
          <w:color w:val="000000"/>
          <w:sz w:val="20"/>
        </w:rPr>
        <w:t xml:space="preserve">” means holders of Common Units that are party to the LLC Agreement from time to time.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is defined in Section ‎4.1.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color w:val="000000"/>
          <w:sz w:val="20"/>
          <w:u w:val="single"/>
        </w:rPr>
        <w:t>Preferred Stock Directors</w:t>
      </w:r>
      <w:r>
        <w:rPr>
          <w:rFonts w:ascii="Times New Roman;Times;serif" w:hAnsi="Times New Roman;Times;serif"/>
          <w:color w:val="000000"/>
          <w:sz w:val="20"/>
        </w:rPr>
        <w:t xml:space="preserve">” is defined in Section ‎7.1.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color w:val="000000"/>
          <w:sz w:val="20"/>
          <w:u w:val="single"/>
        </w:rPr>
        <w:t>ProKidney Holdings, LLC</w:t>
      </w:r>
      <w:r>
        <w:rPr>
          <w:rFonts w:ascii="Times New Roman;Times;serif" w:hAnsi="Times New Roman;Times;serif"/>
          <w:color w:val="000000"/>
          <w:sz w:val="20"/>
        </w:rPr>
        <w:t xml:space="preserve">” means ProKidney Holdings, LLC, a Delaware limited liability company or any successor thereto.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color w:val="000000"/>
          <w:sz w:val="20"/>
          <w:u w:val="single"/>
        </w:rPr>
        <w:t>Restricted Stock Rights</w:t>
      </w:r>
      <w:r>
        <w:rPr>
          <w:rFonts w:ascii="Times New Roman;Times;serif" w:hAnsi="Times New Roman;Times;serif"/>
          <w:color w:val="000000"/>
          <w:sz w:val="20"/>
        </w:rPr>
        <w:t xml:space="preserve">” is defined in Section 16.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color w:val="000000"/>
          <w:sz w:val="20"/>
          <w:u w:val="single"/>
        </w:rPr>
        <w:t>RSR Holder</w:t>
      </w:r>
      <w:r>
        <w:rPr>
          <w:rFonts w:ascii="Times New Roman;Times;serif" w:hAnsi="Times New Roman;Times;serif"/>
          <w:color w:val="000000"/>
          <w:sz w:val="20"/>
        </w:rPr>
        <w:t xml:space="preserve">” is defined in Section 16.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color w:val="000000"/>
          <w:sz w:val="20"/>
          <w:u w:val="single"/>
        </w:rPr>
        <w:t>Stock Adjustment</w:t>
      </w:r>
      <w:r>
        <w:rPr>
          <w:rFonts w:ascii="Times New Roman;Times;serif" w:hAnsi="Times New Roman;Times;serif"/>
          <w:color w:val="000000"/>
          <w:sz w:val="20"/>
        </w:rPr>
        <w:t xml:space="preserve">” is defined in Section ‎5.1(ii)(3).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left blank.]</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45101x2_424b3_302-annexb_pg1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incorporator hereinabove named makes and files this Certificate of Incorporation of ProKidney Corp. and does hereby declare and certify that said instrument is his act and deed and that the facts stated herein are true, and accordingly has executed this Certificate of Incorporation this [-] day of [-]. </w:t>
      </w:r>
    </w:p>
    <w:tbl>
      <w:tblPr>
        <w:tblW w:w="2870" w:type="dxa"/>
        <w:jc w:val="left"/>
        <w:tblInd w:w="0" w:type="dxa"/>
        <w:tblLayout w:type="fixed"/>
        <w:tblCellMar>
          <w:top w:w="0" w:type="dxa"/>
          <w:left w:w="0" w:type="dxa"/>
          <w:bottom w:w="0" w:type="dxa"/>
          <w:right w:w="0" w:type="dxa"/>
        </w:tblCellMar>
      </w:tblPr>
      <w:tblGrid>
        <w:gridCol w:w="605"/>
        <w:gridCol w:w="140"/>
        <w:gridCol w:w="140"/>
        <w:gridCol w:w="1550"/>
        <w:gridCol w:w="140"/>
        <w:gridCol w:w="140"/>
        <w:gridCol w:w="155"/>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C. Girolamo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[Sole Incorporator]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Certificate of Incorporation]</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45101x2_424b3_303-annexc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85" w:name="tANNC"/>
      <w:bookmarkEnd w:id="185"/>
      <w:r>
        <w:rPr>
          <w:rFonts w:ascii="Times New Roman;Times;serif" w:hAnsi="Times New Roman;Times;serif"/>
          <w:b/>
          <w:color w:val="000000"/>
          <w:sz w:val="20"/>
        </w:rPr>
        <w:t>Annex C</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BY-LAWS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PROKIDNEY CORP.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45101x2_424b3_303-annexc_pg2"/>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68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5120"/>
        <w:gridCol w:w="140"/>
        <w:gridCol w:w="140"/>
        <w:gridCol w:w="485"/>
      </w:tblGrid>
      <w:tr>
        <w:trPr/>
        <w:tc>
          <w:tcPr>
            <w:tcW w:w="692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692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smallCaps/>
                <w:color w:val="000000"/>
                <w:sz w:val="16"/>
              </w:rPr>
            </w:pPr>
            <w:r>
              <w:rPr>
                <w:rFonts w:ascii="Times New Roman;Times;serif" w:hAnsi="Times New Roman;Times;serif"/>
                <w:b/>
                <w:smallCaps/>
                <w:color w:val="000000"/>
                <w:sz w:val="16"/>
              </w:rPr>
              <w:t>Page</w:t>
            </w:r>
            <w:r>
              <w:rPr>
                <w:rFonts w:ascii="Times New Roman;Times;serif" w:hAnsi="Times New Roman;Times;serif"/>
                <w:b/>
                <w:caps w:val="false"/>
                <w:smallCaps w:val="false"/>
                <w:color w:val="000000"/>
                <w:sz w:val="16"/>
              </w:rPr>
              <w:t xml:space="preserve"> </w:t>
            </w:r>
          </w:p>
        </w:tc>
      </w:tr>
      <w:tr>
        <w:trPr/>
        <w:tc>
          <w:tcPr>
            <w:tcW w:w="6920"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smallCaps/>
                  <w:color w:val="000000"/>
                  <w:sz w:val="20"/>
                </w:rPr>
                <w:t>Article 1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A1">
              <w:r>
                <w:rPr>
                  <w:rStyle w:val="InternetLink"/>
                  <w:rFonts w:ascii="Times New Roman;Times;serif" w:hAnsi="Times New Roman;Times;serif"/>
                  <w:color w:val="000000"/>
                  <w:sz w:val="20"/>
                </w:rPr>
                <w:t xml:space="preserve">C-1 </w:t>
              </w:r>
            </w:hyperlink>
          </w:p>
        </w:tc>
      </w:tr>
      <w:tr>
        <w:trPr/>
        <w:tc>
          <w:tcPr>
            <w:tcW w:w="6920"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smallCaps/>
                  <w:color w:val="000000"/>
                  <w:sz w:val="20"/>
                </w:rPr>
                <w:t>Article 2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A2">
              <w:r>
                <w:rPr>
                  <w:rStyle w:val="InternetLink"/>
                  <w:rFonts w:ascii="Times New Roman;Times;serif" w:hAnsi="Times New Roman;Times;serif"/>
                  <w:color w:val="000000"/>
                  <w:sz w:val="20"/>
                </w:rPr>
                <w:t xml:space="preserve">C-2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01">
              <w:r>
                <w:rPr>
                  <w:rStyle w:val="InternetLink"/>
                  <w:rFonts w:ascii="Times New Roman;Times;serif" w:hAnsi="Times New Roman;Times;serif"/>
                  <w:color w:val="000000"/>
                  <w:sz w:val="20"/>
                </w:rPr>
                <w:t>Section 2.01.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i/>
                  <w:color w:val="000000"/>
                  <w:sz w:val="20"/>
                </w:rPr>
                <w:t>Place of Meetings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01">
              <w:r>
                <w:rPr>
                  <w:rStyle w:val="InternetLink"/>
                  <w:rFonts w:ascii="Times New Roman;Times;serif" w:hAnsi="Times New Roman;Times;serif"/>
                  <w:color w:val="000000"/>
                  <w:sz w:val="20"/>
                </w:rPr>
                <w:t xml:space="preserve">C-2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02">
              <w:r>
                <w:rPr>
                  <w:rStyle w:val="InternetLink"/>
                  <w:rFonts w:ascii="Times New Roman;Times;serif" w:hAnsi="Times New Roman;Times;serif"/>
                  <w:color w:val="000000"/>
                  <w:sz w:val="20"/>
                </w:rPr>
                <w:t>Section 2.02.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i/>
                  <w:color w:val="000000"/>
                  <w:sz w:val="20"/>
                </w:rPr>
                <w:t>Annual Meetings; Stockholder Proposals</w:t>
              </w:r>
            </w:hyperlink>
            <w:hyperlink w:anchor="tANXAS202">
              <w:r>
                <w:rPr>
                  <w:rStyle w:val="InternetLink"/>
                  <w:rFonts w:ascii="Times New Roman;Times;serif" w:hAnsi="Times New Roman;Times;serif"/>
                  <w:i w:val="false"/>
                  <w:caps w:val="false"/>
                  <w:smallCaps w:val="false"/>
                  <w:color w:val="000000"/>
                  <w:sz w:val="20"/>
                </w:rPr>
                <w: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02">
              <w:r>
                <w:rPr>
                  <w:rStyle w:val="InternetLink"/>
                  <w:rFonts w:ascii="Times New Roman;Times;serif" w:hAnsi="Times New Roman;Times;serif"/>
                  <w:color w:val="000000"/>
                  <w:sz w:val="20"/>
                </w:rPr>
                <w:t xml:space="preserve">C-2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03">
              <w:r>
                <w:rPr>
                  <w:rStyle w:val="InternetLink"/>
                  <w:rFonts w:ascii="Times New Roman;Times;serif" w:hAnsi="Times New Roman;Times;serif"/>
                  <w:color w:val="000000"/>
                  <w:sz w:val="20"/>
                </w:rPr>
                <w:t>Section 2.03.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i/>
                  <w:color w:val="000000"/>
                  <w:sz w:val="20"/>
                </w:rPr>
                <w:t>Special Meetings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03">
              <w:r>
                <w:rPr>
                  <w:rStyle w:val="InternetLink"/>
                  <w:rFonts w:ascii="Times New Roman;Times;serif" w:hAnsi="Times New Roman;Times;serif"/>
                  <w:color w:val="000000"/>
                  <w:sz w:val="20"/>
                </w:rPr>
                <w:t xml:space="preserve">C-5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04">
              <w:r>
                <w:rPr>
                  <w:rStyle w:val="InternetLink"/>
                  <w:rFonts w:ascii="Times New Roman;Times;serif" w:hAnsi="Times New Roman;Times;serif"/>
                  <w:color w:val="000000"/>
                  <w:sz w:val="20"/>
                </w:rPr>
                <w:t>Section 2.04.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i/>
                  <w:color w:val="000000"/>
                  <w:sz w:val="20"/>
                </w:rPr>
                <w:t>Record Date</w:t>
              </w:r>
            </w:hyperlink>
            <w:hyperlink w:anchor="tANXAS204">
              <w:r>
                <w:rPr>
                  <w:rStyle w:val="InternetLink"/>
                  <w:rFonts w:ascii="Times New Roman;Times;serif" w:hAnsi="Times New Roman;Times;serif"/>
                  <w:i w:val="false"/>
                  <w:caps w:val="false"/>
                  <w:smallCaps w:val="false"/>
                  <w:color w:val="000000"/>
                  <w:sz w:val="20"/>
                </w:rPr>
                <w: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04">
              <w:r>
                <w:rPr>
                  <w:rStyle w:val="InternetLink"/>
                  <w:rFonts w:ascii="Times New Roman;Times;serif" w:hAnsi="Times New Roman;Times;serif"/>
                  <w:color w:val="000000"/>
                  <w:sz w:val="20"/>
                </w:rPr>
                <w:t xml:space="preserve">C-5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05">
              <w:r>
                <w:rPr>
                  <w:rStyle w:val="InternetLink"/>
                  <w:rFonts w:ascii="Times New Roman;Times;serif" w:hAnsi="Times New Roman;Times;serif"/>
                  <w:color w:val="000000"/>
                  <w:sz w:val="20"/>
                </w:rPr>
                <w:t>Section 2.05.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i/>
                  <w:color w:val="000000"/>
                  <w:sz w:val="20"/>
                </w:rPr>
                <w:t>Notice of Meetings of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05">
              <w:r>
                <w:rPr>
                  <w:rStyle w:val="InternetLink"/>
                  <w:rFonts w:ascii="Times New Roman;Times;serif" w:hAnsi="Times New Roman;Times;serif"/>
                  <w:color w:val="000000"/>
                  <w:sz w:val="20"/>
                </w:rPr>
                <w:t xml:space="preserve">C-6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06">
              <w:r>
                <w:rPr>
                  <w:rStyle w:val="InternetLink"/>
                  <w:rFonts w:ascii="Times New Roman;Times;serif" w:hAnsi="Times New Roman;Times;serif"/>
                  <w:color w:val="000000"/>
                  <w:sz w:val="20"/>
                </w:rPr>
                <w:t>Section 2.06.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i/>
                  <w:color w:val="000000"/>
                  <w:sz w:val="20"/>
                </w:rPr>
                <w:t>Waivers of Notice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06">
              <w:r>
                <w:rPr>
                  <w:rStyle w:val="InternetLink"/>
                  <w:rFonts w:ascii="Times New Roman;Times;serif" w:hAnsi="Times New Roman;Times;serif"/>
                  <w:color w:val="000000"/>
                  <w:sz w:val="20"/>
                </w:rPr>
                <w:t xml:space="preserve">C-6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07">
              <w:r>
                <w:rPr>
                  <w:rStyle w:val="InternetLink"/>
                  <w:rFonts w:ascii="Times New Roman;Times;serif" w:hAnsi="Times New Roman;Times;serif"/>
                  <w:color w:val="000000"/>
                  <w:sz w:val="20"/>
                </w:rPr>
                <w:t>Section 2.07.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i/>
                  <w:color w:val="000000"/>
                  <w:sz w:val="20"/>
                </w:rPr>
                <w:t>List of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07">
              <w:r>
                <w:rPr>
                  <w:rStyle w:val="InternetLink"/>
                  <w:rFonts w:ascii="Times New Roman;Times;serif" w:hAnsi="Times New Roman;Times;serif"/>
                  <w:color w:val="000000"/>
                  <w:sz w:val="20"/>
                </w:rPr>
                <w:t xml:space="preserve">C-6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08">
              <w:r>
                <w:rPr>
                  <w:rStyle w:val="InternetLink"/>
                  <w:rFonts w:ascii="Times New Roman;Times;serif" w:hAnsi="Times New Roman;Times;serif"/>
                  <w:color w:val="000000"/>
                  <w:sz w:val="20"/>
                </w:rPr>
                <w:t>Section 2.08.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i/>
                  <w:color w:val="000000"/>
                  <w:sz w:val="20"/>
                </w:rPr>
                <w:t>Quorum of Stockholders; Adjournment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08">
              <w:r>
                <w:rPr>
                  <w:rStyle w:val="InternetLink"/>
                  <w:rFonts w:ascii="Times New Roman;Times;serif" w:hAnsi="Times New Roman;Times;serif"/>
                  <w:color w:val="000000"/>
                  <w:sz w:val="20"/>
                </w:rPr>
                <w:t xml:space="preserve">C-6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09">
              <w:r>
                <w:rPr>
                  <w:rStyle w:val="InternetLink"/>
                  <w:rFonts w:ascii="Times New Roman;Times;serif" w:hAnsi="Times New Roman;Times;serif"/>
                  <w:color w:val="000000"/>
                  <w:sz w:val="20"/>
                </w:rPr>
                <w:t>Section 2.09.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09">
              <w:r>
                <w:rPr>
                  <w:rStyle w:val="InternetLink"/>
                  <w:rFonts w:ascii="Times New Roman;Times;serif" w:hAnsi="Times New Roman;Times;serif"/>
                  <w:i/>
                  <w:color w:val="000000"/>
                  <w:sz w:val="20"/>
                </w:rPr>
                <w:t>Voting;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09">
              <w:r>
                <w:rPr>
                  <w:rStyle w:val="InternetLink"/>
                  <w:rFonts w:ascii="Times New Roman;Times;serif" w:hAnsi="Times New Roman;Times;serif"/>
                  <w:color w:val="000000"/>
                  <w:sz w:val="20"/>
                </w:rPr>
                <w:t xml:space="preserve">C-7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10">
              <w:r>
                <w:rPr>
                  <w:rStyle w:val="InternetLink"/>
                  <w:rFonts w:ascii="Times New Roman;Times;serif" w:hAnsi="Times New Roman;Times;serif"/>
                  <w:color w:val="000000"/>
                  <w:sz w:val="20"/>
                </w:rPr>
                <w:t>Section 2.10.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10">
              <w:r>
                <w:rPr>
                  <w:rStyle w:val="InternetLink"/>
                  <w:rFonts w:ascii="Times New Roman;Times;serif" w:hAnsi="Times New Roman;Times;serif"/>
                  <w:i/>
                  <w:color w:val="000000"/>
                  <w:sz w:val="20"/>
                </w:rPr>
                <w:t>Voting Procedures and Inspectors at Meetings of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10">
              <w:r>
                <w:rPr>
                  <w:rStyle w:val="InternetLink"/>
                  <w:rFonts w:ascii="Times New Roman;Times;serif" w:hAnsi="Times New Roman;Times;serif"/>
                  <w:color w:val="000000"/>
                  <w:sz w:val="20"/>
                </w:rPr>
                <w:t xml:space="preserve">C-7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11">
              <w:r>
                <w:rPr>
                  <w:rStyle w:val="InternetLink"/>
                  <w:rFonts w:ascii="Times New Roman;Times;serif" w:hAnsi="Times New Roman;Times;serif"/>
                  <w:color w:val="000000"/>
                  <w:sz w:val="20"/>
                </w:rPr>
                <w:t>Section 2.11.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11">
              <w:r>
                <w:rPr>
                  <w:rStyle w:val="InternetLink"/>
                  <w:rFonts w:ascii="Times New Roman;Times;serif" w:hAnsi="Times New Roman;Times;serif"/>
                  <w:i/>
                  <w:color w:val="000000"/>
                  <w:sz w:val="20"/>
                </w:rPr>
                <w:t>Conduct of Meetings; Adjournment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11">
              <w:r>
                <w:rPr>
                  <w:rStyle w:val="InternetLink"/>
                  <w:rFonts w:ascii="Times New Roman;Times;serif" w:hAnsi="Times New Roman;Times;serif"/>
                  <w:color w:val="000000"/>
                  <w:sz w:val="20"/>
                </w:rPr>
                <w:t xml:space="preserve">C-7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212">
              <w:r>
                <w:rPr>
                  <w:rStyle w:val="InternetLink"/>
                  <w:rFonts w:ascii="Times New Roman;Times;serif" w:hAnsi="Times New Roman;Times;serif"/>
                  <w:color w:val="000000"/>
                  <w:sz w:val="20"/>
                </w:rPr>
                <w:t>Section 2.12.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212">
              <w:r>
                <w:rPr>
                  <w:rStyle w:val="InternetLink"/>
                  <w:rFonts w:ascii="Times New Roman;Times;serif" w:hAnsi="Times New Roman;Times;serif"/>
                  <w:i/>
                  <w:color w:val="000000"/>
                  <w:sz w:val="20"/>
                </w:rPr>
                <w:t>Order of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212">
              <w:r>
                <w:rPr>
                  <w:rStyle w:val="InternetLink"/>
                  <w:rFonts w:ascii="Times New Roman;Times;serif" w:hAnsi="Times New Roman;Times;serif"/>
                  <w:color w:val="000000"/>
                  <w:sz w:val="20"/>
                </w:rPr>
                <w:t xml:space="preserve">C-8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213">
              <w:r>
                <w:rPr>
                  <w:rStyle w:val="InternetLink"/>
                  <w:rFonts w:ascii="Times New Roman;Times;serif" w:hAnsi="Times New Roman;Times;serif"/>
                  <w:color w:val="000000"/>
                  <w:sz w:val="20"/>
                </w:rPr>
                <w:t>Section 2.13.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213">
              <w:r>
                <w:rPr>
                  <w:rStyle w:val="InternetLink"/>
                  <w:rFonts w:ascii="Times New Roman;Times;serif" w:hAnsi="Times New Roman;Times;serif"/>
                  <w:i/>
                  <w:color w:val="000000"/>
                  <w:sz w:val="20"/>
                </w:rPr>
                <w:t>Written Consent of Stockholders Without a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213">
              <w:r>
                <w:rPr>
                  <w:rStyle w:val="InternetLink"/>
                  <w:rFonts w:ascii="Times New Roman;Times;serif" w:hAnsi="Times New Roman;Times;serif"/>
                  <w:color w:val="000000"/>
                  <w:sz w:val="20"/>
                </w:rPr>
                <w:t xml:space="preserve">C-0 </w:t>
              </w:r>
            </w:hyperlink>
          </w:p>
        </w:tc>
      </w:tr>
      <w:tr>
        <w:trPr/>
        <w:tc>
          <w:tcPr>
            <w:tcW w:w="6920" w:type="dxa"/>
            <w:gridSpan w:val="7"/>
            <w:tcBorders/>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smallCaps/>
                  <w:color w:val="000000"/>
                  <w:sz w:val="20"/>
                </w:rPr>
                <w:t>Article 3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A3">
              <w:r>
                <w:rPr>
                  <w:rStyle w:val="InternetLink"/>
                  <w:rFonts w:ascii="Times New Roman;Times;serif" w:hAnsi="Times New Roman;Times;serif"/>
                  <w:color w:val="000000"/>
                  <w:sz w:val="20"/>
                </w:rPr>
                <w:t xml:space="preserve">C-8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01">
              <w:r>
                <w:rPr>
                  <w:rStyle w:val="InternetLink"/>
                  <w:rFonts w:ascii="Times New Roman;Times;serif" w:hAnsi="Times New Roman;Times;serif"/>
                  <w:color w:val="000000"/>
                  <w:sz w:val="20"/>
                </w:rPr>
                <w:t>Section 3.01.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i/>
                  <w:color w:val="000000"/>
                  <w:sz w:val="20"/>
                </w:rPr>
                <w:t>General Powers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01">
              <w:r>
                <w:rPr>
                  <w:rStyle w:val="InternetLink"/>
                  <w:rFonts w:ascii="Times New Roman;Times;serif" w:hAnsi="Times New Roman;Times;serif"/>
                  <w:color w:val="000000"/>
                  <w:sz w:val="20"/>
                </w:rPr>
                <w:t xml:space="preserve">C-8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02">
              <w:r>
                <w:rPr>
                  <w:rStyle w:val="InternetLink"/>
                  <w:rFonts w:ascii="Times New Roman;Times;serif" w:hAnsi="Times New Roman;Times;serif"/>
                  <w:color w:val="000000"/>
                  <w:sz w:val="20"/>
                </w:rPr>
                <w:t>Section 3.02.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i/>
                  <w:color w:val="000000"/>
                  <w:sz w:val="20"/>
                </w:rPr>
                <w:t>Classes of Directors; Term of Office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02">
              <w:r>
                <w:rPr>
                  <w:rStyle w:val="InternetLink"/>
                  <w:rFonts w:ascii="Times New Roman;Times;serif" w:hAnsi="Times New Roman;Times;serif"/>
                  <w:color w:val="000000"/>
                  <w:sz w:val="20"/>
                </w:rPr>
                <w:t xml:space="preserve">C-8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03">
              <w:r>
                <w:rPr>
                  <w:rStyle w:val="InternetLink"/>
                  <w:rFonts w:ascii="Times New Roman;Times;serif" w:hAnsi="Times New Roman;Times;serif"/>
                  <w:color w:val="000000"/>
                  <w:sz w:val="20"/>
                </w:rPr>
                <w:t>Section 3.03.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i/>
                  <w:color w:val="000000"/>
                  <w:sz w:val="20"/>
                </w:rPr>
                <w:t>Nominations of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03">
              <w:r>
                <w:rPr>
                  <w:rStyle w:val="InternetLink"/>
                  <w:rFonts w:ascii="Times New Roman;Times;serif" w:hAnsi="Times New Roman;Times;serif"/>
                  <w:color w:val="000000"/>
                  <w:sz w:val="20"/>
                </w:rPr>
                <w:t xml:space="preserve">C-8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04">
              <w:r>
                <w:rPr>
                  <w:rStyle w:val="InternetLink"/>
                  <w:rFonts w:ascii="Times New Roman;Times;serif" w:hAnsi="Times New Roman;Times;serif"/>
                  <w:color w:val="000000"/>
                  <w:sz w:val="20"/>
                </w:rPr>
                <w:t>Section 3.04.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04">
              <w:r>
                <w:rPr>
                  <w:rStyle w:val="InternetLink"/>
                  <w:rFonts w:ascii="Times New Roman;Times;serif" w:hAnsi="Times New Roman;Times;serif"/>
                  <w:i/>
                  <w:color w:val="000000"/>
                  <w:sz w:val="20"/>
                </w:rPr>
                <w:t>Nominee and Director Qualifications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04">
              <w:r>
                <w:rPr>
                  <w:rStyle w:val="InternetLink"/>
                  <w:rFonts w:ascii="Times New Roman;Times;serif" w:hAnsi="Times New Roman;Times;serif"/>
                  <w:color w:val="000000"/>
                  <w:sz w:val="20"/>
                </w:rPr>
                <w:t xml:space="preserve">C-11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05">
              <w:r>
                <w:rPr>
                  <w:rStyle w:val="InternetLink"/>
                  <w:rFonts w:ascii="Times New Roman;Times;serif" w:hAnsi="Times New Roman;Times;serif"/>
                  <w:color w:val="000000"/>
                  <w:sz w:val="20"/>
                </w:rPr>
                <w:t>Section 3.05.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05">
              <w:r>
                <w:rPr>
                  <w:rStyle w:val="InternetLink"/>
                  <w:rFonts w:ascii="Times New Roman;Times;serif" w:hAnsi="Times New Roman;Times;serif"/>
                  <w:i/>
                  <w:color w:val="000000"/>
                  <w:sz w:val="20"/>
                </w:rPr>
                <w:t>Resignation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05">
              <w:r>
                <w:rPr>
                  <w:rStyle w:val="InternetLink"/>
                  <w:rFonts w:ascii="Times New Roman;Times;serif" w:hAnsi="Times New Roman;Times;serif"/>
                  <w:color w:val="000000"/>
                  <w:sz w:val="20"/>
                </w:rPr>
                <w:t xml:space="preserve">C-11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06">
              <w:r>
                <w:rPr>
                  <w:rStyle w:val="InternetLink"/>
                  <w:rFonts w:ascii="Times New Roman;Times;serif" w:hAnsi="Times New Roman;Times;serif"/>
                  <w:color w:val="000000"/>
                  <w:sz w:val="20"/>
                </w:rPr>
                <w:t>Section 3.06.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06">
              <w:r>
                <w:rPr>
                  <w:rStyle w:val="InternetLink"/>
                  <w:rFonts w:ascii="Times New Roman;Times;serif" w:hAnsi="Times New Roman;Times;serif"/>
                  <w:i/>
                  <w:color w:val="000000"/>
                  <w:sz w:val="20"/>
                </w:rPr>
                <w:t>Compensation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06">
              <w:r>
                <w:rPr>
                  <w:rStyle w:val="InternetLink"/>
                  <w:rFonts w:ascii="Times New Roman;Times;serif" w:hAnsi="Times New Roman;Times;serif"/>
                  <w:color w:val="000000"/>
                  <w:sz w:val="20"/>
                </w:rPr>
                <w:t xml:space="preserve">C-11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07">
              <w:r>
                <w:rPr>
                  <w:rStyle w:val="InternetLink"/>
                  <w:rFonts w:ascii="Times New Roman;Times;serif" w:hAnsi="Times New Roman;Times;serif"/>
                  <w:color w:val="000000"/>
                  <w:sz w:val="20"/>
                </w:rPr>
                <w:t>Section 3.07.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07">
              <w:r>
                <w:rPr>
                  <w:rStyle w:val="InternetLink"/>
                  <w:rFonts w:ascii="Times New Roman;Times;serif" w:hAnsi="Times New Roman;Times;serif"/>
                  <w:i/>
                  <w:color w:val="000000"/>
                  <w:sz w:val="20"/>
                </w:rPr>
                <w:t>Regular Meetings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07">
              <w:r>
                <w:rPr>
                  <w:rStyle w:val="InternetLink"/>
                  <w:rFonts w:ascii="Times New Roman;Times;serif" w:hAnsi="Times New Roman;Times;serif"/>
                  <w:color w:val="000000"/>
                  <w:sz w:val="20"/>
                </w:rPr>
                <w:t xml:space="preserve">C-12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08">
              <w:r>
                <w:rPr>
                  <w:rStyle w:val="InternetLink"/>
                  <w:rFonts w:ascii="Times New Roman;Times;serif" w:hAnsi="Times New Roman;Times;serif"/>
                  <w:color w:val="000000"/>
                  <w:sz w:val="20"/>
                </w:rPr>
                <w:t>Section 3.08.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08">
              <w:r>
                <w:rPr>
                  <w:rStyle w:val="InternetLink"/>
                  <w:rFonts w:ascii="Times New Roman;Times;serif" w:hAnsi="Times New Roman;Times;serif"/>
                  <w:i/>
                  <w:color w:val="000000"/>
                  <w:sz w:val="20"/>
                </w:rPr>
                <w:t>Special Meetings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08">
              <w:r>
                <w:rPr>
                  <w:rStyle w:val="InternetLink"/>
                  <w:rFonts w:ascii="Times New Roman;Times;serif" w:hAnsi="Times New Roman;Times;serif"/>
                  <w:color w:val="000000"/>
                  <w:sz w:val="20"/>
                </w:rPr>
                <w:t xml:space="preserve">C-12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09">
              <w:r>
                <w:rPr>
                  <w:rStyle w:val="InternetLink"/>
                  <w:rFonts w:ascii="Times New Roman;Times;serif" w:hAnsi="Times New Roman;Times;serif"/>
                  <w:color w:val="000000"/>
                  <w:sz w:val="20"/>
                </w:rPr>
                <w:t>Section 3.09.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09">
              <w:r>
                <w:rPr>
                  <w:rStyle w:val="InternetLink"/>
                  <w:rFonts w:ascii="Times New Roman;Times;serif" w:hAnsi="Times New Roman;Times;serif"/>
                  <w:i/>
                  <w:color w:val="000000"/>
                  <w:sz w:val="20"/>
                </w:rPr>
                <w:t>Telephone Meetings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09">
              <w:r>
                <w:rPr>
                  <w:rStyle w:val="InternetLink"/>
                  <w:rFonts w:ascii="Times New Roman;Times;serif" w:hAnsi="Times New Roman;Times;serif"/>
                  <w:color w:val="000000"/>
                  <w:sz w:val="20"/>
                </w:rPr>
                <w:t xml:space="preserve">C-12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10">
              <w:r>
                <w:rPr>
                  <w:rStyle w:val="InternetLink"/>
                  <w:rFonts w:ascii="Times New Roman;Times;serif" w:hAnsi="Times New Roman;Times;serif"/>
                  <w:color w:val="000000"/>
                  <w:sz w:val="20"/>
                </w:rPr>
                <w:t>Section 3.10.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i/>
                  <w:color w:val="000000"/>
                  <w:sz w:val="20"/>
                </w:rPr>
                <w:t>Adjourned Meetings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10">
              <w:r>
                <w:rPr>
                  <w:rStyle w:val="InternetLink"/>
                  <w:rFonts w:ascii="Times New Roman;Times;serif" w:hAnsi="Times New Roman;Times;serif"/>
                  <w:color w:val="000000"/>
                  <w:sz w:val="20"/>
                </w:rPr>
                <w:t xml:space="preserve">C-12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11">
              <w:r>
                <w:rPr>
                  <w:rStyle w:val="InternetLink"/>
                  <w:rFonts w:ascii="Times New Roman;Times;serif" w:hAnsi="Times New Roman;Times;serif"/>
                  <w:color w:val="000000"/>
                  <w:sz w:val="20"/>
                </w:rPr>
                <w:t>Section 3.11.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i/>
                  <w:color w:val="000000"/>
                  <w:sz w:val="20"/>
                </w:rPr>
                <w:t>Notice Procedure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11">
              <w:r>
                <w:rPr>
                  <w:rStyle w:val="InternetLink"/>
                  <w:rFonts w:ascii="Times New Roman;Times;serif" w:hAnsi="Times New Roman;Times;serif"/>
                  <w:color w:val="000000"/>
                  <w:sz w:val="20"/>
                </w:rPr>
                <w:t xml:space="preserve">C-12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12">
              <w:r>
                <w:rPr>
                  <w:rStyle w:val="InternetLink"/>
                  <w:rFonts w:ascii="Times New Roman;Times;serif" w:hAnsi="Times New Roman;Times;serif"/>
                  <w:color w:val="000000"/>
                  <w:sz w:val="20"/>
                </w:rPr>
                <w:t>Section 3.12.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i/>
                  <w:color w:val="000000"/>
                  <w:sz w:val="20"/>
                </w:rPr>
                <w:t>Waiver of Notice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12">
              <w:r>
                <w:rPr>
                  <w:rStyle w:val="InternetLink"/>
                  <w:rFonts w:ascii="Times New Roman;Times;serif" w:hAnsi="Times New Roman;Times;serif"/>
                  <w:color w:val="000000"/>
                  <w:sz w:val="20"/>
                </w:rPr>
                <w:t xml:space="preserve">C-12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13">
              <w:r>
                <w:rPr>
                  <w:rStyle w:val="InternetLink"/>
                  <w:rFonts w:ascii="Times New Roman;Times;serif" w:hAnsi="Times New Roman;Times;serif"/>
                  <w:color w:val="000000"/>
                  <w:sz w:val="20"/>
                </w:rPr>
                <w:t>Section 3.13.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i/>
                  <w:color w:val="000000"/>
                  <w:sz w:val="20"/>
                </w:rPr>
                <w:t>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13">
              <w:r>
                <w:rPr>
                  <w:rStyle w:val="InternetLink"/>
                  <w:rFonts w:ascii="Times New Roman;Times;serif" w:hAnsi="Times New Roman;Times;serif"/>
                  <w:color w:val="000000"/>
                  <w:sz w:val="20"/>
                </w:rPr>
                <w:t xml:space="preserve">C-12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14">
              <w:r>
                <w:rPr>
                  <w:rStyle w:val="InternetLink"/>
                  <w:rFonts w:ascii="Times New Roman;Times;serif" w:hAnsi="Times New Roman;Times;serif"/>
                  <w:color w:val="000000"/>
                  <w:sz w:val="20"/>
                </w:rPr>
                <w:t>Section 3.14.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i/>
                  <w:color w:val="000000"/>
                  <w:sz w:val="20"/>
                </w:rPr>
                <w:t>Quorum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14">
              <w:r>
                <w:rPr>
                  <w:rStyle w:val="InternetLink"/>
                  <w:rFonts w:ascii="Times New Roman;Times;serif" w:hAnsi="Times New Roman;Times;serif"/>
                  <w:color w:val="000000"/>
                  <w:sz w:val="20"/>
                </w:rPr>
                <w:t xml:space="preserve">C-12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15">
              <w:r>
                <w:rPr>
                  <w:rStyle w:val="InternetLink"/>
                  <w:rFonts w:ascii="Times New Roman;Times;serif" w:hAnsi="Times New Roman;Times;serif"/>
                  <w:color w:val="000000"/>
                  <w:sz w:val="20"/>
                </w:rPr>
                <w:t>Section 3.15.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i/>
                  <w:color w:val="000000"/>
                  <w:sz w:val="20"/>
                </w:rPr>
                <w:t>Action by Majority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15">
              <w:r>
                <w:rPr>
                  <w:rStyle w:val="InternetLink"/>
                  <w:rFonts w:ascii="Times New Roman;Times;serif" w:hAnsi="Times New Roman;Times;serif"/>
                  <w:color w:val="000000"/>
                  <w:sz w:val="20"/>
                </w:rPr>
                <w:t xml:space="preserve">C-12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316">
              <w:r>
                <w:rPr>
                  <w:rStyle w:val="InternetLink"/>
                  <w:rFonts w:ascii="Times New Roman;Times;serif" w:hAnsi="Times New Roman;Times;serif"/>
                  <w:color w:val="000000"/>
                  <w:sz w:val="20"/>
                </w:rPr>
                <w:t>Section 3.16.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i/>
                  <w:color w:val="000000"/>
                  <w:sz w:val="20"/>
                </w:rPr>
                <w:t>Action Without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316">
              <w:r>
                <w:rPr>
                  <w:rStyle w:val="InternetLink"/>
                  <w:rFonts w:ascii="Times New Roman;Times;serif" w:hAnsi="Times New Roman;Times;serif"/>
                  <w:color w:val="000000"/>
                  <w:sz w:val="20"/>
                </w:rPr>
                <w:t xml:space="preserve">C-12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317">
              <w:r>
                <w:rPr>
                  <w:rStyle w:val="InternetLink"/>
                  <w:rFonts w:ascii="Times New Roman;Times;serif" w:hAnsi="Times New Roman;Times;serif"/>
                  <w:color w:val="000000"/>
                  <w:sz w:val="20"/>
                </w:rPr>
                <w:t>Section 3.17.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i/>
                  <w:color w:val="000000"/>
                  <w:sz w:val="20"/>
                </w:rPr>
                <w:t>Chairman and Lead Independent Director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317">
              <w:r>
                <w:rPr>
                  <w:rStyle w:val="InternetLink"/>
                  <w:rFonts w:ascii="Times New Roman;Times;serif" w:hAnsi="Times New Roman;Times;serif"/>
                  <w:color w:val="000000"/>
                  <w:sz w:val="20"/>
                </w:rPr>
                <w:t xml:space="preserve">C-12 </w:t>
              </w:r>
            </w:hyperlink>
          </w:p>
        </w:tc>
      </w:tr>
      <w:tr>
        <w:trPr/>
        <w:tc>
          <w:tcPr>
            <w:tcW w:w="6920"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smallCaps/>
                  <w:color w:val="000000"/>
                  <w:sz w:val="20"/>
                </w:rPr>
                <w:t>Article 4 Committees of the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A4">
              <w:r>
                <w:rPr>
                  <w:rStyle w:val="InternetLink"/>
                  <w:rFonts w:ascii="Times New Roman;Times;serif" w:hAnsi="Times New Roman;Times;serif"/>
                  <w:color w:val="000000"/>
                  <w:sz w:val="20"/>
                </w:rPr>
                <w:t xml:space="preserve">C-13 </w:t>
              </w:r>
            </w:hyperlink>
          </w:p>
        </w:tc>
      </w:tr>
      <w:tr>
        <w:trPr/>
        <w:tc>
          <w:tcPr>
            <w:tcW w:w="6920"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smallCaps/>
                  <w:color w:val="000000"/>
                  <w:sz w:val="20"/>
                </w:rPr>
                <w:t>Article 5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A5">
              <w:r>
                <w:rPr>
                  <w:rStyle w:val="InternetLink"/>
                  <w:rFonts w:ascii="Times New Roman;Times;serif" w:hAnsi="Times New Roman;Times;serif"/>
                  <w:color w:val="000000"/>
                  <w:sz w:val="20"/>
                </w:rPr>
                <w:t xml:space="preserve">C-13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501">
              <w:r>
                <w:rPr>
                  <w:rStyle w:val="InternetLink"/>
                  <w:rFonts w:ascii="Times New Roman;Times;serif" w:hAnsi="Times New Roman;Times;serif"/>
                  <w:color w:val="000000"/>
                  <w:sz w:val="20"/>
                </w:rPr>
                <w:t>Section 5.01.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i/>
                  <w:color w:val="000000"/>
                  <w:sz w:val="20"/>
                </w:rPr>
                <w:t>Positions; Election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501">
              <w:r>
                <w:rPr>
                  <w:rStyle w:val="InternetLink"/>
                  <w:rFonts w:ascii="Times New Roman;Times;serif" w:hAnsi="Times New Roman;Times;serif"/>
                  <w:color w:val="000000"/>
                  <w:sz w:val="20"/>
                </w:rPr>
                <w:t xml:space="preserve">C-13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502">
              <w:r>
                <w:rPr>
                  <w:rStyle w:val="InternetLink"/>
                  <w:rFonts w:ascii="Times New Roman;Times;serif" w:hAnsi="Times New Roman;Times;serif"/>
                  <w:color w:val="000000"/>
                  <w:sz w:val="20"/>
                </w:rPr>
                <w:t>Section 5.02.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i/>
                  <w:color w:val="000000"/>
                  <w:sz w:val="20"/>
                </w:rPr>
                <w:t>Term of Office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502">
              <w:r>
                <w:rPr>
                  <w:rStyle w:val="InternetLink"/>
                  <w:rFonts w:ascii="Times New Roman;Times;serif" w:hAnsi="Times New Roman;Times;serif"/>
                  <w:color w:val="000000"/>
                  <w:sz w:val="20"/>
                </w:rPr>
                <w:t xml:space="preserve">C-13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503">
              <w:r>
                <w:rPr>
                  <w:rStyle w:val="InternetLink"/>
                  <w:rFonts w:ascii="Times New Roman;Times;serif" w:hAnsi="Times New Roman;Times;serif"/>
                  <w:color w:val="000000"/>
                  <w:sz w:val="20"/>
                </w:rPr>
                <w:t>Section 5.03.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i/>
                  <w:color w:val="000000"/>
                  <w:sz w:val="20"/>
                </w:rPr>
                <w:t>Chief Executive Officer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503">
              <w:r>
                <w:rPr>
                  <w:rStyle w:val="InternetLink"/>
                  <w:rFonts w:ascii="Times New Roman;Times;serif" w:hAnsi="Times New Roman;Times;serif"/>
                  <w:color w:val="000000"/>
                  <w:sz w:val="20"/>
                </w:rPr>
                <w:t xml:space="preserve">C-13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504">
              <w:r>
                <w:rPr>
                  <w:rStyle w:val="InternetLink"/>
                  <w:rFonts w:ascii="Times New Roman;Times;serif" w:hAnsi="Times New Roman;Times;serif"/>
                  <w:color w:val="000000"/>
                  <w:sz w:val="20"/>
                </w:rPr>
                <w:t>Section 5.04.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i/>
                  <w:color w:val="000000"/>
                  <w:sz w:val="20"/>
                </w:rPr>
                <w:t>President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504">
              <w:r>
                <w:rPr>
                  <w:rStyle w:val="InternetLink"/>
                  <w:rFonts w:ascii="Times New Roman;Times;serif" w:hAnsi="Times New Roman;Times;serif"/>
                  <w:color w:val="000000"/>
                  <w:sz w:val="20"/>
                </w:rPr>
                <w:t xml:space="preserve">C-14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505">
              <w:r>
                <w:rPr>
                  <w:rStyle w:val="InternetLink"/>
                  <w:rFonts w:ascii="Times New Roman;Times;serif" w:hAnsi="Times New Roman;Times;serif"/>
                  <w:color w:val="000000"/>
                  <w:sz w:val="20"/>
                </w:rPr>
                <w:t>Section 5.05.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i/>
                  <w:color w:val="000000"/>
                  <w:sz w:val="20"/>
                </w:rPr>
                <w:t>Vice Presidents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505">
              <w:r>
                <w:rPr>
                  <w:rStyle w:val="InternetLink"/>
                  <w:rFonts w:ascii="Times New Roman;Times;serif" w:hAnsi="Times New Roman;Times;serif"/>
                  <w:color w:val="000000"/>
                  <w:sz w:val="20"/>
                </w:rPr>
                <w:t xml:space="preserve">C-14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506">
              <w:r>
                <w:rPr>
                  <w:rStyle w:val="InternetLink"/>
                  <w:rFonts w:ascii="Times New Roman;Times;serif" w:hAnsi="Times New Roman;Times;serif"/>
                  <w:color w:val="000000"/>
                  <w:sz w:val="20"/>
                </w:rPr>
                <w:t>Section 5.06.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i/>
                  <w:color w:val="000000"/>
                  <w:sz w:val="20"/>
                </w:rPr>
                <w:t>Chief Financial Officer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506">
              <w:r>
                <w:rPr>
                  <w:rStyle w:val="InternetLink"/>
                  <w:rFonts w:ascii="Times New Roman;Times;serif" w:hAnsi="Times New Roman;Times;serif"/>
                  <w:color w:val="000000"/>
                  <w:sz w:val="20"/>
                </w:rPr>
                <w:t xml:space="preserve">C-14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507">
              <w:r>
                <w:rPr>
                  <w:rStyle w:val="InternetLink"/>
                  <w:rFonts w:ascii="Times New Roman;Times;serif" w:hAnsi="Times New Roman;Times;serif"/>
                  <w:color w:val="000000"/>
                  <w:sz w:val="20"/>
                </w:rPr>
                <w:t>Section 5.07.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i/>
                  <w:color w:val="000000"/>
                  <w:sz w:val="20"/>
                </w:rPr>
                <w:t>Secretary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507">
              <w:r>
                <w:rPr>
                  <w:rStyle w:val="InternetLink"/>
                  <w:rFonts w:ascii="Times New Roman;Times;serif" w:hAnsi="Times New Roman;Times;serif"/>
                  <w:color w:val="000000"/>
                  <w:sz w:val="20"/>
                </w:rPr>
                <w:t xml:space="preserve">C-14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508">
              <w:r>
                <w:rPr>
                  <w:rStyle w:val="InternetLink"/>
                  <w:rFonts w:ascii="Times New Roman;Times;serif" w:hAnsi="Times New Roman;Times;serif"/>
                  <w:color w:val="000000"/>
                  <w:sz w:val="20"/>
                </w:rPr>
                <w:t>Section 5.08.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i/>
                  <w:color w:val="000000"/>
                  <w:sz w:val="20"/>
                </w:rPr>
                <w:t>Treasurer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508">
              <w:r>
                <w:rPr>
                  <w:rStyle w:val="InternetLink"/>
                  <w:rFonts w:ascii="Times New Roman;Times;serif" w:hAnsi="Times New Roman;Times;serif"/>
                  <w:color w:val="000000"/>
                  <w:sz w:val="20"/>
                </w:rPr>
                <w:t xml:space="preserve">C-14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509">
              <w:r>
                <w:rPr>
                  <w:rStyle w:val="InternetLink"/>
                  <w:rFonts w:ascii="Times New Roman;Times;serif" w:hAnsi="Times New Roman;Times;serif"/>
                  <w:color w:val="000000"/>
                  <w:sz w:val="20"/>
                </w:rPr>
                <w:t>Section 5.09.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i/>
                  <w:color w:val="000000"/>
                  <w:sz w:val="20"/>
                </w:rPr>
                <w:t>Assistant Secretaries and Assistant Treasurers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509">
              <w:r>
                <w:rPr>
                  <w:rStyle w:val="InternetLink"/>
                  <w:rFonts w:ascii="Times New Roman;Times;serif" w:hAnsi="Times New Roman;Times;serif"/>
                  <w:color w:val="000000"/>
                  <w:sz w:val="20"/>
                </w:rPr>
                <w:t xml:space="preserve">C-15 </w:t>
              </w:r>
            </w:hyperlink>
          </w:p>
        </w:tc>
      </w:tr>
      <w:tr>
        <w:trPr/>
        <w:tc>
          <w:tcPr>
            <w:tcW w:w="6920" w:type="dxa"/>
            <w:gridSpan w:val="7"/>
            <w:tcBorders/>
            <w:shd w:fill="CCEEFF" w:val="clear"/>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smallCaps/>
                  <w:color w:val="000000"/>
                  <w:sz w:val="20"/>
                </w:rPr>
                <w:t>Article 6 General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A6">
              <w:r>
                <w:rPr>
                  <w:rStyle w:val="InternetLink"/>
                  <w:rFonts w:ascii="Times New Roman;Times;serif" w:hAnsi="Times New Roman;Times;serif"/>
                  <w:color w:val="000000"/>
                  <w:sz w:val="20"/>
                </w:rPr>
                <w:t xml:space="preserve">C-15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601">
              <w:r>
                <w:rPr>
                  <w:rStyle w:val="InternetLink"/>
                  <w:rFonts w:ascii="Times New Roman;Times;serif" w:hAnsi="Times New Roman;Times;serif"/>
                  <w:color w:val="000000"/>
                  <w:sz w:val="20"/>
                </w:rPr>
                <w:t>Section 6.01.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i/>
                  <w:color w:val="000000"/>
                  <w:sz w:val="20"/>
                </w:rPr>
                <w:t>Certificates Representing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601">
              <w:r>
                <w:rPr>
                  <w:rStyle w:val="InternetLink"/>
                  <w:rFonts w:ascii="Times New Roman;Times;serif" w:hAnsi="Times New Roman;Times;serif"/>
                  <w:color w:val="000000"/>
                  <w:sz w:val="20"/>
                </w:rPr>
                <w:t xml:space="preserve">C-15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602">
              <w:r>
                <w:rPr>
                  <w:rStyle w:val="InternetLink"/>
                  <w:rFonts w:ascii="Times New Roman;Times;serif" w:hAnsi="Times New Roman;Times;serif"/>
                  <w:color w:val="000000"/>
                  <w:sz w:val="20"/>
                </w:rPr>
                <w:t>Section 6.02.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i/>
                  <w:color w:val="000000"/>
                  <w:sz w:val="20"/>
                </w:rPr>
                <w:t>Transfer and Registry Agents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602">
              <w:r>
                <w:rPr>
                  <w:rStyle w:val="InternetLink"/>
                  <w:rFonts w:ascii="Times New Roman;Times;serif" w:hAnsi="Times New Roman;Times;serif"/>
                  <w:color w:val="000000"/>
                  <w:sz w:val="20"/>
                </w:rPr>
                <w:t xml:space="preserve">C-15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603">
              <w:r>
                <w:rPr>
                  <w:rStyle w:val="InternetLink"/>
                  <w:rFonts w:ascii="Times New Roman;Times;serif" w:hAnsi="Times New Roman;Times;serif"/>
                  <w:color w:val="000000"/>
                  <w:sz w:val="20"/>
                </w:rPr>
                <w:t>Section 6.03.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0"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i/>
                  <w:color w:val="000000"/>
                  <w:sz w:val="20"/>
                </w:rPr>
                <w:t>Lost, Stolen or Destroyed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603">
              <w:r>
                <w:rPr>
                  <w:rStyle w:val="InternetLink"/>
                  <w:rFonts w:ascii="Times New Roman;Times;serif" w:hAnsi="Times New Roman;Times;serif"/>
                  <w:color w:val="000000"/>
                  <w:sz w:val="20"/>
                </w:rPr>
                <w:t xml:space="preserve">C-15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604">
              <w:r>
                <w:rPr>
                  <w:rStyle w:val="InternetLink"/>
                  <w:rFonts w:ascii="Times New Roman;Times;serif" w:hAnsi="Times New Roman;Times;serif"/>
                  <w:color w:val="000000"/>
                  <w:sz w:val="20"/>
                </w:rPr>
                <w:t>Section 6.04.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i/>
                  <w:color w:val="000000"/>
                  <w:sz w:val="20"/>
                </w:rPr>
                <w:t>Form of Records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604">
              <w:r>
                <w:rPr>
                  <w:rStyle w:val="InternetLink"/>
                  <w:rFonts w:ascii="Times New Roman;Times;serif" w:hAnsi="Times New Roman;Times;serif"/>
                  <w:color w:val="000000"/>
                  <w:sz w:val="20"/>
                </w:rPr>
                <w:t xml:space="preserve">C-15 </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45101x2_424b3_303-annexc_pg3"/>
        <w:bookmarkEnd w:id="187"/>
        <w:r>
          <w:rPr>
            <w:rStyle w:val="InternetLink"/>
            <w:rFonts w:ascii="Times New Roman;Times;Serif" w:hAnsi="Times New Roman;Times;Serif"/>
            <w:b/>
            <w:caps w:val="false"/>
            <w:smallCaps w:val="false"/>
            <w:color w:val="000000"/>
            <w:sz w:val="16"/>
          </w:rPr>
          <w:t>TABLE OF CONTENTS</w:t>
        </w:r>
      </w:hyperlink>
    </w:p>
    <w:tbl>
      <w:tblPr>
        <w:tblW w:w="756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5000"/>
        <w:gridCol w:w="140"/>
        <w:gridCol w:w="140"/>
        <w:gridCol w:w="485"/>
      </w:tblGrid>
      <w:tr>
        <w:trPr/>
        <w:tc>
          <w:tcPr>
            <w:tcW w:w="680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680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smallCaps/>
                <w:color w:val="000000"/>
                <w:sz w:val="16"/>
              </w:rPr>
            </w:pPr>
            <w:r>
              <w:rPr>
                <w:rFonts w:ascii="Times New Roman;Times;serif" w:hAnsi="Times New Roman;Times;serif"/>
                <w:b/>
                <w:smallCaps/>
                <w:color w:val="000000"/>
                <w:sz w:val="16"/>
              </w:rPr>
              <w:t>Page</w:t>
            </w:r>
            <w:r>
              <w:rPr>
                <w:rFonts w:ascii="Times New Roman;Times;serif" w:hAnsi="Times New Roman;Times;serif"/>
                <w:b/>
                <w:caps w:val="false"/>
                <w:smallCaps w:val="false"/>
                <w:color w:val="000000"/>
                <w:sz w:val="16"/>
              </w:rPr>
              <w:t xml:space="preserv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605">
              <w:r>
                <w:rPr>
                  <w:rStyle w:val="InternetLink"/>
                  <w:rFonts w:ascii="Times New Roman;Times;serif" w:hAnsi="Times New Roman;Times;serif"/>
                  <w:color w:val="000000"/>
                  <w:sz w:val="20"/>
                </w:rPr>
                <w:t>Section 6.05.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605">
              <w:r>
                <w:rPr>
                  <w:rStyle w:val="InternetLink"/>
                  <w:rFonts w:ascii="Times New Roman;Times;serif" w:hAnsi="Times New Roman;Times;serif"/>
                  <w:i/>
                  <w:color w:val="000000"/>
                  <w:sz w:val="20"/>
                </w:rPr>
                <w:t>Seal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605">
              <w:r>
                <w:rPr>
                  <w:rStyle w:val="InternetLink"/>
                  <w:rFonts w:ascii="Times New Roman;Times;serif" w:hAnsi="Times New Roman;Times;serif"/>
                  <w:color w:val="000000"/>
                  <w:sz w:val="20"/>
                </w:rPr>
                <w:t xml:space="preserve">C-15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606">
              <w:r>
                <w:rPr>
                  <w:rStyle w:val="InternetLink"/>
                  <w:rFonts w:ascii="Times New Roman;Times;serif" w:hAnsi="Times New Roman;Times;serif"/>
                  <w:color w:val="000000"/>
                  <w:sz w:val="20"/>
                </w:rPr>
                <w:t>Section 6.06.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606">
              <w:r>
                <w:rPr>
                  <w:rStyle w:val="InternetLink"/>
                  <w:rFonts w:ascii="Times New Roman;Times;serif" w:hAnsi="Times New Roman;Times;serif"/>
                  <w:i/>
                  <w:color w:val="000000"/>
                  <w:sz w:val="20"/>
                </w:rPr>
                <w:t>Fiscal Year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606">
              <w:r>
                <w:rPr>
                  <w:rStyle w:val="InternetLink"/>
                  <w:rFonts w:ascii="Times New Roman;Times;serif" w:hAnsi="Times New Roman;Times;serif"/>
                  <w:color w:val="000000"/>
                  <w:sz w:val="20"/>
                </w:rPr>
                <w:t xml:space="preserve">C-15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607">
              <w:r>
                <w:rPr>
                  <w:rStyle w:val="InternetLink"/>
                  <w:rFonts w:ascii="Times New Roman;Times;serif" w:hAnsi="Times New Roman;Times;serif"/>
                  <w:color w:val="000000"/>
                  <w:sz w:val="20"/>
                </w:rPr>
                <w:t>Section 6.07.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607">
              <w:r>
                <w:rPr>
                  <w:rStyle w:val="InternetLink"/>
                  <w:rFonts w:ascii="Times New Roman;Times;serif" w:hAnsi="Times New Roman;Times;serif"/>
                  <w:i/>
                  <w:color w:val="000000"/>
                  <w:sz w:val="20"/>
                </w:rPr>
                <w:t>Amendments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607">
              <w:r>
                <w:rPr>
                  <w:rStyle w:val="InternetLink"/>
                  <w:rFonts w:ascii="Times New Roman;Times;serif" w:hAnsi="Times New Roman;Times;serif"/>
                  <w:color w:val="000000"/>
                  <w:sz w:val="20"/>
                </w:rPr>
                <w:t xml:space="preserve">C-15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608">
              <w:r>
                <w:rPr>
                  <w:rStyle w:val="InternetLink"/>
                  <w:rFonts w:ascii="Times New Roman;Times;serif" w:hAnsi="Times New Roman;Times;serif"/>
                  <w:color w:val="000000"/>
                  <w:sz w:val="20"/>
                </w:rPr>
                <w:t>Section 6.08.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608">
              <w:r>
                <w:rPr>
                  <w:rStyle w:val="InternetLink"/>
                  <w:rFonts w:ascii="Times New Roman;Times;serif" w:hAnsi="Times New Roman;Times;serif"/>
                  <w:i/>
                  <w:color w:val="000000"/>
                  <w:sz w:val="20"/>
                </w:rPr>
                <w:t>Conflict with Applicable Law or Certificate of Incorporation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608">
              <w:r>
                <w:rPr>
                  <w:rStyle w:val="InternetLink"/>
                  <w:rFonts w:ascii="Times New Roman;Times;serif" w:hAnsi="Times New Roman;Times;serif"/>
                  <w:color w:val="000000"/>
                  <w:sz w:val="20"/>
                </w:rPr>
                <w:t xml:space="preserve">C-16 </w:t>
              </w:r>
            </w:hyperlink>
          </w:p>
        </w:tc>
      </w:tr>
      <w:tr>
        <w:trPr/>
        <w:tc>
          <w:tcPr>
            <w:tcW w:w="6800"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smallCaps/>
                  <w:color w:val="000000"/>
                  <w:sz w:val="20"/>
                </w:rPr>
                <w:t>Article 7 Indemnification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A7">
              <w:r>
                <w:rPr>
                  <w:rStyle w:val="InternetLink"/>
                  <w:rFonts w:ascii="Times New Roman;Times;serif" w:hAnsi="Times New Roman;Times;serif"/>
                  <w:color w:val="000000"/>
                  <w:sz w:val="20"/>
                </w:rPr>
                <w:t xml:space="preserve">C-16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701">
              <w:r>
                <w:rPr>
                  <w:rStyle w:val="InternetLink"/>
                  <w:rFonts w:ascii="Times New Roman;Times;serif" w:hAnsi="Times New Roman;Times;serif"/>
                  <w:color w:val="000000"/>
                  <w:sz w:val="20"/>
                </w:rPr>
                <w:t>Section 7.01.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i/>
                  <w:color w:val="000000"/>
                  <w:sz w:val="20"/>
                </w:rPr>
                <w:t>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701">
              <w:r>
                <w:rPr>
                  <w:rStyle w:val="InternetLink"/>
                  <w:rFonts w:ascii="Times New Roman;Times;serif" w:hAnsi="Times New Roman;Times;serif"/>
                  <w:color w:val="000000"/>
                  <w:sz w:val="20"/>
                </w:rPr>
                <w:t xml:space="preserve">C-16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702">
              <w:r>
                <w:rPr>
                  <w:rStyle w:val="InternetLink"/>
                  <w:rFonts w:ascii="Times New Roman;Times;serif" w:hAnsi="Times New Roman;Times;serif"/>
                  <w:color w:val="000000"/>
                  <w:sz w:val="20"/>
                </w:rPr>
                <w:t>Section 7.02.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i/>
                  <w:color w:val="000000"/>
                  <w:sz w:val="20"/>
                </w:rPr>
                <w:t>Other Officers, Employees and Other Agents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702">
              <w:r>
                <w:rPr>
                  <w:rStyle w:val="InternetLink"/>
                  <w:rFonts w:ascii="Times New Roman;Times;serif" w:hAnsi="Times New Roman;Times;serif"/>
                  <w:color w:val="000000"/>
                  <w:sz w:val="20"/>
                </w:rPr>
                <w:t xml:space="preserve">C-16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703">
              <w:r>
                <w:rPr>
                  <w:rStyle w:val="InternetLink"/>
                  <w:rFonts w:ascii="Times New Roman;Times;serif" w:hAnsi="Times New Roman;Times;serif"/>
                  <w:color w:val="000000"/>
                  <w:sz w:val="20"/>
                </w:rPr>
                <w:t>Section 7.03.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i/>
                  <w:color w:val="000000"/>
                  <w:sz w:val="20"/>
                </w:rPr>
                <w:t>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703">
              <w:r>
                <w:rPr>
                  <w:rStyle w:val="InternetLink"/>
                  <w:rFonts w:ascii="Times New Roman;Times;serif" w:hAnsi="Times New Roman;Times;serif"/>
                  <w:color w:val="000000"/>
                  <w:sz w:val="20"/>
                </w:rPr>
                <w:t xml:space="preserve">C-16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704">
              <w:r>
                <w:rPr>
                  <w:rStyle w:val="InternetLink"/>
                  <w:rFonts w:ascii="Times New Roman;Times;serif" w:hAnsi="Times New Roman;Times;serif"/>
                  <w:color w:val="000000"/>
                  <w:sz w:val="20"/>
                </w:rPr>
                <w:t>Section 7.04.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i/>
                  <w:color w:val="000000"/>
                  <w:sz w:val="20"/>
                </w:rPr>
                <w:t>Enforcement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704">
              <w:r>
                <w:rPr>
                  <w:rStyle w:val="InternetLink"/>
                  <w:rFonts w:ascii="Times New Roman;Times;serif" w:hAnsi="Times New Roman;Times;serif"/>
                  <w:color w:val="000000"/>
                  <w:sz w:val="20"/>
                </w:rPr>
                <w:t xml:space="preserve">C-16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705">
              <w:r>
                <w:rPr>
                  <w:rStyle w:val="InternetLink"/>
                  <w:rFonts w:ascii="Times New Roman;Times;serif" w:hAnsi="Times New Roman;Times;serif"/>
                  <w:color w:val="000000"/>
                  <w:sz w:val="20"/>
                </w:rPr>
                <w:t>Section 7.05.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i/>
                  <w:color w:val="000000"/>
                  <w:sz w:val="20"/>
                </w:rPr>
                <w:t>Non-Exclusivity of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705">
              <w:r>
                <w:rPr>
                  <w:rStyle w:val="InternetLink"/>
                  <w:rFonts w:ascii="Times New Roman;Times;serif" w:hAnsi="Times New Roman;Times;serif"/>
                  <w:color w:val="000000"/>
                  <w:sz w:val="20"/>
                </w:rPr>
                <w:t xml:space="preserve">C-17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706">
              <w:r>
                <w:rPr>
                  <w:rStyle w:val="InternetLink"/>
                  <w:rFonts w:ascii="Times New Roman;Times;serif" w:hAnsi="Times New Roman;Times;serif"/>
                  <w:color w:val="000000"/>
                  <w:sz w:val="20"/>
                </w:rPr>
                <w:t>Section 7.06.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i/>
                  <w:color w:val="000000"/>
                  <w:sz w:val="20"/>
                </w:rPr>
                <w:t>Survival of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706">
              <w:r>
                <w:rPr>
                  <w:rStyle w:val="InternetLink"/>
                  <w:rFonts w:ascii="Times New Roman;Times;serif" w:hAnsi="Times New Roman;Times;serif"/>
                  <w:color w:val="000000"/>
                  <w:sz w:val="20"/>
                </w:rPr>
                <w:t xml:space="preserve">C-17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707">
              <w:r>
                <w:rPr>
                  <w:rStyle w:val="InternetLink"/>
                  <w:rFonts w:ascii="Times New Roman;Times;serif" w:hAnsi="Times New Roman;Times;serif"/>
                  <w:color w:val="000000"/>
                  <w:sz w:val="20"/>
                </w:rPr>
                <w:t>Section 7.07.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i/>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707">
              <w:r>
                <w:rPr>
                  <w:rStyle w:val="InternetLink"/>
                  <w:rFonts w:ascii="Times New Roman;Times;serif" w:hAnsi="Times New Roman;Times;serif"/>
                  <w:color w:val="000000"/>
                  <w:sz w:val="20"/>
                </w:rPr>
                <w:t xml:space="preserve">C-17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708">
              <w:r>
                <w:rPr>
                  <w:rStyle w:val="InternetLink"/>
                  <w:rFonts w:ascii="Times New Roman;Times;serif" w:hAnsi="Times New Roman;Times;serif"/>
                  <w:color w:val="000000"/>
                  <w:sz w:val="20"/>
                </w:rPr>
                <w:t>Section 7.08.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i/>
                  <w:color w:val="000000"/>
                  <w:sz w:val="20"/>
                </w:rPr>
                <w:t>Amendments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708">
              <w:r>
                <w:rPr>
                  <w:rStyle w:val="InternetLink"/>
                  <w:rFonts w:ascii="Times New Roman;Times;serif" w:hAnsi="Times New Roman;Times;serif"/>
                  <w:color w:val="000000"/>
                  <w:sz w:val="20"/>
                </w:rPr>
                <w:t xml:space="preserve">C-17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pPr>
            <w:hyperlink w:anchor="tANXAS709">
              <w:r>
                <w:rPr>
                  <w:rStyle w:val="InternetLink"/>
                  <w:rFonts w:ascii="Times New Roman;Times;serif" w:hAnsi="Times New Roman;Times;serif"/>
                  <w:color w:val="000000"/>
                  <w:sz w:val="20"/>
                </w:rPr>
                <w:t>Section 7.09.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i/>
                  <w:color w:val="000000"/>
                  <w:sz w:val="20"/>
                </w:rPr>
                <w:t>Saving Clause</w:t>
              </w:r>
            </w:hyperlink>
            <w:hyperlink w:anchor="tANXAS709">
              <w:r>
                <w:rPr>
                  <w:rStyle w:val="InternetLink"/>
                  <w:rFonts w:ascii="Times New Roman;Times;serif" w:hAnsi="Times New Roman;Times;serif"/>
                  <w:i/>
                  <w:caps w:val="false"/>
                  <w:smallCaps w:val="false"/>
                  <w:color w:val="000000"/>
                  <w:sz w:val="20"/>
                </w:rPr>
                <w:t xml:space="preserv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40" w:right="0" w:hanging="0"/>
              <w:jc w:val="left"/>
              <w:rPr/>
            </w:pPr>
            <w:hyperlink w:anchor="tANXAS709">
              <w:r>
                <w:rPr>
                  <w:rStyle w:val="InternetLink"/>
                  <w:rFonts w:ascii="Times New Roman;Times;serif" w:hAnsi="Times New Roman;Times;serif"/>
                  <w:color w:val="000000"/>
                  <w:sz w:val="20"/>
                </w:rPr>
                <w:t>C-17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pPr>
            <w:hyperlink w:anchor="tANXAS710">
              <w:r>
                <w:rPr>
                  <w:rStyle w:val="InternetLink"/>
                  <w:rFonts w:ascii="Times New Roman;Times;serif" w:hAnsi="Times New Roman;Times;serif"/>
                  <w:color w:val="000000"/>
                  <w:sz w:val="20"/>
                </w:rPr>
                <w:t>Section 7.10.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i/>
                  <w:color w:val="000000"/>
                  <w:sz w:val="20"/>
                </w:rPr>
                <w:t>Certain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40" w:right="0" w:hanging="0"/>
              <w:jc w:val="left"/>
              <w:rPr/>
            </w:pPr>
            <w:hyperlink w:anchor="tANXAS710">
              <w:r>
                <w:rPr>
                  <w:rStyle w:val="InternetLink"/>
                  <w:rFonts w:ascii="Times New Roman;Times;serif" w:hAnsi="Times New Roman;Times;serif"/>
                  <w:color w:val="000000"/>
                  <w:sz w:val="20"/>
                </w:rPr>
                <w:t>C-17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45101x2_424b3_303-annexc_pg4"/>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189" w:name="tANXAA1"/>
      <w:bookmarkEnd w:id="189"/>
      <w:r>
        <w:rPr>
          <w:rFonts w:ascii="Times New Roman;Times;serif" w:hAnsi="Times New Roman;Times;serif"/>
          <w:color w:val="000000"/>
          <w:sz w:val="20"/>
        </w:rPr>
        <w:t>ARTICLE 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Definitions</w:t>
      </w:r>
      <w:r>
        <w:rPr>
          <w:rFonts w:ascii="Times New Roman;Times;serif" w:hAnsi="Times New Roman;Times;serif"/>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these By-laws, unless the context otherwise requires, the term: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Assistant Secretary</w:t>
      </w:r>
      <w:r>
        <w:rPr>
          <w:rFonts w:ascii="Times New Roman;Times;serif" w:hAnsi="Times New Roman;Times;serif"/>
          <w:color w:val="000000"/>
          <w:sz w:val="20"/>
        </w:rPr>
        <w:t xml:space="preserve">” means an Assistant Secretary of the Corporation.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Assistant Treasurer</w:t>
      </w:r>
      <w:r>
        <w:rPr>
          <w:rFonts w:ascii="Times New Roman;Times;serif" w:hAnsi="Times New Roman;Times;serif"/>
          <w:color w:val="000000"/>
          <w:sz w:val="20"/>
        </w:rPr>
        <w:t xml:space="preserve">” means an Assistant Treasurer of the Corporation.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Board</w:t>
      </w:r>
      <w:r>
        <w:rPr>
          <w:rFonts w:ascii="Times New Roman;Times;serif" w:hAnsi="Times New Roman;Times;serif"/>
          <w:color w:val="000000"/>
          <w:sz w:val="20"/>
        </w:rPr>
        <w:t xml:space="preserve">” means the Board of Directors of the Corporation.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By-laws</w:t>
      </w:r>
      <w:r>
        <w:rPr>
          <w:rFonts w:ascii="Times New Roman;Times;serif" w:hAnsi="Times New Roman;Times;serif"/>
          <w:color w:val="000000"/>
          <w:sz w:val="20"/>
        </w:rPr>
        <w:t xml:space="preserve">” means the By-laws of the Corporation, as amended and restated.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Certificate of Incorporation</w:t>
      </w:r>
      <w:r>
        <w:rPr>
          <w:rFonts w:ascii="Times New Roman;Times;serif" w:hAnsi="Times New Roman;Times;serif"/>
          <w:color w:val="000000"/>
          <w:sz w:val="20"/>
        </w:rPr>
        <w:t xml:space="preserve">” means the Certificate of Incorporation of the Corporation, as amended and restated.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Chairman</w:t>
      </w:r>
      <w:r>
        <w:rPr>
          <w:rFonts w:ascii="Times New Roman;Times;serif" w:hAnsi="Times New Roman;Times;serif"/>
          <w:color w:val="000000"/>
          <w:sz w:val="20"/>
        </w:rPr>
        <w:t xml:space="preserve">” means the Chairman of the Board and includes any Executive Chairman.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Chief Executive Officer</w:t>
      </w:r>
      <w:r>
        <w:rPr>
          <w:rFonts w:ascii="Times New Roman;Times;serif" w:hAnsi="Times New Roman;Times;serif"/>
          <w:color w:val="000000"/>
          <w:sz w:val="20"/>
        </w:rPr>
        <w:t xml:space="preserve">” means the Chief Executive Officer of the Corporation.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control</w:t>
      </w:r>
      <w:r>
        <w:rPr>
          <w:rFonts w:ascii="Times New Roman;Times;serif" w:hAnsi="Times New Roman;Times;serif"/>
          <w:color w:val="000000"/>
          <w:sz w:val="20"/>
        </w:rPr>
        <w:t xml:space="preserve">”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Corporation</w:t>
      </w:r>
      <w:r>
        <w:rPr>
          <w:rFonts w:ascii="Times New Roman;Times;serif" w:hAnsi="Times New Roman;Times;serif"/>
          <w:color w:val="000000"/>
          <w:sz w:val="20"/>
        </w:rPr>
        <w:t xml:space="preserve">” means ProKidney Corp.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Derivative</w:t>
      </w:r>
      <w:r>
        <w:rPr>
          <w:rFonts w:ascii="Times New Roman;Times;serif" w:hAnsi="Times New Roman;Times;serif"/>
          <w:color w:val="000000"/>
          <w:sz w:val="20"/>
        </w:rPr>
        <w:t xml:space="preserve">” is defined in ‎Section 2.02(d)(iii).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Directors</w:t>
      </w:r>
      <w:r>
        <w:rPr>
          <w:rFonts w:ascii="Times New Roman;Times;serif" w:hAnsi="Times New Roman;Times;serif"/>
          <w:color w:val="000000"/>
          <w:sz w:val="20"/>
        </w:rPr>
        <w:t xml:space="preserve">” means the directors of the Corporation.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electronic transmission</w:t>
      </w:r>
      <w:r>
        <w:rPr>
          <w:rFonts w:ascii="Times New Roman;Times;serif" w:hAnsi="Times New Roman;Times;serif"/>
          <w:color w:val="000000"/>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electronic mail</w:t>
      </w:r>
      <w:r>
        <w:rPr>
          <w:rFonts w:ascii="Times New Roman;Times;serif" w:hAnsi="Times New Roman;Times;serif"/>
          <w:color w:val="000000"/>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electronic mail address</w:t>
      </w:r>
      <w:r>
        <w:rPr>
          <w:rFonts w:ascii="Times New Roman;Times;serif" w:hAnsi="Times New Roman;Times;serif"/>
          <w:color w:val="000000"/>
          <w:sz w:val="20"/>
        </w:rPr>
        <w:t xml:space="preserve">” means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and any successor law or statute, and the rules and regulations promulgated thereunder.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Executive Chairman</w:t>
      </w:r>
      <w:r>
        <w:rPr>
          <w:rFonts w:ascii="Times New Roman;Times;serif" w:hAnsi="Times New Roman;Times;serif"/>
          <w:color w:val="000000"/>
          <w:sz w:val="20"/>
        </w:rPr>
        <w:t xml:space="preserve">” means the Executive Chairman of the Board.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General Corporation Law</w:t>
      </w:r>
      <w:r>
        <w:rPr>
          <w:rFonts w:ascii="Times New Roman;Times;serif" w:hAnsi="Times New Roman;Times;serif"/>
          <w:color w:val="000000"/>
          <w:sz w:val="20"/>
        </w:rPr>
        <w:t xml:space="preserve">” means the General Corporation Law of the State of Delaware, as amended.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law</w:t>
      </w:r>
      <w:r>
        <w:rPr>
          <w:rFonts w:ascii="Times New Roman;Times;serif" w:hAnsi="Times New Roman;Times;serif"/>
          <w:color w:val="000000"/>
          <w:sz w:val="20"/>
        </w:rPr>
        <w:t xml:space="preserve">”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Nominating Stockholder</w:t>
      </w:r>
      <w:r>
        <w:rPr>
          <w:rFonts w:ascii="Times New Roman;Times;serif" w:hAnsi="Times New Roman;Times;serif"/>
          <w:color w:val="000000"/>
          <w:sz w:val="20"/>
        </w:rPr>
        <w:t xml:space="preserve">” is defined in ‎Section 3.03(b).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Notice of Business</w:t>
      </w:r>
      <w:r>
        <w:rPr>
          <w:rFonts w:ascii="Times New Roman;Times;serif" w:hAnsi="Times New Roman;Times;serif"/>
          <w:color w:val="000000"/>
          <w:sz w:val="20"/>
        </w:rPr>
        <w:t xml:space="preserve">” is defined in ‎Section 2.02(c).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Notice of Nomination</w:t>
      </w:r>
      <w:r>
        <w:rPr>
          <w:rFonts w:ascii="Times New Roman;Times;serif" w:hAnsi="Times New Roman;Times;serif"/>
          <w:color w:val="000000"/>
          <w:sz w:val="20"/>
        </w:rPr>
        <w:t xml:space="preserve">” is defined in ‎Section 3.03(c).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Notice Record Date</w:t>
      </w:r>
      <w:r>
        <w:rPr>
          <w:rFonts w:ascii="Times New Roman;Times;serif" w:hAnsi="Times New Roman;Times;serif"/>
          <w:color w:val="000000"/>
          <w:sz w:val="20"/>
        </w:rPr>
        <w:t xml:space="preserve">” is defined in ‎Section 2.04(a).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45101x2_424b3_303-annexc_pg5"/>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rPr>
        <w:t>Office of the Corporation</w:t>
      </w:r>
      <w:r>
        <w:rPr>
          <w:rFonts w:ascii="Times New Roman;Times;serif" w:hAnsi="Times New Roman;Times;serif"/>
          <w:color w:val="000000"/>
          <w:sz w:val="20"/>
        </w:rPr>
        <w:t xml:space="preserve">” means the executive office of the Corporation, anything in Section 131 of the General Corporation Law to the contrary notwithstanding.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President</w:t>
      </w:r>
      <w:r>
        <w:rPr>
          <w:rFonts w:ascii="Times New Roman;Times;serif" w:hAnsi="Times New Roman;Times;serif"/>
          <w:color w:val="000000"/>
          <w:sz w:val="20"/>
        </w:rPr>
        <w:t xml:space="preserve">” means the President of the Corporation.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Proponent</w:t>
      </w:r>
      <w:r>
        <w:rPr>
          <w:rFonts w:ascii="Times New Roman;Times;serif" w:hAnsi="Times New Roman;Times;serif"/>
          <w:color w:val="000000"/>
          <w:sz w:val="20"/>
        </w:rPr>
        <w:t xml:space="preserve">” is defined in ‎Section 2.02(d)(i).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Public Disclosure</w:t>
      </w:r>
      <w:r>
        <w:rPr>
          <w:rFonts w:ascii="Times New Roman;Times;serif" w:hAnsi="Times New Roman;Times;serif"/>
          <w:color w:val="000000"/>
          <w:sz w:val="20"/>
        </w:rPr>
        <w:t xml:space="preserve">” is defined in ‎Section 2.02(i).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Secretary</w:t>
      </w:r>
      <w:r>
        <w:rPr>
          <w:rFonts w:ascii="Times New Roman;Times;serif" w:hAnsi="Times New Roman;Times;serif"/>
          <w:color w:val="000000"/>
          <w:sz w:val="20"/>
        </w:rPr>
        <w:t xml:space="preserve">” means the Secretary of the Corporation.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Stockholder Associated Person</w:t>
      </w:r>
      <w:r>
        <w:rPr>
          <w:rFonts w:ascii="Times New Roman;Times;serif" w:hAnsi="Times New Roman;Times;serif"/>
          <w:color w:val="000000"/>
          <w:sz w:val="20"/>
        </w:rPr>
        <w:t xml:space="preserve">” is defined in ‎Section 2.02(j).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Stockholder Business</w:t>
      </w:r>
      <w:r>
        <w:rPr>
          <w:rFonts w:ascii="Times New Roman;Times;serif" w:hAnsi="Times New Roman;Times;serif"/>
          <w:color w:val="000000"/>
          <w:sz w:val="20"/>
        </w:rPr>
        <w:t xml:space="preserve">” is defined in ‎Section 2.02(b).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Stockholder Information</w:t>
      </w:r>
      <w:r>
        <w:rPr>
          <w:rFonts w:ascii="Times New Roman;Times;serif" w:hAnsi="Times New Roman;Times;serif"/>
          <w:color w:val="000000"/>
          <w:sz w:val="20"/>
        </w:rPr>
        <w:t xml:space="preserve">” is defined in ‎Section 2.02(d)(iii).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Stockholder Nominees</w:t>
      </w:r>
      <w:r>
        <w:rPr>
          <w:rFonts w:ascii="Times New Roman;Times;serif" w:hAnsi="Times New Roman;Times;serif"/>
          <w:color w:val="000000"/>
          <w:sz w:val="20"/>
        </w:rPr>
        <w:t xml:space="preserve">” is defined in ‎Section 3.03(b).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Stockholders</w:t>
      </w:r>
      <w:r>
        <w:rPr>
          <w:rFonts w:ascii="Times New Roman;Times;serif" w:hAnsi="Times New Roman;Times;serif"/>
          <w:color w:val="000000"/>
          <w:sz w:val="20"/>
        </w:rPr>
        <w:t xml:space="preserve">” means the stockholders of the Corporation.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Treasurer</w:t>
      </w:r>
      <w:r>
        <w:rPr>
          <w:rFonts w:ascii="Times New Roman;Times;serif" w:hAnsi="Times New Roman;Times;serif"/>
          <w:color w:val="000000"/>
          <w:sz w:val="20"/>
        </w:rPr>
        <w:t xml:space="preserve">” means the Treasurer of the Corporation.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Vice President</w:t>
      </w:r>
      <w:r>
        <w:rPr>
          <w:rFonts w:ascii="Times New Roman;Times;serif" w:hAnsi="Times New Roman;Times;serif"/>
          <w:color w:val="000000"/>
          <w:sz w:val="20"/>
        </w:rPr>
        <w:t xml:space="preserve">” means a Vice President of the Corporation.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Voting Commitment</w:t>
      </w:r>
      <w:r>
        <w:rPr>
          <w:rFonts w:ascii="Times New Roman;Times;serif" w:hAnsi="Times New Roman;Times;serif"/>
          <w:color w:val="000000"/>
          <w:sz w:val="20"/>
        </w:rPr>
        <w:t xml:space="preserve">” is defined in ‎Section 3.04.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Voting Record Date</w:t>
      </w:r>
      <w:r>
        <w:rPr>
          <w:rFonts w:ascii="Times New Roman;Times;serif" w:hAnsi="Times New Roman;Times;serif"/>
          <w:color w:val="000000"/>
          <w:sz w:val="20"/>
        </w:rPr>
        <w:t xml:space="preserve">” is defined in ‎Section 2.04(a). </w:t>
      </w:r>
    </w:p>
    <w:p>
      <w:pPr>
        <w:pStyle w:val="TextBody"/>
        <w:bidi w:val="0"/>
        <w:spacing w:before="240" w:after="283"/>
        <w:jc w:val="center"/>
        <w:rPr>
          <w:rFonts w:ascii="Times New Roman;Times;serif" w:hAnsi="Times New Roman;Times;serif"/>
          <w:color w:val="000000"/>
          <w:sz w:val="20"/>
        </w:rPr>
      </w:pPr>
      <w:bookmarkStart w:id="191" w:name="tANXAA2"/>
      <w:bookmarkEnd w:id="191"/>
      <w:r>
        <w:rPr>
          <w:rFonts w:ascii="Times New Roman;Times;serif" w:hAnsi="Times New Roman;Times;serif"/>
          <w:color w:val="000000"/>
          <w:sz w:val="20"/>
        </w:rPr>
        <w:t xml:space="preserve">ARTICLE 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Stockholders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192" w:name="tANXAS201"/>
      <w:bookmarkEnd w:id="192"/>
      <w:r>
        <w:rPr>
          <w:rFonts w:ascii="Times New Roman;Times;serif" w:hAnsi="Times New Roman;Times;serif"/>
          <w:color w:val="000000"/>
          <w:sz w:val="20"/>
        </w:rPr>
        <w:t>Section 2.01. </w:t>
      </w:r>
      <w:r>
        <w:rPr>
          <w:rFonts w:ascii="Times New Roman;Times;serif" w:hAnsi="Times New Roman;Times;serif"/>
          <w:i/>
          <w:color w:val="000000"/>
          <w:sz w:val="20"/>
        </w:rPr>
        <w:t>Place of Meetings</w:t>
      </w:r>
      <w:r>
        <w:rPr>
          <w:rFonts w:ascii="Times New Roman;Times;serif" w:hAnsi="Times New Roman;Times;serif"/>
          <w:color w:val="000000"/>
          <w:sz w:val="20"/>
        </w:rPr>
        <w:t xml:space="preserve">. Meetings of Stockholders may be held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 </w:t>
      </w:r>
    </w:p>
    <w:p>
      <w:pPr>
        <w:pStyle w:val="TextBody"/>
        <w:bidi w:val="0"/>
        <w:spacing w:before="160" w:after="283"/>
        <w:ind w:left="0" w:right="0" w:firstLine="400"/>
        <w:jc w:val="left"/>
        <w:rPr>
          <w:rFonts w:ascii="Times New Roman;Times;serif" w:hAnsi="Times New Roman;Times;serif"/>
          <w:color w:val="000000"/>
          <w:sz w:val="20"/>
        </w:rPr>
      </w:pPr>
      <w:bookmarkStart w:id="193" w:name="tANXAS202"/>
      <w:bookmarkEnd w:id="193"/>
      <w:r>
        <w:rPr>
          <w:rFonts w:ascii="Times New Roman;Times;serif" w:hAnsi="Times New Roman;Times;serif"/>
          <w:color w:val="000000"/>
          <w:sz w:val="20"/>
        </w:rPr>
        <w:t>Section 2.02. </w:t>
      </w:r>
      <w:r>
        <w:rPr>
          <w:rFonts w:ascii="Times New Roman;Times;serif" w:hAnsi="Times New Roman;Times;serif"/>
          <w:i/>
          <w:color w:val="000000"/>
          <w:sz w:val="20"/>
        </w:rPr>
        <w:t>Annual Meetings; Stockholder Proposals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meeting of Stockholders for the election of Directors and other business properly brought before the meeting pursuant to these By-laws shall be held annually at such date and time as may be designated by the Board from time to time. To the fullest extent permitted by applicable law, the Board may postpone, reschedule or cancel any annual meeting of stockholders previously scheduled by the Board. 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(b) At an annual meeting of the Stockholders, only business (other than business relating to the nomination or election of Directors, which is governed by ‎Section 3.03) that has been properly brought before the Stockholder meeting in accordance with the procedures set forth in this ‎Section 2.02 shall be conducted. To be properly brought before a meeting of Stockholders, such business must be brought before the meeting (i) by or at the direction of the Board or any committee thereof or (ii) by a Stockholder who (A) was a Stockholder of record of the Corporation when the notice required by this Section 2.02 is delivered to the Secretary and at the time of the meeting, (B) is entitled to vote at the meeting and (C) complies with the notice and other provisions of this ‎Section 2.02. Subject to ‎Section 2.02(k), and except with respect to nominations or elections of Directors, which are governed by ‎Section 3.03, ‎Section 2.02(b)(ii) is the exclusive means by which a Stockholder may bring business before a meeting of Stockholders;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Rule 14a-8 of the Exchange Act (or any successor rule) is applicable, a Stockholder may not bring business before any meeting if the Stockholder fails to meet the requirements of such rule. Any business brought before a meeting in accordance with ‎Section 2.02(b)(ii) is referred to as “</w:t>
      </w:r>
      <w:r>
        <w:rPr>
          <w:rFonts w:ascii="Times New Roman;Times;serif" w:hAnsi="Times New Roman;Times;serif"/>
          <w:b/>
          <w:color w:val="000000"/>
          <w:sz w:val="20"/>
        </w:rPr>
        <w:t>Stockholder Business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(c) Subject to ‎Section 2.02(k), at any annual meeting of Stockholders, all proposals of Stockholder Business must be made by timely written notice given by or on behalf of a Stockholder of record of the Corporation (the “</w:t>
      </w:r>
      <w:r>
        <w:rPr>
          <w:rFonts w:ascii="Times New Roman;Times;serif" w:hAnsi="Times New Roman;Times;serif"/>
          <w:b/>
          <w:color w:val="000000"/>
          <w:sz w:val="20"/>
        </w:rPr>
        <w:t>Notice of Business</w:t>
      </w:r>
      <w:r>
        <w:rPr>
          <w:rFonts w:ascii="Times New Roman;Times;serif" w:hAnsi="Times New Roman;Times;serif"/>
          <w:color w:val="000000"/>
          <w:sz w:val="20"/>
        </w:rPr>
        <w:t xml:space="preserve">”) and must otherwise be a proper matter for Stockholder action. To be timely, the Notice of Business must be delivered personally or mailed to, and received at, the Office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45101x2_424b3_303-annexc_pg6"/>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addressed to the Secretary, by no earlier than one hundred and twenty (120) days and no later than ninety (90) days before the first anniversary of the date of the prior year’s annual meeting of Stockholders;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shall an adjournment, postponement or deferral, or Public Disclosure of an adjournment, postponement or deferral, of a Stockholder meeting commence a new time period (or extend any time period) for the giving of the Notice of Business.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Notice of Business must set forth: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(i) the name and record address of each Stockholder proposing Stockholder Business (the “</w:t>
      </w:r>
      <w:r>
        <w:rPr>
          <w:rFonts w:ascii="Times New Roman;Times;serif" w:hAnsi="Times New Roman;Times;serif"/>
          <w:b/>
          <w:color w:val="000000"/>
          <w:sz w:val="20"/>
        </w:rPr>
        <w:t>Proponent</w:t>
      </w:r>
      <w:r>
        <w:rPr>
          <w:rFonts w:ascii="Times New Roman;Times;serif" w:hAnsi="Times New Roman;Times;serif"/>
          <w:color w:val="000000"/>
          <w:sz w:val="20"/>
        </w:rPr>
        <w:t xml:space="preserve">”), as they appear on the Corporation’s books;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name and address of any Stockholder Associated Person;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Stockholder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Times New Roman;Times;serif" w:hAnsi="Times New Roman;Times;serif"/>
          <w:b/>
          <w:color w:val="000000"/>
          <w:sz w:val="20"/>
        </w:rPr>
        <w:t>Derivative</w:t>
      </w:r>
      <w:r>
        <w:rPr>
          <w:rFonts w:ascii="Times New Roman;Times;serif" w:hAnsi="Times New Roman;Times;serif"/>
          <w:color w:val="000000"/>
          <w:sz w:val="20"/>
        </w:rPr>
        <w:t xml:space="preserve">”), (E) 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w:t>
      </w:r>
      <w:r>
        <w:rPr>
          <w:rFonts w:ascii="Times New Roman;Times;serif" w:hAnsi="Times New Roman;Times;serif"/>
          <w:i/>
          <w:color w:val="000000"/>
          <w:sz w:val="20"/>
        </w:rPr>
        <w:t>provided however</w:t>
      </w:r>
      <w:r>
        <w:rPr>
          <w:rFonts w:ascii="Times New Roman;Times;serif" w:hAnsi="Times New Roman;Times;serif"/>
          <w:color w:val="000000"/>
          <w:sz w:val="20"/>
        </w:rPr>
        <w:t>, for the avoidance of doubt, this Section 2.02(d)(iii) requires a Proponent to disclose any such agreement or understanding only to the extent known to, or to the extent such matters should be known after the exercise of reasonable diligence by, any Proponent. The information specified in ‎Section 2.02(d)(i) to ‎(iii) is referred to herein as “</w:t>
      </w:r>
      <w:r>
        <w:rPr>
          <w:rFonts w:ascii="Times New Roman;Times;serif" w:hAnsi="Times New Roman;Times;serif"/>
          <w:b/>
          <w:color w:val="000000"/>
          <w:sz w:val="20"/>
        </w:rPr>
        <w:t>Stockholder Information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(iv) Stockholder Information with respect to any stock or other interests of the Corporation held by the spouse, children (including stepchildren), siblings, parents-in-law, sons- and daughters-in-law, and brothers- and sisters-in-law (collectively, </w:t>
      </w:r>
      <w:r>
        <w:rPr>
          <w:rFonts w:ascii="Times New Roman;Times;serif" w:hAnsi="Times New Roman;Times;serif"/>
          <w:b/>
          <w:color w:val="000000"/>
          <w:sz w:val="20"/>
        </w:rPr>
        <w:t>immediate family members</w:t>
      </w:r>
      <w:r>
        <w:rPr>
          <w:rFonts w:ascii="Times New Roman;Times;serif" w:hAnsi="Times New Roman;Times;serif"/>
          <w:color w:val="000000"/>
          <w:sz w:val="20"/>
        </w:rPr>
        <w:t xml:space="preserve">”) of the Proponent;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 representation to the Corporation that each Proponent is a holder of record of stock of the Corporation entitled to vote at the meeting and intends to appear in person or by proxy at the meeting to propose such Stockholder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45101x2_424b3_303-annexc_pg7"/>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(vii) any material interest of each Proponent and any Stockholder Associated Person in such Stockholder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 representation to the Corporation as to whether the Proponent intends (A) to deliver a proxy statement and form of proxy to holders of at least the percentage of the Corporation’s outstanding capital stock required to approve or adopt such Stockholder Business or (B) otherwise to solicit proxies from the Stockholders in support of such Stockholder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(ix) all other information that would be required to be filed with the SEC if the Proponents or Stockholder Associated Persons were participants in a solicitation subject to Section 14 of the Exchange Act;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 representation and covenant for the benefit of the Corporation that the Proponents shall provide any other information reasonably requested by 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Proponents shall also provide any other information reasonably requested by the Corporation within ten (10) business days after such request.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addition, the Proponent shall further update and supplement the information provided to the Corporation in the Notice of Business or upon the Corporation’s request pursuant to ‎Section 2.02(e)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person presiding over the meeting shall, if the facts warrant, determine and declare to the meeting that business was not properly brought before the meeting in accordance with the procedures set forth in this ‎Section 2.02, and if he or she should so determine, he or she shall so declare to the meeting and any such business not properly brought before the meeting shall not be transacted.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2.02,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Public Disclosure</w:t>
      </w:r>
      <w:r>
        <w:rPr>
          <w:rFonts w:ascii="Times New Roman;Times;serif" w:hAnsi="Times New Roman;Times;serif"/>
          <w:color w:val="000000"/>
          <w:sz w:val="20"/>
        </w:rPr>
        <w:t xml:space="preserve">”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 (or any successor provision).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Stockholder Associated Person</w:t>
      </w:r>
      <w:r>
        <w:rPr>
          <w:rFonts w:ascii="Times New Roman;Times;serif" w:hAnsi="Times New Roman;Times;serif"/>
          <w:color w:val="000000"/>
          <w:sz w:val="20"/>
        </w:rPr>
        <w:t xml:space="preserve">” means, with respect to any Stockholder, (i) any other beneficial owner of stock of the Corporation that is owned by such Stockholder, (ii) any immediate family member of such Stockholder, and (iii) any affiliate or associate (as such terms are defined in Rule 12b-2 of the Exchange Act) of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(k) The notice requirements of this ‎Section 2.02 shall be deemed satisfied with respect to Stockholder proposals that have been properly brought under Rule 14a-8 of the Exchange Act (or any successor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45101x2_424b3_303-annexc_pg8"/>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 and that are included in a proxy statement that has been prepared by the Corporation to solicit proxies for such annual meeting. Further, nothing in this ‎Section 2.02 shall be deemed to affect any rights of the holders of any series of preferred stock of the Corporation pursuant to any applicable provision of the Certificate of Incorporation. </w:t>
      </w:r>
    </w:p>
    <w:p>
      <w:pPr>
        <w:pStyle w:val="TextBody"/>
        <w:bidi w:val="0"/>
        <w:spacing w:before="120" w:after="283"/>
        <w:ind w:left="0" w:right="0" w:firstLine="400"/>
        <w:jc w:val="left"/>
        <w:rPr>
          <w:rFonts w:ascii="Times New Roman;Times;serif" w:hAnsi="Times New Roman;Times;serif"/>
          <w:color w:val="000000"/>
          <w:sz w:val="20"/>
        </w:rPr>
      </w:pPr>
      <w:bookmarkStart w:id="197" w:name="tANXAS203"/>
      <w:bookmarkEnd w:id="197"/>
      <w:r>
        <w:rPr>
          <w:rFonts w:ascii="Times New Roman;Times;serif" w:hAnsi="Times New Roman;Times;serif"/>
          <w:color w:val="000000"/>
          <w:sz w:val="20"/>
        </w:rPr>
        <w:t>Section 2.03. </w:t>
      </w:r>
      <w:r>
        <w:rPr>
          <w:rFonts w:ascii="Times New Roman;Times;serif" w:hAnsi="Times New Roman;Times;serif"/>
          <w:i/>
          <w:color w:val="000000"/>
          <w:sz w:val="20"/>
        </w:rPr>
        <w:t>Special Meetings</w:t>
      </w:r>
      <w:r>
        <w:rPr>
          <w:rFonts w:ascii="Times New Roman;Times;serif" w:hAnsi="Times New Roman;Times;serif"/>
          <w:color w:val="000000"/>
          <w:sz w:val="20"/>
        </w:rPr>
        <w:t xml:space="preserve">. Special meetings of the Stockholders may be called only in the manner set forth in the Certificate of Incorporation.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Board shall have exclusive authority to determine the business included in such notice. To the fullest extent permitted by law, the Chairman, the Chief Executive Officer or the Board may postpone, reschedule or cancel any special meeting of stockholders previously called by any of them. </w:t>
      </w:r>
    </w:p>
    <w:p>
      <w:pPr>
        <w:pStyle w:val="TextBody"/>
        <w:bidi w:val="0"/>
        <w:spacing w:before="170" w:after="283"/>
        <w:ind w:left="0" w:right="0" w:firstLine="400"/>
        <w:jc w:val="left"/>
        <w:rPr>
          <w:rFonts w:ascii="Times New Roman;Times;serif" w:hAnsi="Times New Roman;Times;serif"/>
          <w:color w:val="000000"/>
          <w:sz w:val="20"/>
        </w:rPr>
      </w:pPr>
      <w:bookmarkStart w:id="198" w:name="tANXAS204"/>
      <w:bookmarkEnd w:id="198"/>
      <w:r>
        <w:rPr>
          <w:rFonts w:ascii="Times New Roman;Times;serif" w:hAnsi="Times New Roman;Times;serif"/>
          <w:color w:val="000000"/>
          <w:sz w:val="20"/>
        </w:rPr>
        <w:t>Section 2.04. </w:t>
      </w:r>
      <w:r>
        <w:rPr>
          <w:rFonts w:ascii="Times New Roman;Times;serif" w:hAnsi="Times New Roman;Times;serif"/>
          <w:i/>
          <w:color w:val="000000"/>
          <w:sz w:val="20"/>
        </w:rPr>
        <w:t>Record Date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(a) For the purpose of determining the Stockholders entitled to notice of any meeting of Stockholders or any adjournment thereof, unless otherwise required by the Certificate of Incorporation or applicable law, the Board may fix a record date (the “</w:t>
      </w:r>
      <w:r>
        <w:rPr>
          <w:rFonts w:ascii="Times New Roman;Times;serif" w:hAnsi="Times New Roman;Times;serif"/>
          <w:b/>
          <w:color w:val="000000"/>
          <w:sz w:val="20"/>
        </w:rPr>
        <w:t>Notice Record Date</w:t>
      </w:r>
      <w:r>
        <w:rPr>
          <w:rFonts w:ascii="Times New Roman;Times;serif" w:hAnsi="Times New Roman;Times;serif"/>
          <w:color w:val="000000"/>
          <w:sz w:val="20"/>
        </w:rPr>
        <w:t>”), which record date shall not precede the date on which the resolution fixing the record date was adopted by the Board and shall not be more than sixty (60) or less than ten (10) days before the date of such meeting. The Notice Record Date shall also be the record date for determining the Stockholders entitled to vote at such meeting unless the Board determines, at the time it fixes such Notice Record Date, that a later date on or before the date of the meeting shall be the date for making such determination (the “</w:t>
      </w:r>
      <w:r>
        <w:rPr>
          <w:rFonts w:ascii="Times New Roman;Times;serif" w:hAnsi="Times New Roman;Times;serif"/>
          <w:b/>
          <w:color w:val="000000"/>
          <w:sz w:val="20"/>
        </w:rPr>
        <w:t>Voting Record Date</w:t>
      </w:r>
      <w:r>
        <w:rPr>
          <w:rFonts w:ascii="Times New Roman;Times;serif" w:hAnsi="Times New Roman;Times;serif"/>
          <w:color w:val="000000"/>
          <w:sz w:val="20"/>
        </w:rPr>
        <w:t xml:space="preserve">”). For the purposes of determining the Stockholders entitled to express consent to corporate action in writing without a meeting, unless otherwise required by the Certificate of Incorporation or applicable law, the Board may fix a record date, which record date shall not precede the date on which the resolution fixing the record date was adopted by the Board and shall not be more than ten (10) days after the date on which the resolution fixing the record date was adopted by the Board. For the purposes of determining the Stockholders entitled to (i) receive payment of any dividend or other distribution or allotment of any rights, (ii) exercise any rights in respect of any change, conversion or exchange of stock or (iii)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sixty (60) days prior to such action.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no such record date is fixed: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adopts the resolution taking such prior action;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record date for determining the Stockholders entitled to (A) receive payment of any dividend or other distribution or allotment of any rights, (B) exercise any rights in respect of any change, conversion or exchange of stock or (C) take any other lawful action shall be at the close of business on the day on which the Board adopts the resolution relating thereto;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(iv) when a determination of Stockholders of record entitled to notice of, or to vote at, any meeting of Stockholders has been made as provided in this ‎Section 2.04, such determination shall apply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45101x2_424b3_303-annexc_pg9"/>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any adjournment thereof, unless the Board fixes a new Voting Record Date for the adjourned meeting, in which case the Board shall also fix such Voting Record Date or a date earlier than such date as the new Notice Record Date for the adjourned meeting. </w:t>
      </w:r>
    </w:p>
    <w:p>
      <w:pPr>
        <w:pStyle w:val="TextBody"/>
        <w:bidi w:val="0"/>
        <w:spacing w:before="120" w:after="283"/>
        <w:ind w:left="0" w:right="0" w:firstLine="400"/>
        <w:jc w:val="left"/>
        <w:rPr>
          <w:rFonts w:ascii="Times New Roman;Times;serif" w:hAnsi="Times New Roman;Times;serif"/>
          <w:color w:val="000000"/>
          <w:sz w:val="20"/>
        </w:rPr>
      </w:pPr>
      <w:bookmarkStart w:id="200" w:name="tANXAS205"/>
      <w:bookmarkEnd w:id="200"/>
      <w:r>
        <w:rPr>
          <w:rFonts w:ascii="Times New Roman;Times;serif" w:hAnsi="Times New Roman;Times;serif"/>
          <w:color w:val="000000"/>
          <w:sz w:val="20"/>
        </w:rPr>
        <w:t>Section 2.05. </w:t>
      </w:r>
      <w:r>
        <w:rPr>
          <w:rFonts w:ascii="Times New Roman;Times;serif" w:hAnsi="Times New Roman;Times;serif"/>
          <w:i/>
          <w:color w:val="000000"/>
          <w:sz w:val="20"/>
        </w:rPr>
        <w:t>Notice of Meetings of Stockholders</w:t>
      </w:r>
      <w:r>
        <w:rPr>
          <w:rFonts w:ascii="Times New Roman;Times;serif" w:hAnsi="Times New Roman;Times;serif"/>
          <w:color w:val="000000"/>
          <w:sz w:val="20"/>
        </w:rPr>
        <w:t xml:space="preserve">.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Voting Record Date, if such date is different from the Notice Record Date; and, in the case of a special meeting, the purposes for which the meeting is called. Unless otherwise provided by these By-laws or applicable law, notice of any meeting shall be given, not less than ten (10) nor more than sixty (60) days before the date of the meeting, to each Stockholder entitled to vote at such meeting as of the Notice Record Date. Such notice may be given in any manner permitted by applicable law An affidavit of the Secretary, an Assistant Secretary or the transfer agent of the Corporation that the notice required by this ‎Section 2.05 has been given shall, in the absence of fraud, be prima facie evidence of the facts stated therein. </w:t>
      </w:r>
    </w:p>
    <w:p>
      <w:pPr>
        <w:pStyle w:val="TextBody"/>
        <w:bidi w:val="0"/>
        <w:spacing w:before="120" w:after="283"/>
        <w:ind w:left="0" w:right="0" w:firstLine="400"/>
        <w:jc w:val="left"/>
        <w:rPr>
          <w:rFonts w:ascii="Times New Roman;Times;serif" w:hAnsi="Times New Roman;Times;serif"/>
          <w:color w:val="000000"/>
          <w:sz w:val="20"/>
        </w:rPr>
      </w:pPr>
      <w:bookmarkStart w:id="201" w:name="tANXAS206"/>
      <w:bookmarkEnd w:id="201"/>
      <w:r>
        <w:rPr>
          <w:rFonts w:ascii="Times New Roman;Times;serif" w:hAnsi="Times New Roman;Times;serif"/>
          <w:color w:val="000000"/>
          <w:sz w:val="20"/>
        </w:rPr>
        <w:t>Section 2.06. </w:t>
      </w:r>
      <w:r>
        <w:rPr>
          <w:rFonts w:ascii="Times New Roman;Times;serif" w:hAnsi="Times New Roman;Times;serif"/>
          <w:i/>
          <w:color w:val="000000"/>
          <w:sz w:val="20"/>
        </w:rPr>
        <w:t>Waivers of Notice</w:t>
      </w:r>
      <w:r>
        <w:rPr>
          <w:rFonts w:ascii="Times New Roman;Times;serif" w:hAnsi="Times New Roman;Times;serif"/>
          <w:color w:val="000000"/>
          <w:sz w:val="20"/>
        </w:rPr>
        <w:t xml:space="preserve">. Whenever the giving of any notice to Stockholders is required by applicable law, the Certificate of Incorporation or these By-laws, a waiver thereof, given by the person entitled to said notice, in writing signed by the person, or by electronic transmission, whether before or after the event as to which such notice is required, shall be deemed equivalent to notice to the full extent permitted by law. If such waiver is given by electronic transmission, the electronic transmission must either set forth or be submitted with information from which it can be determined that the electronic transmission was authorized by the person waiving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purposes of, any regular or special meeting of the Stockholders need be specified in any waiver of notice. </w:t>
      </w:r>
    </w:p>
    <w:p>
      <w:pPr>
        <w:pStyle w:val="TextBody"/>
        <w:bidi w:val="0"/>
        <w:spacing w:before="120" w:after="283"/>
        <w:ind w:left="0" w:right="0" w:firstLine="400"/>
        <w:jc w:val="left"/>
        <w:rPr>
          <w:rFonts w:ascii="Times New Roman;Times;serif" w:hAnsi="Times New Roman;Times;serif"/>
          <w:color w:val="000000"/>
          <w:sz w:val="20"/>
        </w:rPr>
      </w:pPr>
      <w:bookmarkStart w:id="202" w:name="tANXAS207"/>
      <w:bookmarkEnd w:id="202"/>
      <w:r>
        <w:rPr>
          <w:rFonts w:ascii="Times New Roman;Times;serif" w:hAnsi="Times New Roman;Times;serif"/>
          <w:color w:val="000000"/>
          <w:sz w:val="20"/>
        </w:rPr>
        <w:t>Section 2.07. </w:t>
      </w:r>
      <w:r>
        <w:rPr>
          <w:rFonts w:ascii="Times New Roman;Times;serif" w:hAnsi="Times New Roman;Times;serif"/>
          <w:i/>
          <w:color w:val="000000"/>
          <w:sz w:val="20"/>
        </w:rPr>
        <w:t>List of Stockholders</w:t>
      </w:r>
      <w:r>
        <w:rPr>
          <w:rFonts w:ascii="Times New Roman;Times;serif" w:hAnsi="Times New Roman;Times;serif"/>
          <w:color w:val="000000"/>
          <w:sz w:val="20"/>
        </w:rPr>
        <w:t xml:space="preserve">. The Corporation shall prepare at least ten (10) days before every meeting of Stockholders, a complete, alphabetical list of the Stockholders entitled to vote at the meeting, and showing the address of each Stockholder and the number of shares registered in the name of each Stockholder. Such list may be examined by any Stockholder for any purpose germane to the meeting, for a period of at least ten (10) days prior to the meeting, during ordinary business hours at the principal place of business of the Corporation or on a reasonably accessible electronic network as provided by applicable law, provided that the information required to gain access to such list is provided with the notice of the meeting. In the event the Corporation determines to make the list available on an electronic network, the Corporation may take reasonable steps to ensure that such information is available only to Stockholders. Except as provided by applicable law, the stock ledger shall be the only evidence as to who are the Stockholders entitled to examine the list of Stockholders or to vote in person or by proxy at any meeting of Stockholders. </w:t>
      </w:r>
    </w:p>
    <w:p>
      <w:pPr>
        <w:pStyle w:val="TextBody"/>
        <w:bidi w:val="0"/>
        <w:spacing w:before="120" w:after="283"/>
        <w:ind w:left="0" w:right="0" w:firstLine="400"/>
        <w:jc w:val="left"/>
        <w:rPr>
          <w:rFonts w:ascii="Times New Roman;Times;serif" w:hAnsi="Times New Roman;Times;serif"/>
          <w:color w:val="000000"/>
          <w:sz w:val="20"/>
        </w:rPr>
      </w:pPr>
      <w:bookmarkStart w:id="203" w:name="tANXAS208"/>
      <w:bookmarkEnd w:id="203"/>
      <w:r>
        <w:rPr>
          <w:rFonts w:ascii="Times New Roman;Times;serif" w:hAnsi="Times New Roman;Times;serif"/>
          <w:color w:val="000000"/>
          <w:sz w:val="20"/>
        </w:rPr>
        <w:t>Section 2.08. </w:t>
      </w:r>
      <w:r>
        <w:rPr>
          <w:rFonts w:ascii="Times New Roman;Times;serif" w:hAnsi="Times New Roman;Times;serif"/>
          <w:i/>
          <w:color w:val="000000"/>
          <w:sz w:val="20"/>
        </w:rPr>
        <w:t>Quorum of Stockholders; Adjournment</w:t>
      </w:r>
      <w:r>
        <w:rPr>
          <w:rFonts w:ascii="Times New Roman;Times;serif" w:hAnsi="Times New Roman;Times;serif"/>
          <w:color w:val="000000"/>
          <w:sz w:val="20"/>
        </w:rPr>
        <w:t xml:space="preserve">. Except as otherwise provided by these By-laws, and subject to the rights of the holders of any series of Preferred Stock of the Corporation or as otherwise provided by law, at each meeting of Stockholders, annual or special, the presence in person or by proxy of the holders of a majority of the voting power of all outstanding shares of stock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In the absence of a quorum or for any other reason (including to address technical failures to convene or continue a meeting using remote communication), either the person presiding at the meeting pursuant to Section 2.11 or the holders of a majority in voting power of the shares of stock present in person or represented by proxy at any meeting of Stockholders, including an adjourned meeting, may adjourn such meeting to another time and place or to take place by remote communication. Notice need not be given of any such adjourned meeting if the time, date and place, if any, and the means of remote communications, if any, thereof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the meeting. If the time, date and place, if any, thereof, and the means of remote communication, if any, by which the Stockholders and the proxy holders may be deemed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45101x2_424b3_303-annexc_pg10"/>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present in person and vote at such adjourned meeting are announced at the meeting at which the adjournment is taken, displayed, during the time scheduled for the meeting, on the same electronic network used to enable Stockholders and proxyholders to participate in the meeting by means of remote communication, or set forth in the notice of the meeting, and the adjournment is for less than thirty (30) calendar days, no notice need be given of any such adjourned meeting. If the adjournment is for more than thirty (30) calendar days or if after the adjournment a new record date for determining Stockholders entitled to vote at the adjourned meeting is fixed for the adjourned meeting, then notice shall be given to each Stockholder entitled to vote at the meeting. At the adjourned meeting, the Stockholders may transact any business that might have been transacted at the original meeting. </w:t>
      </w:r>
    </w:p>
    <w:p>
      <w:pPr>
        <w:pStyle w:val="TextBody"/>
        <w:bidi w:val="0"/>
        <w:spacing w:before="120" w:after="283"/>
        <w:ind w:left="0" w:right="0" w:firstLine="400"/>
        <w:jc w:val="left"/>
        <w:rPr>
          <w:rFonts w:ascii="Times New Roman;Times;serif" w:hAnsi="Times New Roman;Times;serif"/>
          <w:color w:val="000000"/>
          <w:sz w:val="20"/>
        </w:rPr>
      </w:pPr>
      <w:bookmarkStart w:id="205" w:name="tANXAS209"/>
      <w:bookmarkEnd w:id="205"/>
      <w:r>
        <w:rPr>
          <w:rFonts w:ascii="Times New Roman;Times;serif" w:hAnsi="Times New Roman;Times;serif"/>
          <w:color w:val="000000"/>
          <w:sz w:val="20"/>
        </w:rPr>
        <w:t>Section 2.09. </w:t>
      </w:r>
      <w:r>
        <w:rPr>
          <w:rFonts w:ascii="Times New Roman;Times;serif" w:hAnsi="Times New Roman;Times;serif"/>
          <w:i/>
          <w:color w:val="000000"/>
          <w:sz w:val="20"/>
        </w:rPr>
        <w:t>Voting; Proxies</w:t>
      </w:r>
      <w:r>
        <w:rPr>
          <w:rFonts w:ascii="Times New Roman;Times;serif" w:hAnsi="Times New Roman;Times;serif"/>
          <w:color w:val="000000"/>
          <w:sz w:val="20"/>
        </w:rPr>
        <w:t xml:space="preserve">. Unless otherwise provided by the General Corporation Law or in the Certificate of Incorporation, every Stockholder entitled to vote at any meeting of Stockholders shall be entitled to one vote for each share of stock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a majority in voting power of shares of stock present in person or represented by proxy and entitled to vote thereon. Subject to the rights of the holders of any series of Preferred Stock of the Corporation and except as otherwise provided by the General Corporation Law or in the Certificate of Incorporation, at all meetings of Stockholders for the election of Directors, Directors shall be elected by a plurality of voting power of the outstanding shares present in person or represented by proxy at the meeting and entitled to vote on the election of Directors.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expressly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 </w:t>
      </w:r>
    </w:p>
    <w:p>
      <w:pPr>
        <w:pStyle w:val="TextBody"/>
        <w:bidi w:val="0"/>
        <w:spacing w:before="120" w:after="283"/>
        <w:ind w:left="0" w:right="0" w:firstLine="400"/>
        <w:jc w:val="left"/>
        <w:rPr>
          <w:rFonts w:ascii="Times New Roman;Times;serif" w:hAnsi="Times New Roman;Times;serif"/>
          <w:color w:val="000000"/>
          <w:sz w:val="20"/>
        </w:rPr>
      </w:pPr>
      <w:bookmarkStart w:id="206" w:name="tANXAS210"/>
      <w:bookmarkEnd w:id="206"/>
      <w:r>
        <w:rPr>
          <w:rFonts w:ascii="Times New Roman;Times;serif" w:hAnsi="Times New Roman;Times;serif"/>
          <w:color w:val="000000"/>
          <w:sz w:val="20"/>
        </w:rPr>
        <w:t>Section 2.10. </w:t>
      </w:r>
      <w:r>
        <w:rPr>
          <w:rFonts w:ascii="Times New Roman;Times;serif" w:hAnsi="Times New Roman;Times;serif"/>
          <w:i/>
          <w:color w:val="000000"/>
          <w:sz w:val="20"/>
        </w:rPr>
        <w:t>Voting Procedures and Inspectors at Meetings of Stockholders</w:t>
      </w:r>
      <w:r>
        <w:rPr>
          <w:rFonts w:ascii="Times New Roman;Times;serif" w:hAnsi="Times New Roman;Times;serif"/>
          <w:color w:val="000000"/>
          <w:sz w:val="20"/>
        </w:rPr>
        <w:t xml:space="preserve">. The Board, in advance of any meeting of Stockholders, shall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 </w:t>
      </w:r>
    </w:p>
    <w:p>
      <w:pPr>
        <w:pStyle w:val="TextBody"/>
        <w:bidi w:val="0"/>
        <w:spacing w:before="120" w:after="283"/>
        <w:ind w:left="0" w:right="0" w:firstLine="400"/>
        <w:jc w:val="left"/>
        <w:rPr>
          <w:rFonts w:ascii="Times New Roman;Times;serif" w:hAnsi="Times New Roman;Times;serif"/>
          <w:color w:val="000000"/>
          <w:sz w:val="20"/>
        </w:rPr>
      </w:pPr>
      <w:bookmarkStart w:id="207" w:name="tANXAS211"/>
      <w:bookmarkEnd w:id="207"/>
      <w:r>
        <w:rPr>
          <w:rFonts w:ascii="Times New Roman;Times;serif" w:hAnsi="Times New Roman;Times;serif"/>
          <w:color w:val="000000"/>
          <w:sz w:val="20"/>
        </w:rPr>
        <w:t>Section 2.11. </w:t>
      </w:r>
      <w:r>
        <w:rPr>
          <w:rFonts w:ascii="Times New Roman;Times;serif" w:hAnsi="Times New Roman;Times;serif"/>
          <w:i/>
          <w:color w:val="000000"/>
          <w:sz w:val="20"/>
        </w:rPr>
        <w:t>Conduct of Meetings</w:t>
      </w:r>
      <w:r>
        <w:rPr>
          <w:rFonts w:ascii="Times New Roman;Times;serif" w:hAnsi="Times New Roman;Times;serif"/>
          <w:color w:val="000000"/>
          <w:sz w:val="20"/>
        </w:rPr>
        <w:t xml:space="preserve">. The Board may adopt such rules and procedures for the conduct of Stockholder meetings as it deems appropriate. At each meeting of Stockholders, the Chairman or, in the absence of the Chairman, the Chief Executive Officer or, in the absence of the Chairman and the Chief Executive Officer, the President or, if there is no Chairman, Chief Executive Officer or President, or if they are absent, a Vice President and, in the case that more than one Vice President shall be present, that Vice President designated by the Board (or in the absence of any such designation, the most senior Vice President present), shall preside over the meeting. Except to the extent inconsistent with the rules and procedures as adopted by the Board, the person presiding over the meeting of Stockholders shall have the right and authority to convene, adjourn (pursuant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45101x2_424b3_303-annexc_pg1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2.08)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 To the extent permitted by applicable law, meetings of Stockholders may be conducted by remote communications, including by webcast. </w:t>
      </w:r>
    </w:p>
    <w:p>
      <w:pPr>
        <w:pStyle w:val="TextBody"/>
        <w:bidi w:val="0"/>
        <w:spacing w:before="120" w:after="283"/>
        <w:ind w:left="0" w:right="0" w:firstLine="400"/>
        <w:jc w:val="left"/>
        <w:rPr>
          <w:rFonts w:ascii="Times New Roman;Times;serif" w:hAnsi="Times New Roman;Times;serif"/>
          <w:color w:val="000000"/>
          <w:sz w:val="20"/>
        </w:rPr>
      </w:pPr>
      <w:bookmarkStart w:id="209" w:name="tANXAS212"/>
      <w:bookmarkEnd w:id="209"/>
      <w:r>
        <w:rPr>
          <w:rFonts w:ascii="Times New Roman;Times;serif" w:hAnsi="Times New Roman;Times;serif"/>
          <w:color w:val="000000"/>
          <w:sz w:val="20"/>
        </w:rPr>
        <w:t>Section 2.12. </w:t>
      </w:r>
      <w:r>
        <w:rPr>
          <w:rFonts w:ascii="Times New Roman;Times;serif" w:hAnsi="Times New Roman;Times;serif"/>
          <w:i/>
          <w:color w:val="000000"/>
          <w:sz w:val="20"/>
        </w:rPr>
        <w:t>Order of Business</w:t>
      </w:r>
      <w:r>
        <w:rPr>
          <w:rFonts w:ascii="Times New Roman;Times;serif" w:hAnsi="Times New Roman;Times;serif"/>
          <w:color w:val="000000"/>
          <w:sz w:val="20"/>
        </w:rPr>
        <w:t xml:space="preserve">. The order of business at all meetings of Stockholders shall be as determined by the person presiding over the meeting. </w:t>
      </w:r>
    </w:p>
    <w:p>
      <w:pPr>
        <w:pStyle w:val="TextBody"/>
        <w:bidi w:val="0"/>
        <w:spacing w:before="300" w:after="283"/>
        <w:jc w:val="center"/>
        <w:rPr>
          <w:rFonts w:ascii="Times New Roman;Times;serif" w:hAnsi="Times New Roman;Times;serif"/>
          <w:color w:val="000000"/>
          <w:sz w:val="20"/>
        </w:rPr>
      </w:pPr>
      <w:bookmarkStart w:id="210" w:name="tANXAA3"/>
      <w:bookmarkEnd w:id="210"/>
      <w:r>
        <w:rPr>
          <w:rFonts w:ascii="Times New Roman;Times;serif" w:hAnsi="Times New Roman;Times;serif"/>
          <w:color w:val="000000"/>
          <w:sz w:val="20"/>
        </w:rPr>
        <w:t xml:space="preserve">ARTICLE 3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11" w:name="tANXAS301"/>
      <w:bookmarkEnd w:id="211"/>
      <w:r>
        <w:rPr>
          <w:rFonts w:ascii="Times New Roman;Times;serif" w:hAnsi="Times New Roman;Times;serif"/>
          <w:color w:val="000000"/>
          <w:sz w:val="20"/>
        </w:rPr>
        <w:t>Section 3.01. </w:t>
      </w:r>
      <w:r>
        <w:rPr>
          <w:rFonts w:ascii="Times New Roman;Times;serif" w:hAnsi="Times New Roman;Times;serif"/>
          <w:i/>
          <w:color w:val="000000"/>
          <w:sz w:val="20"/>
        </w:rPr>
        <w:t>General Powers</w:t>
      </w:r>
      <w:r>
        <w:rPr>
          <w:rFonts w:ascii="Times New Roman;Times;serif" w:hAnsi="Times New Roman;Times;serif"/>
          <w:color w:val="000000"/>
          <w:sz w:val="20"/>
        </w:rPr>
        <w:t xml:space="preserve">.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 </w:t>
      </w:r>
    </w:p>
    <w:p>
      <w:pPr>
        <w:pStyle w:val="TextBody"/>
        <w:bidi w:val="0"/>
        <w:spacing w:before="120" w:after="283"/>
        <w:ind w:left="0" w:right="0" w:firstLine="400"/>
        <w:jc w:val="left"/>
        <w:rPr>
          <w:rFonts w:ascii="Times New Roman;Times;serif" w:hAnsi="Times New Roman;Times;serif"/>
          <w:color w:val="000000"/>
          <w:sz w:val="20"/>
        </w:rPr>
      </w:pPr>
      <w:bookmarkStart w:id="212" w:name="tANXAS302"/>
      <w:bookmarkEnd w:id="212"/>
      <w:r>
        <w:rPr>
          <w:rFonts w:ascii="Times New Roman;Times;serif" w:hAnsi="Times New Roman;Times;serif"/>
          <w:color w:val="000000"/>
          <w:sz w:val="20"/>
        </w:rPr>
        <w:t>Section 3.02. </w:t>
      </w:r>
      <w:r>
        <w:rPr>
          <w:rFonts w:ascii="Times New Roman;Times;serif" w:hAnsi="Times New Roman;Times;serif"/>
          <w:i/>
          <w:color w:val="000000"/>
          <w:sz w:val="20"/>
        </w:rPr>
        <w:t>Classes of Directors; Term of Office</w:t>
      </w:r>
      <w:r>
        <w:rPr>
          <w:rFonts w:ascii="Times New Roman;Times;serif" w:hAnsi="Times New Roman;Times;serif"/>
          <w:color w:val="000000"/>
          <w:sz w:val="20"/>
        </w:rPr>
        <w:t xml:space="preserve">. Subject to the rights of the holders of any series of Preferred Stock to elect additional Directors under specified circumstances, following the adoption of these By-laws,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effectiveness of the Certificate of Incorporation, the term of office of the Class I Directors shall expire and Class I Directors shall be elected for a full term of three years. At the second annual meeting of Stockholders following the effectiveness of the Certificate of Incorporation, the term of office of the Class II Directors shall expire and Class II Directors shall be elected for a full term of three years. At the third annual meeting of Stockholders following the effectiveness of the Certificate of Incorporation,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3.02, each Director shall serve until his or her successor is duly elected and qualified or until his or her earlier death, resignation or removal. No decrease in the number of Directors constituting the Board shall shorten the term of any incumbent Director. </w:t>
      </w:r>
    </w:p>
    <w:p>
      <w:pPr>
        <w:pStyle w:val="TextBody"/>
        <w:bidi w:val="0"/>
        <w:spacing w:before="160" w:after="283"/>
        <w:ind w:left="0" w:right="0" w:firstLine="400"/>
        <w:jc w:val="left"/>
        <w:rPr>
          <w:rFonts w:ascii="Times New Roman;Times;serif" w:hAnsi="Times New Roman;Times;serif"/>
          <w:color w:val="000000"/>
          <w:sz w:val="20"/>
        </w:rPr>
      </w:pPr>
      <w:bookmarkStart w:id="213" w:name="tANXAS303"/>
      <w:bookmarkEnd w:id="213"/>
      <w:r>
        <w:rPr>
          <w:rFonts w:ascii="Times New Roman;Times;serif" w:hAnsi="Times New Roman;Times;serif"/>
          <w:color w:val="000000"/>
          <w:sz w:val="20"/>
        </w:rPr>
        <w:t>Section 3.03. </w:t>
      </w:r>
      <w:r>
        <w:rPr>
          <w:rFonts w:ascii="Times New Roman;Times;serif" w:hAnsi="Times New Roman;Times;serif"/>
          <w:i/>
          <w:color w:val="000000"/>
          <w:sz w:val="20"/>
        </w:rPr>
        <w:t>Nominations of Directors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‎Section 3.03(k), only persons who are nominated in accordance with the procedures set forth in this ‎Section 3.03 are eligible for election as Directors.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3.03 is delivered to the Secretary and at the time of the meeting, (B) is entitled to vote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45101x2_424b3_303-annexc_pg12"/>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 at the meeting and (C) complies with the notice and other provisions of this ‎Section 3.03. Subject to ‎Section 3.03(k), ‎Section 3.03(b)(ii) is the exclusive means by which a Stockholder may nominate a person for election to the Board. Persons nominated in accordance with ‎Section 3.03(b)(ii) are referred to as “</w:t>
      </w:r>
      <w:r>
        <w:rPr>
          <w:rFonts w:ascii="Times New Roman;Times;serif" w:hAnsi="Times New Roman;Times;serif"/>
          <w:b/>
          <w:color w:val="000000"/>
          <w:sz w:val="20"/>
        </w:rPr>
        <w:t>Stockholder</w:t>
      </w:r>
      <w:r>
        <w:rPr>
          <w:rFonts w:ascii="Times New Roman;Times;serif" w:hAnsi="Times New Roman;Times;serif"/>
          <w:color w:val="000000"/>
          <w:sz w:val="20"/>
        </w:rPr>
        <w:t xml:space="preserve"> </w:t>
      </w:r>
      <w:r>
        <w:rPr>
          <w:rFonts w:ascii="Times New Roman;Times;serif" w:hAnsi="Times New Roman;Times;serif"/>
          <w:b/>
          <w:color w:val="000000"/>
          <w:sz w:val="20"/>
        </w:rPr>
        <w:t>Nominees</w:t>
      </w:r>
      <w:r>
        <w:rPr>
          <w:rFonts w:ascii="Times New Roman;Times;serif" w:hAnsi="Times New Roman;Times;serif"/>
          <w:color w:val="000000"/>
          <w:sz w:val="20"/>
        </w:rPr>
        <w:t>.” A Stockholder nominating persons for election to the Board is referred to as the “</w:t>
      </w:r>
      <w:r>
        <w:rPr>
          <w:rFonts w:ascii="Times New Roman;Times;serif" w:hAnsi="Times New Roman;Times;serif"/>
          <w:b/>
          <w:color w:val="000000"/>
          <w:sz w:val="20"/>
        </w:rPr>
        <w:t>Nominating</w:t>
      </w:r>
      <w:r>
        <w:rPr>
          <w:rFonts w:ascii="Times New Roman;Times;serif" w:hAnsi="Times New Roman;Times;serif"/>
          <w:color w:val="000000"/>
          <w:sz w:val="20"/>
        </w:rPr>
        <w:t xml:space="preserve"> </w:t>
      </w:r>
      <w:r>
        <w:rPr>
          <w:rFonts w:ascii="Times New Roman;Times;serif" w:hAnsi="Times New Roman;Times;serif"/>
          <w:b/>
          <w:color w:val="000000"/>
          <w:sz w:val="20"/>
        </w:rPr>
        <w:t>Stockholder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(c) Subject to ‎Section 3.03(k), all nominations of Stockholder Nominees must be made by timely written notice given by or on behalf of a Stockholder of record of the Corporation (the “</w:t>
      </w:r>
      <w:r>
        <w:rPr>
          <w:rFonts w:ascii="Times New Roman;Times;serif" w:hAnsi="Times New Roman;Times;serif"/>
          <w:b/>
          <w:color w:val="000000"/>
          <w:sz w:val="20"/>
        </w:rPr>
        <w:t>Notice of Nomination</w:t>
      </w:r>
      <w:r>
        <w:rPr>
          <w:rFonts w:ascii="Times New Roman;Times;serif" w:hAnsi="Times New Roman;Times;serif"/>
          <w:color w:val="000000"/>
          <w:sz w:val="20"/>
        </w:rPr>
        <w:t xml:space="preserve">”). To be timely, the Notice of Nomination must be delivered personally or mailed to and received at the Office of the Corporation, addressed to the attention of the Secretary, by the following dates: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the case of the nomination of a Stockholder Nominee for election to the Board at an annual meeting of Stockholders, no earlier than one hundred and twenty (120) days and no later than ninety (90) days before the first anniversary of the date of the prior year’s annual meeting of Stockholders;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(A) the annual meeting of Stockholders is advanced by more than thirty (30) days, or delayed by more than sixty (60) days, from the first anniversary of the prior year’s annual meeting of Stockholders or (B) no annual meeting was held during the prior year, the notice by the Stockholder to be timely must be received (1) no earlier than one hundred and twenty (120) days before such annual meeting and (2) no later than the later of ninety (90) days before such annual meeting and the tenth day after the day on which the notice of such annual meeting was made by mail or Public Disclosure;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 the case of the nomination of a Stockholder Nominee for election to the Board at a special meeting of Stockholders, no earlier than one hundred and twenty (120) days before and no later than the later of ninety (90) days before such special meeting and the tenth day after the day on which the notice of such special meeting was made by mail or Public Disclosure.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if the number of Directors to be elected to the Board at a meeting of Stockholders is increased and there is no Public Disclosure by the Corporation naming the nominees for the additional directorships at least one hundred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no event shall an adjournment, postponement or deferral, or Public Disclosure of an adjournment, postponement or deferral, of an annual or special meeting commence a new time period (or extend any time period) for the giving of the Notice of Nomination.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Notice of Nomination shall set forth: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Stockholder Information with respect to each Nominating Stockholder and Stockholder Associated Person;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 representation to the Corporation that each Nominating Stockholder is a holder of record of stock of the Corporation entitled to vote at the meeting and intends to appear in person or by proxy at the meeting to propose such nomination;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(iii) all information regarding each Stockholder Nominee and Stockholder Associated Person that would be required to be disclosed in a solicitation of proxies subject to Section 14 of the Exchange Act (or any successor provision), and the rules and regulations promulgated thereunder, including without limitation, Rule 14a-19 under the Exchange Act (including a corresponding provision or successor rule, “Rule 14a-19”);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(iv) the written consent of each Stockholder Nominee to being named in a proxy statement as a nominee and to serve if elected and a completed signed questionnaire, representation and agreement required by ‎Section 3.04;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 description of all related party transactions and other information that would be required to be disclosed pursuant to federal securities law, including Rule 404 promulgated under Regulation 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45101x2_424b3_303-annexc_pg13"/>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Securities Act of 1933 (or any successor provision) if the Nominating Stockholder or the Stockholder Associated Person were the “registrant” for purposes of such rule and the Stockholder Nominee were a director or executive of such registrant;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(vi) Stockholder Information with respect to any stock or other interests of the Corporation held by the Nominating Stockholder’s immediate family members;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if any; provided, however, that if a Schedule 13D or amendment has been filed under the Exchange Act and the rules and regulations promulgated thereunder by any such Nominating Stockholder or Stockholder Associated Person containing all such information, then a statement in the Nominating Stockholder’s notice incorporating such Schedule 13D, as amended, by reference shall be sufficient for purposes of the disclosure required by this Section 3.03(f)(vi).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 representation to the Corporation as to whether each Nominating Stockholder intends (A) to deliver a proxy statement and form of proxy to holders of at least the percentage of the Corporation’s outstanding capital stock required to approve the nomination or (B) otherwise to solicit proxies from Stockholders in support of such nomination;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(ix) all other information that would be required to be filed with the SEC if the Nominating Stockholders and Stockholder Associated Persons were participants in a solicitation subject to Section 14 of the Exchange Act;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 representation by the Nominating Stockholder as to the accuracy of the information set forth in the Notice of Nomination.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Corporation may also, as a condition to any such nomination being deemed properly brought before a meeting of stockholders, require any Nominating Stockholder or any Stockholder Nominee to deliver to the Secretary, within five (5) business days of any such request, such other information as may reasonably be requested by the Corporation, including (1) such other information as may be reasonably required by the Board, in its sole discretion, to determine (A) the eligibility of such Stockholder Nominee to serve as a Director, and (B) whether such proposed Stockholder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(2) such other information that the Board determines, in its sole discretion, could be material to a reasonable stockholder’s understanding of the qualifications and independence, or lack thereof, of such proposed Stockholder Nominee.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(h) In addition, the Nominating Stockholders shall further update and supplement the information provided to the Corporation in the Notice of Nomination or upon the Corporation’s request pursuant to ‎Section 3.03(g) as needed, so that such information shall be true and correct as of the record date for the meeting. Such update and supplement must be delivered personally or mailed to, and received at, the Office of the Corporation, addressed to the Secretary, by no later than ten (10) business days after the record date for the meeting. In addition, the Nominating Stockholder shall deliver to the Corporation not later than six (6) business days prior to the date of the meeting or any adjournment, recess, rescheduling or postponement thereof reasonable evidence that it has complied with the requirements of Rule 14a-19.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addition, any Nominating Stockholder that provides notice pursuant to Rule 14a-19(b) shall notify the Secretary within two (2) business days of any change in such shareholder’s intent to solicit proxies from the holders of shares representing at least 67% of the voting power of shares entitled to vote on the election of directors in support of director nominees other than the Company’s nominees. Any shareholder directly or indirectly soliciting proxies from other shareholders must use a proxy card color other than white, which shall be reserved for the exclusive use by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45101x2_424b3_303-annexc_pg14"/>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(j) The person presiding over the meeting shall, if the facts warrant, determine and declare to the meeting, that the nomination was not made in accordance with the procedures set forth in this ‎Section 3.03, and, if he or she should so determine, he or she shall so declare to the meeting and the defective nomination shall be disregarded.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3.03,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(l) Nothing in this ‎Section 3.03 shall be deemed to affect any rights of the holders of any series of preferred stock of the Corporation pursuant to any applicable provision of the Certificate of Incorporation. </w:t>
      </w:r>
    </w:p>
    <w:p>
      <w:pPr>
        <w:pStyle w:val="TextBody"/>
        <w:bidi w:val="0"/>
        <w:spacing w:before="120" w:after="283"/>
        <w:ind w:left="0" w:right="0" w:firstLine="400"/>
        <w:jc w:val="left"/>
        <w:rPr>
          <w:rFonts w:ascii="Times New Roman;Times;serif" w:hAnsi="Times New Roman;Times;serif"/>
          <w:color w:val="000000"/>
          <w:sz w:val="20"/>
        </w:rPr>
      </w:pPr>
      <w:bookmarkStart w:id="217" w:name="tANXAS304"/>
      <w:bookmarkEnd w:id="217"/>
      <w:r>
        <w:rPr>
          <w:rFonts w:ascii="Times New Roman;Times;serif" w:hAnsi="Times New Roman;Times;serif"/>
          <w:color w:val="000000"/>
          <w:sz w:val="20"/>
        </w:rPr>
        <w:t>Section 3.04. </w:t>
      </w:r>
      <w:r>
        <w:rPr>
          <w:rFonts w:ascii="Times New Roman;Times;serif" w:hAnsi="Times New Roman;Times;serif"/>
          <w:i/>
          <w:color w:val="000000"/>
          <w:sz w:val="20"/>
        </w:rPr>
        <w:t>Nominee and Director Qualifications</w:t>
      </w:r>
      <w:r>
        <w:rPr>
          <w:rFonts w:ascii="Times New Roman;Times;serif" w:hAnsi="Times New Roman;Times;serif"/>
          <w:color w:val="000000"/>
          <w:sz w:val="20"/>
        </w:rPr>
        <w:t>.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w:t>
      </w:r>
      <w:r>
        <w:rPr>
          <w:rFonts w:ascii="Times New Roman;Times;serif" w:hAnsi="Times New Roman;Times;serif"/>
          <w:b/>
          <w:color w:val="000000"/>
          <w:sz w:val="20"/>
        </w:rPr>
        <w:t>Voting Commitment</w:t>
      </w:r>
      <w:r>
        <w:rPr>
          <w:rFonts w:ascii="Times New Roman;Times;serif" w:hAnsi="Times New Roman;Times;serif"/>
          <w:color w:val="000000"/>
          <w:sz w:val="20"/>
        </w:rPr>
        <w:t xml:space="preserve">”)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 </w:t>
      </w:r>
    </w:p>
    <w:p>
      <w:pPr>
        <w:pStyle w:val="TextBody"/>
        <w:bidi w:val="0"/>
        <w:spacing w:before="120" w:after="283"/>
        <w:ind w:left="0" w:right="0" w:firstLine="400"/>
        <w:jc w:val="left"/>
        <w:rPr>
          <w:rFonts w:ascii="Times New Roman;Times;serif" w:hAnsi="Times New Roman;Times;serif"/>
          <w:color w:val="000000"/>
          <w:sz w:val="20"/>
        </w:rPr>
      </w:pPr>
      <w:bookmarkStart w:id="218" w:name="tANXAS305"/>
      <w:bookmarkEnd w:id="218"/>
      <w:r>
        <w:rPr>
          <w:rFonts w:ascii="Times New Roman;Times;serif" w:hAnsi="Times New Roman;Times;serif"/>
          <w:color w:val="000000"/>
          <w:sz w:val="20"/>
        </w:rPr>
        <w:t>Section 3.05. </w:t>
      </w:r>
      <w:r>
        <w:rPr>
          <w:rFonts w:ascii="Times New Roman;Times;serif" w:hAnsi="Times New Roman;Times;serif"/>
          <w:i/>
          <w:color w:val="000000"/>
          <w:sz w:val="20"/>
        </w:rPr>
        <w:t>Resignation</w:t>
      </w:r>
      <w:r>
        <w:rPr>
          <w:rFonts w:ascii="Times New Roman;Times;serif" w:hAnsi="Times New Roman;Times;serif"/>
          <w:color w:val="000000"/>
          <w:sz w:val="20"/>
        </w:rPr>
        <w:t xml:space="preserve">.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w:t>
      </w:r>
    </w:p>
    <w:p>
      <w:pPr>
        <w:pStyle w:val="TextBody"/>
        <w:bidi w:val="0"/>
        <w:spacing w:before="120" w:after="283"/>
        <w:ind w:left="0" w:right="0" w:firstLine="400"/>
        <w:jc w:val="left"/>
        <w:rPr>
          <w:rFonts w:ascii="Times New Roman;Times;serif" w:hAnsi="Times New Roman;Times;serif"/>
          <w:color w:val="000000"/>
          <w:sz w:val="20"/>
        </w:rPr>
      </w:pPr>
      <w:bookmarkStart w:id="219" w:name="tANXAS306"/>
      <w:bookmarkEnd w:id="219"/>
      <w:r>
        <w:rPr>
          <w:rFonts w:ascii="Times New Roman;Times;serif" w:hAnsi="Times New Roman;Times;serif"/>
          <w:color w:val="000000"/>
          <w:sz w:val="20"/>
        </w:rPr>
        <w:t>Section 3.06. </w:t>
      </w:r>
      <w:r>
        <w:rPr>
          <w:rFonts w:ascii="Times New Roman;Times;serif" w:hAnsi="Times New Roman;Times;serif"/>
          <w:i/>
          <w:color w:val="000000"/>
          <w:sz w:val="20"/>
        </w:rPr>
        <w:t>Compensation</w:t>
      </w:r>
      <w:r>
        <w:rPr>
          <w:rFonts w:ascii="Times New Roman;Times;serif" w:hAnsi="Times New Roman;Times;serif"/>
          <w:color w:val="000000"/>
          <w:sz w:val="20"/>
        </w:rPr>
        <w:t xml:space="preserve">.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3.06 shall preclude any Director from serving the Corporation or its subsidiaries in any other capacity and receiving proper compensation therefor.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45101x2_424b3_303-annexc_pg15"/>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21" w:name="tANXAS307"/>
      <w:bookmarkEnd w:id="221"/>
      <w:r>
        <w:rPr>
          <w:rFonts w:ascii="Times New Roman;Times;serif" w:hAnsi="Times New Roman;Times;serif"/>
          <w:color w:val="000000"/>
          <w:sz w:val="20"/>
        </w:rPr>
        <w:t>Section 3.07. </w:t>
      </w:r>
      <w:r>
        <w:rPr>
          <w:rFonts w:ascii="Times New Roman;Times;serif" w:hAnsi="Times New Roman;Times;serif"/>
          <w:i/>
          <w:color w:val="000000"/>
          <w:sz w:val="20"/>
        </w:rPr>
        <w:t>Regular Meetings</w:t>
      </w:r>
      <w:r>
        <w:rPr>
          <w:rFonts w:ascii="Times New Roman;Times;serif" w:hAnsi="Times New Roman;Times;serif"/>
          <w:color w:val="000000"/>
          <w:sz w:val="20"/>
        </w:rPr>
        <w:t xml:space="preserve">. Regular meetings of the Board may be held without notice at such times and at such places within or without the State of Delaware as may be determined from time to time by the Board or its Chairman. </w:t>
      </w:r>
    </w:p>
    <w:p>
      <w:pPr>
        <w:pStyle w:val="TextBody"/>
        <w:bidi w:val="0"/>
        <w:spacing w:before="120" w:after="283"/>
        <w:ind w:left="0" w:right="0" w:firstLine="400"/>
        <w:jc w:val="left"/>
        <w:rPr>
          <w:rFonts w:ascii="Times New Roman;Times;serif" w:hAnsi="Times New Roman;Times;serif"/>
          <w:color w:val="000000"/>
          <w:sz w:val="20"/>
        </w:rPr>
      </w:pPr>
      <w:bookmarkStart w:id="222" w:name="tANXAS308"/>
      <w:bookmarkEnd w:id="222"/>
      <w:r>
        <w:rPr>
          <w:rFonts w:ascii="Times New Roman;Times;serif" w:hAnsi="Times New Roman;Times;serif"/>
          <w:color w:val="000000"/>
          <w:sz w:val="20"/>
        </w:rPr>
        <w:t>Section 3.08. </w:t>
      </w:r>
      <w:r>
        <w:rPr>
          <w:rFonts w:ascii="Times New Roman;Times;serif" w:hAnsi="Times New Roman;Times;serif"/>
          <w:i/>
          <w:color w:val="000000"/>
          <w:sz w:val="20"/>
        </w:rPr>
        <w:t>Special Meetings</w:t>
      </w:r>
      <w:r>
        <w:rPr>
          <w:rFonts w:ascii="Times New Roman;Times;serif" w:hAnsi="Times New Roman;Times;serif"/>
          <w:color w:val="000000"/>
          <w:sz w:val="20"/>
        </w:rPr>
        <w:t>. Special meetings of the Board may be held at such times and at such places within or without the State of Delaware as may be determined by the Chairman, or the Chief Executive Officer on at least twenty-four (24) hours’ notice to each Director given by one of the means specified in ‎Section 3.11 hereof other than by mail, or on at least three (3) days’ notice if given by mail.</w:t>
      </w:r>
    </w:p>
    <w:p>
      <w:pPr>
        <w:pStyle w:val="TextBody"/>
        <w:bidi w:val="0"/>
        <w:spacing w:before="120" w:after="283"/>
        <w:ind w:left="0" w:right="0" w:firstLine="400"/>
        <w:jc w:val="left"/>
        <w:rPr>
          <w:rFonts w:ascii="Times New Roman;Times;serif" w:hAnsi="Times New Roman;Times;serif"/>
          <w:color w:val="000000"/>
          <w:sz w:val="20"/>
        </w:rPr>
      </w:pPr>
      <w:bookmarkStart w:id="223" w:name="tANXAS309"/>
      <w:bookmarkEnd w:id="223"/>
      <w:r>
        <w:rPr>
          <w:rFonts w:ascii="Times New Roman;Times;serif" w:hAnsi="Times New Roman;Times;serif"/>
          <w:color w:val="000000"/>
          <w:sz w:val="20"/>
        </w:rPr>
        <w:t>Section 3.09. </w:t>
      </w:r>
      <w:r>
        <w:rPr>
          <w:rFonts w:ascii="Times New Roman;Times;serif" w:hAnsi="Times New Roman;Times;serif"/>
          <w:i/>
          <w:color w:val="000000"/>
          <w:sz w:val="20"/>
        </w:rPr>
        <w:t>Telephone/Electronic Meetings</w:t>
      </w:r>
      <w:r>
        <w:rPr>
          <w:rFonts w:ascii="Times New Roman;Times;serif" w:hAnsi="Times New Roman;Times;serif"/>
          <w:color w:val="000000"/>
          <w:sz w:val="20"/>
        </w:rPr>
        <w:t xml:space="preserve">. Board or Board committee meetings may be held by means of telephone conference or other communications equipment by means of which all persons participating in the meeting can hear each other. Participation by a Director in a meeting pursuant to this ‎Section 3.09 shall constitute presence in person at such meeting. </w:t>
      </w:r>
    </w:p>
    <w:p>
      <w:pPr>
        <w:pStyle w:val="TextBody"/>
        <w:bidi w:val="0"/>
        <w:spacing w:before="120" w:after="283"/>
        <w:ind w:left="0" w:right="0" w:firstLine="400"/>
        <w:jc w:val="left"/>
        <w:rPr>
          <w:rFonts w:ascii="Times New Roman;Times;serif" w:hAnsi="Times New Roman;Times;serif"/>
          <w:color w:val="000000"/>
          <w:sz w:val="20"/>
        </w:rPr>
      </w:pPr>
      <w:bookmarkStart w:id="224" w:name="tANXAS310"/>
      <w:bookmarkEnd w:id="224"/>
      <w:r>
        <w:rPr>
          <w:rFonts w:ascii="Times New Roman;Times;serif" w:hAnsi="Times New Roman;Times;serif"/>
          <w:color w:val="000000"/>
          <w:sz w:val="20"/>
        </w:rPr>
        <w:t>Section 3.10. </w:t>
      </w:r>
      <w:r>
        <w:rPr>
          <w:rFonts w:ascii="Times New Roman;Times;serif" w:hAnsi="Times New Roman;Times;serif"/>
          <w:i/>
          <w:color w:val="000000"/>
          <w:sz w:val="20"/>
        </w:rPr>
        <w:t>Adjourned Meetings</w:t>
      </w:r>
      <w:r>
        <w:rPr>
          <w:rFonts w:ascii="Times New Roman;Times;serif" w:hAnsi="Times New Roman;Times;serif"/>
          <w:color w:val="000000"/>
          <w:sz w:val="20"/>
        </w:rPr>
        <w:t xml:space="preserve">. A majority of the Directors present at any meeting of the Board, including an adjourned meeting, whether or not a quorum is present, may adjourn and reconvene such meeting to another time and place. At least twenty-four (24) hours’ notice of any adjourned meeting of the Board shall be given to each Director whether or not present at the time of the adjournment, if such notice shall be given by one of the means specified in ‎Section 3.11 hereof other than by mail, or at least three (3) days’ notice if by mail. Any business may be transacted at an adjourned meeting that might have been transacted at the meeting as originally called. </w:t>
      </w:r>
    </w:p>
    <w:p>
      <w:pPr>
        <w:pStyle w:val="TextBody"/>
        <w:bidi w:val="0"/>
        <w:spacing w:before="120" w:after="283"/>
        <w:ind w:left="0" w:right="0" w:firstLine="400"/>
        <w:jc w:val="left"/>
        <w:rPr>
          <w:rFonts w:ascii="Times New Roman;Times;serif" w:hAnsi="Times New Roman;Times;serif"/>
          <w:color w:val="000000"/>
          <w:sz w:val="20"/>
        </w:rPr>
      </w:pPr>
      <w:bookmarkStart w:id="225" w:name="tANXAS311"/>
      <w:bookmarkEnd w:id="225"/>
      <w:r>
        <w:rPr>
          <w:rFonts w:ascii="Times New Roman;Times;serif" w:hAnsi="Times New Roman;Times;serif"/>
          <w:color w:val="000000"/>
          <w:sz w:val="20"/>
        </w:rPr>
        <w:t>Section 3.11. </w:t>
      </w:r>
      <w:r>
        <w:rPr>
          <w:rFonts w:ascii="Times New Roman;Times;serif" w:hAnsi="Times New Roman;Times;serif"/>
          <w:i/>
          <w:color w:val="000000"/>
          <w:sz w:val="20"/>
        </w:rPr>
        <w:t>Notice Procedure</w:t>
      </w:r>
      <w:r>
        <w:rPr>
          <w:rFonts w:ascii="Times New Roman;Times;serif" w:hAnsi="Times New Roman;Times;serif"/>
          <w:color w:val="000000"/>
          <w:sz w:val="20"/>
        </w:rPr>
        <w:t xml:space="preserve">. Subject to ‎Section 3.08 and ‎3.12 hereof,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electronic mail address, as applicable, as it appears on the records of the Corporation, facsimile or by other means of electronic transmission. </w:t>
      </w:r>
    </w:p>
    <w:p>
      <w:pPr>
        <w:pStyle w:val="TextBody"/>
        <w:bidi w:val="0"/>
        <w:spacing w:before="120" w:after="283"/>
        <w:ind w:left="0" w:right="0" w:firstLine="400"/>
        <w:jc w:val="left"/>
        <w:rPr>
          <w:rFonts w:ascii="Times New Roman;Times;serif" w:hAnsi="Times New Roman;Times;serif"/>
          <w:color w:val="000000"/>
          <w:sz w:val="20"/>
        </w:rPr>
      </w:pPr>
      <w:bookmarkStart w:id="226" w:name="tANXAS312"/>
      <w:bookmarkEnd w:id="226"/>
      <w:r>
        <w:rPr>
          <w:rFonts w:ascii="Times New Roman;Times;serif" w:hAnsi="Times New Roman;Times;serif"/>
          <w:color w:val="000000"/>
          <w:sz w:val="20"/>
        </w:rPr>
        <w:t>Section 3.12. </w:t>
      </w:r>
      <w:r>
        <w:rPr>
          <w:rFonts w:ascii="Times New Roman;Times;serif" w:hAnsi="Times New Roman;Times;serif"/>
          <w:i/>
          <w:color w:val="000000"/>
          <w:sz w:val="20"/>
        </w:rPr>
        <w:t>Waiver of Notice</w:t>
      </w:r>
      <w:r>
        <w:rPr>
          <w:rFonts w:ascii="Times New Roman;Times;serif" w:hAnsi="Times New Roman;Times;serif"/>
          <w:color w:val="000000"/>
          <w:sz w:val="20"/>
        </w:rPr>
        <w:t xml:space="preserve">. Whenever the giving of any notice to Directors is required by applicable law, the Certificate of Incorporation or these By-laws, a waiver thereof, in writing signed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 </w:t>
      </w:r>
    </w:p>
    <w:p>
      <w:pPr>
        <w:pStyle w:val="TextBody"/>
        <w:bidi w:val="0"/>
        <w:spacing w:before="120" w:after="283"/>
        <w:ind w:left="0" w:right="0" w:firstLine="400"/>
        <w:jc w:val="left"/>
        <w:rPr>
          <w:rFonts w:ascii="Times New Roman;Times;serif" w:hAnsi="Times New Roman;Times;serif"/>
          <w:color w:val="000000"/>
          <w:sz w:val="20"/>
        </w:rPr>
      </w:pPr>
      <w:bookmarkStart w:id="227" w:name="tANXAS313"/>
      <w:bookmarkEnd w:id="227"/>
      <w:r>
        <w:rPr>
          <w:rFonts w:ascii="Times New Roman;Times;serif" w:hAnsi="Times New Roman;Times;serif"/>
          <w:color w:val="000000"/>
          <w:sz w:val="20"/>
        </w:rPr>
        <w:t>Section 3.13. </w:t>
      </w:r>
      <w:r>
        <w:rPr>
          <w:rFonts w:ascii="Times New Roman;Times;serif" w:hAnsi="Times New Roman;Times;serif"/>
          <w:i/>
          <w:color w:val="000000"/>
          <w:sz w:val="20"/>
        </w:rPr>
        <w:t>Organization</w:t>
      </w:r>
      <w:r>
        <w:rPr>
          <w:rFonts w:ascii="Times New Roman;Times;serif" w:hAnsi="Times New Roman;Times;serif"/>
          <w:color w:val="000000"/>
          <w:sz w:val="20"/>
        </w:rPr>
        <w:t xml:space="preserve">. At each meeting of the Board, the Chairman or, in the absence of the Chairman, the Chief Executive Officer or, in the absence of the Chief Executive Officer, another Director selected by the Board,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 </w:t>
      </w:r>
    </w:p>
    <w:p>
      <w:pPr>
        <w:pStyle w:val="TextBody"/>
        <w:bidi w:val="0"/>
        <w:spacing w:before="120" w:after="283"/>
        <w:ind w:left="0" w:right="0" w:firstLine="400"/>
        <w:jc w:val="left"/>
        <w:rPr>
          <w:rFonts w:ascii="Times New Roman;Times;serif" w:hAnsi="Times New Roman;Times;serif"/>
          <w:color w:val="000000"/>
          <w:sz w:val="20"/>
        </w:rPr>
      </w:pPr>
      <w:bookmarkStart w:id="228" w:name="tANXAS314"/>
      <w:bookmarkEnd w:id="228"/>
      <w:r>
        <w:rPr>
          <w:rFonts w:ascii="Times New Roman;Times;serif" w:hAnsi="Times New Roman;Times;serif"/>
          <w:color w:val="000000"/>
          <w:sz w:val="20"/>
        </w:rPr>
        <w:t>Section 3.14. </w:t>
      </w:r>
      <w:r>
        <w:rPr>
          <w:rFonts w:ascii="Times New Roman;Times;serif" w:hAnsi="Times New Roman;Times;serif"/>
          <w:i/>
          <w:color w:val="000000"/>
          <w:sz w:val="20"/>
        </w:rPr>
        <w:t>Quorum of Directors</w:t>
      </w:r>
      <w:r>
        <w:rPr>
          <w:rFonts w:ascii="Times New Roman;Times;serif" w:hAnsi="Times New Roman;Times;serif"/>
          <w:color w:val="000000"/>
          <w:sz w:val="20"/>
        </w:rPr>
        <w:t xml:space="preserve">. The presence in person of a majority of the total members of the Board shall be necessary and sufficient to constitute a quorum for the transaction of business at any meeting of the Board. </w:t>
      </w:r>
    </w:p>
    <w:p>
      <w:pPr>
        <w:pStyle w:val="TextBody"/>
        <w:bidi w:val="0"/>
        <w:spacing w:before="120" w:after="283"/>
        <w:ind w:left="0" w:right="0" w:firstLine="400"/>
        <w:jc w:val="left"/>
        <w:rPr>
          <w:rFonts w:ascii="Times New Roman;Times;serif" w:hAnsi="Times New Roman;Times;serif"/>
          <w:color w:val="000000"/>
          <w:sz w:val="20"/>
        </w:rPr>
      </w:pPr>
      <w:bookmarkStart w:id="229" w:name="tANXAS315"/>
      <w:bookmarkEnd w:id="229"/>
      <w:r>
        <w:rPr>
          <w:rFonts w:ascii="Times New Roman;Times;serif" w:hAnsi="Times New Roman;Times;serif"/>
          <w:color w:val="000000"/>
          <w:sz w:val="20"/>
        </w:rPr>
        <w:t>Section 3.15. </w:t>
      </w:r>
      <w:r>
        <w:rPr>
          <w:rFonts w:ascii="Times New Roman;Times;serif" w:hAnsi="Times New Roman;Times;serif"/>
          <w:i/>
          <w:color w:val="000000"/>
          <w:sz w:val="20"/>
        </w:rPr>
        <w:t>Action by Majority Vote</w:t>
      </w:r>
      <w:r>
        <w:rPr>
          <w:rFonts w:ascii="Times New Roman;Times;serif" w:hAnsi="Times New Roman;Times;serif"/>
          <w:color w:val="000000"/>
          <w:sz w:val="20"/>
        </w:rPr>
        <w:t xml:space="preserve">. Except as otherwise expressly required by these By-laws, or the Certificate of Incorporation, the vote of a majority of the Directors present at a meeting at which a quorum is present shall be the act of the Board. </w:t>
      </w:r>
    </w:p>
    <w:p>
      <w:pPr>
        <w:pStyle w:val="TextBody"/>
        <w:bidi w:val="0"/>
        <w:spacing w:before="120" w:after="283"/>
        <w:ind w:left="0" w:right="0" w:firstLine="400"/>
        <w:jc w:val="left"/>
        <w:rPr>
          <w:rFonts w:ascii="Times New Roman;Times;serif" w:hAnsi="Times New Roman;Times;serif"/>
          <w:color w:val="000000"/>
          <w:sz w:val="20"/>
        </w:rPr>
      </w:pPr>
      <w:bookmarkStart w:id="230" w:name="tANXAS316"/>
      <w:bookmarkEnd w:id="230"/>
      <w:r>
        <w:rPr>
          <w:rFonts w:ascii="Times New Roman;Times;serif" w:hAnsi="Times New Roman;Times;serif"/>
          <w:color w:val="000000"/>
          <w:sz w:val="20"/>
        </w:rPr>
        <w:t>Section 3.16. </w:t>
      </w:r>
      <w:r>
        <w:rPr>
          <w:rFonts w:ascii="Times New Roman;Times;serif" w:hAnsi="Times New Roman;Times;serif"/>
          <w:i/>
          <w:color w:val="000000"/>
          <w:sz w:val="20"/>
        </w:rPr>
        <w:t>Action Without Meeting</w:t>
      </w:r>
      <w:r>
        <w:rPr>
          <w:rFonts w:ascii="Times New Roman;Times;serif" w:hAnsi="Times New Roman;Times;serif"/>
          <w:color w:val="000000"/>
          <w:sz w:val="20"/>
        </w:rPr>
        <w:t xml:space="preserve">. Unless otherwise restricted by these By-laws, any action required or permitted to be taken at any meeting of the Board or of any committee thereof may be taken without a meeting if all Directors or members of such committee, as the case may be, unanimously consent thereto in writing or by electronic transmission. After such action is taken, the consent or consents shall be filed with the minutes of proceedings of the Board or committee. </w:t>
      </w:r>
    </w:p>
    <w:p>
      <w:pPr>
        <w:pStyle w:val="TextBody"/>
        <w:bidi w:val="0"/>
        <w:spacing w:before="120" w:after="283"/>
        <w:ind w:left="0" w:right="0" w:firstLine="400"/>
        <w:jc w:val="left"/>
        <w:rPr>
          <w:rFonts w:ascii="Times New Roman;Times;serif" w:hAnsi="Times New Roman;Times;serif"/>
          <w:color w:val="000000"/>
          <w:sz w:val="20"/>
        </w:rPr>
      </w:pPr>
      <w:bookmarkStart w:id="231" w:name="tANXAS317"/>
      <w:bookmarkEnd w:id="231"/>
      <w:r>
        <w:rPr>
          <w:rFonts w:ascii="Times New Roman;Times;serif" w:hAnsi="Times New Roman;Times;serif"/>
          <w:color w:val="000000"/>
          <w:sz w:val="20"/>
        </w:rPr>
        <w:t>Section 3.17. </w:t>
      </w:r>
      <w:r>
        <w:rPr>
          <w:rFonts w:ascii="Times New Roman;Times;serif" w:hAnsi="Times New Roman;Times;serif"/>
          <w:i/>
          <w:color w:val="000000"/>
          <w:sz w:val="20"/>
        </w:rPr>
        <w:t>Chairman</w:t>
      </w:r>
      <w:r>
        <w:rPr>
          <w:rFonts w:ascii="Times New Roman;Times;serif" w:hAnsi="Times New Roman;Times;serif"/>
          <w:color w:val="000000"/>
          <w:sz w:val="20"/>
        </w:rPr>
        <w:t xml:space="preserve">. The Chairman, if appointed and when present, shall preside at all meetings of the Stockholders and the Board. The Chairman shall perform other duties commonly incident to the office and shall also perform such other duties and have such other powers, as the Board shall designate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45101x2_424b3_303-annexc_pg16"/>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233" w:name="tANXAA4"/>
      <w:bookmarkEnd w:id="233"/>
      <w:r>
        <w:rPr>
          <w:rFonts w:ascii="Times New Roman;Times;serif" w:hAnsi="Times New Roman;Times;serif"/>
          <w:color w:val="000000"/>
          <w:sz w:val="20"/>
        </w:rPr>
        <w:t xml:space="preserve">ARTICLE 4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Committees of the Board</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by resolution, designate one or more committees, including, without limitation, an Audit Committee, a Compensation Committee, and a Nominating and Corporate Governance Committee, and each committee shall consist of one or more of the Directors of the Corporation. The Board may, by resolution,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at any time, with or without cause.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3. </w:t>
      </w:r>
    </w:p>
    <w:p>
      <w:pPr>
        <w:pStyle w:val="TextBody"/>
        <w:bidi w:val="0"/>
        <w:spacing w:before="410" w:after="283"/>
        <w:jc w:val="center"/>
        <w:rPr>
          <w:rFonts w:ascii="Times New Roman;Times;serif" w:hAnsi="Times New Roman;Times;serif"/>
          <w:color w:val="000000"/>
          <w:sz w:val="20"/>
        </w:rPr>
      </w:pPr>
      <w:bookmarkStart w:id="234" w:name="tANXAA5"/>
      <w:bookmarkEnd w:id="234"/>
      <w:r>
        <w:rPr>
          <w:rFonts w:ascii="Times New Roman;Times;serif" w:hAnsi="Times New Roman;Times;serif"/>
          <w:color w:val="000000"/>
          <w:sz w:val="20"/>
        </w:rPr>
        <w:t xml:space="preserve">ARTICLE 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5" w:name="tANXAS501"/>
      <w:bookmarkEnd w:id="235"/>
      <w:r>
        <w:rPr>
          <w:rFonts w:ascii="Times New Roman;Times;serif" w:hAnsi="Times New Roman;Times;serif"/>
          <w:color w:val="000000"/>
          <w:sz w:val="20"/>
        </w:rPr>
        <w:t>Section 5.01. </w:t>
      </w:r>
      <w:r>
        <w:rPr>
          <w:rFonts w:ascii="Times New Roman;Times;serif" w:hAnsi="Times New Roman;Times;serif"/>
          <w:i/>
          <w:color w:val="000000"/>
          <w:sz w:val="20"/>
        </w:rPr>
        <w:t>Positions; Election</w:t>
      </w:r>
      <w:r>
        <w:rPr>
          <w:rFonts w:ascii="Times New Roman;Times;serif" w:hAnsi="Times New Roman;Times;serif"/>
          <w:color w:val="000000"/>
          <w:sz w:val="20"/>
        </w:rPr>
        <w:t xml:space="preserve">. The Board may from time to time elect officers of the Corporation, which may include a Chief Executive Officer, President, Chief Financial Officer, Vice Presidents, Secretary, Treasurer and any other officers as it may deem proper or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bookmarkStart w:id="236" w:name="tANXAS502"/>
      <w:bookmarkEnd w:id="236"/>
      <w:r>
        <w:rPr>
          <w:rFonts w:ascii="Times New Roman;Times;serif" w:hAnsi="Times New Roman;Times;serif"/>
          <w:color w:val="000000"/>
          <w:sz w:val="20"/>
        </w:rPr>
        <w:t>Section 5.02. </w:t>
      </w:r>
      <w:r>
        <w:rPr>
          <w:rFonts w:ascii="Times New Roman;Times;serif" w:hAnsi="Times New Roman;Times;serif"/>
          <w:i/>
          <w:color w:val="000000"/>
          <w:sz w:val="20"/>
        </w:rPr>
        <w:t>Term of Office</w:t>
      </w:r>
      <w:r>
        <w:rPr>
          <w:rFonts w:ascii="Times New Roman;Times;serif" w:hAnsi="Times New Roman;Times;serif"/>
          <w:color w:val="000000"/>
          <w:sz w:val="20"/>
        </w:rPr>
        <w:t xml:space="preserve">. Each officer of the Corporation shall hold office for such terms as may be determined by the Board or, except with respect to his or her own office, the Chief Executive Officer, or until such officer’s successor is elected and qualified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or, in the case of appointed officers, by any elected officer upon whom such power of removal shall have been conferred by the Board. Any vacancy occurring in any office of the Corporation may be filled by the Board or, in the case of appointed officers, by any elected officer upon whom such power of appointment shall have been conferred by the Board. The election or appointment of an officer shall not of itself create contract rights. </w:t>
      </w:r>
    </w:p>
    <w:p>
      <w:pPr>
        <w:pStyle w:val="TextBody"/>
        <w:bidi w:val="0"/>
        <w:spacing w:before="120" w:after="283"/>
        <w:ind w:left="0" w:right="0" w:firstLine="400"/>
        <w:jc w:val="left"/>
        <w:rPr>
          <w:rFonts w:ascii="Times New Roman;Times;serif" w:hAnsi="Times New Roman;Times;serif"/>
          <w:color w:val="000000"/>
          <w:sz w:val="20"/>
        </w:rPr>
      </w:pPr>
      <w:bookmarkStart w:id="237" w:name="tANXAS503"/>
      <w:bookmarkEnd w:id="237"/>
      <w:r>
        <w:rPr>
          <w:rFonts w:ascii="Times New Roman;Times;serif" w:hAnsi="Times New Roman;Times;serif"/>
          <w:color w:val="000000"/>
          <w:sz w:val="20"/>
        </w:rPr>
        <w:t>Section 5.03. </w:t>
      </w:r>
      <w:r>
        <w:rPr>
          <w:rFonts w:ascii="Times New Roman;Times;serif" w:hAnsi="Times New Roman;Times;serif"/>
          <w:i/>
          <w:color w:val="000000"/>
          <w:sz w:val="20"/>
        </w:rPr>
        <w:t>Chief Executive Officer</w:t>
      </w:r>
      <w:r>
        <w:rPr>
          <w:rFonts w:ascii="Times New Roman;Times;serif" w:hAnsi="Times New Roman;Times;serif"/>
          <w:color w:val="000000"/>
          <w:sz w:val="20"/>
        </w:rPr>
        <w:t xml:space="preserve">. The Chief Executive Officer shall have general supervision over, and direction of, the business and affairs of the Corporation, subject, however, to the control of the Board and of any duly authorized committee of the Board. The Chief Executive Officer shall preside at all meetings of the Stockholders and at all meetings of the Board at which the Chairman is not present. The Chief Executive Officer may sign and execute in the name of the Corporation deeds, mortgages, bonds, contracts and other instruments, except in cases in which the signing and execution thereof shall be expressly delegated by resolution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45101x2_424b3_303-annexc_pg17"/>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 </w:t>
      </w:r>
    </w:p>
    <w:p>
      <w:pPr>
        <w:pStyle w:val="TextBody"/>
        <w:bidi w:val="0"/>
        <w:spacing w:before="120" w:after="283"/>
        <w:ind w:left="0" w:right="0" w:firstLine="400"/>
        <w:jc w:val="left"/>
        <w:rPr>
          <w:rFonts w:ascii="Times New Roman;Times;serif" w:hAnsi="Times New Roman;Times;serif"/>
          <w:color w:val="000000"/>
          <w:sz w:val="20"/>
        </w:rPr>
      </w:pPr>
      <w:bookmarkStart w:id="239" w:name="tANXAS504"/>
      <w:bookmarkEnd w:id="239"/>
      <w:r>
        <w:rPr>
          <w:rFonts w:ascii="Times New Roman;Times;serif" w:hAnsi="Times New Roman;Times;serif"/>
          <w:color w:val="000000"/>
          <w:sz w:val="20"/>
        </w:rPr>
        <w:t>Section 5.04. </w:t>
      </w:r>
      <w:r>
        <w:rPr>
          <w:rFonts w:ascii="Times New Roman;Times;serif" w:hAnsi="Times New Roman;Times;serif"/>
          <w:i/>
          <w:color w:val="000000"/>
          <w:sz w:val="20"/>
        </w:rPr>
        <w:t>President</w:t>
      </w:r>
      <w:r>
        <w:rPr>
          <w:rFonts w:ascii="Times New Roman;Times;serif" w:hAnsi="Times New Roman;Times;serif"/>
          <w:color w:val="000000"/>
          <w:sz w:val="20"/>
        </w:rPr>
        <w:t xml:space="preserve">. The President shall have duties incident to the office of President,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shall preside at all meetings of the Stockholders at which the Chairman, and the Chief Executive Officer are not present.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 </w:t>
      </w:r>
    </w:p>
    <w:p>
      <w:pPr>
        <w:pStyle w:val="TextBody"/>
        <w:bidi w:val="0"/>
        <w:spacing w:before="120" w:after="283"/>
        <w:ind w:left="0" w:right="0" w:firstLine="400"/>
        <w:jc w:val="left"/>
        <w:rPr>
          <w:rFonts w:ascii="Times New Roman;Times;serif" w:hAnsi="Times New Roman;Times;serif"/>
          <w:color w:val="000000"/>
          <w:sz w:val="20"/>
        </w:rPr>
      </w:pPr>
      <w:bookmarkStart w:id="240" w:name="tANXAS505"/>
      <w:bookmarkEnd w:id="240"/>
      <w:r>
        <w:rPr>
          <w:rFonts w:ascii="Times New Roman;Times;serif" w:hAnsi="Times New Roman;Times;serif"/>
          <w:color w:val="000000"/>
          <w:sz w:val="20"/>
        </w:rPr>
        <w:t>Section 5.05. </w:t>
      </w:r>
      <w:r>
        <w:rPr>
          <w:rFonts w:ascii="Times New Roman;Times;serif" w:hAnsi="Times New Roman;Times;serif"/>
          <w:i/>
          <w:color w:val="000000"/>
          <w:sz w:val="20"/>
        </w:rPr>
        <w:t>Vice Presidents</w:t>
      </w:r>
      <w:r>
        <w:rPr>
          <w:rFonts w:ascii="Times New Roman;Times;serif" w:hAnsi="Times New Roman;Times;serif"/>
          <w:color w:val="000000"/>
          <w:sz w:val="20"/>
        </w:rPr>
        <w:t xml:space="preserve">. Vice Presidents shall have the duties incident to the office of Vice President and any other duties that may from time to time be assigned to the Vice President by the Chief Executive Officer, the President or the Board. A Vice President shall preside at all meetings of the Stockholders at which the Chairman, the Chief Executive Officer and the President are not present.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 </w:t>
      </w:r>
    </w:p>
    <w:p>
      <w:pPr>
        <w:pStyle w:val="TextBody"/>
        <w:bidi w:val="0"/>
        <w:spacing w:before="120" w:after="283"/>
        <w:ind w:left="0" w:right="0" w:firstLine="400"/>
        <w:jc w:val="left"/>
        <w:rPr>
          <w:rFonts w:ascii="Times New Roman;Times;serif" w:hAnsi="Times New Roman;Times;serif"/>
          <w:color w:val="000000"/>
          <w:sz w:val="20"/>
        </w:rPr>
      </w:pPr>
      <w:bookmarkStart w:id="241" w:name="tANXAS506"/>
      <w:bookmarkEnd w:id="241"/>
      <w:r>
        <w:rPr>
          <w:rFonts w:ascii="Times New Roman;Times;serif" w:hAnsi="Times New Roman;Times;serif"/>
          <w:color w:val="000000"/>
          <w:sz w:val="20"/>
        </w:rPr>
        <w:t>Section 5.06. </w:t>
      </w:r>
      <w:r>
        <w:rPr>
          <w:rFonts w:ascii="Times New Roman;Times;serif" w:hAnsi="Times New Roman;Times;serif"/>
          <w:i/>
          <w:color w:val="000000"/>
          <w:sz w:val="20"/>
        </w:rPr>
        <w:t>Chief Financial Officer</w:t>
      </w:r>
      <w:r>
        <w:rPr>
          <w:rFonts w:ascii="Times New Roman;Times;serif" w:hAnsi="Times New Roman;Times;serif"/>
          <w:color w:val="000000"/>
          <w:sz w:val="20"/>
        </w:rPr>
        <w:t xml:space="preserve">.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and shall also perform such other duties and have such other powers as the Board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or the Chief Executive Officer, or if no Chief Executive Officer is then serving, the President shall designate from time to time. </w:t>
      </w:r>
    </w:p>
    <w:p>
      <w:pPr>
        <w:pStyle w:val="TextBody"/>
        <w:bidi w:val="0"/>
        <w:spacing w:before="120" w:after="283"/>
        <w:ind w:left="0" w:right="0" w:firstLine="400"/>
        <w:jc w:val="left"/>
        <w:rPr>
          <w:rFonts w:ascii="Times New Roman;Times;serif" w:hAnsi="Times New Roman;Times;serif"/>
          <w:color w:val="000000"/>
          <w:sz w:val="20"/>
        </w:rPr>
      </w:pPr>
      <w:bookmarkStart w:id="242" w:name="tANXAS507"/>
      <w:bookmarkEnd w:id="242"/>
      <w:r>
        <w:rPr>
          <w:rFonts w:ascii="Times New Roman;Times;serif" w:hAnsi="Times New Roman;Times;serif"/>
          <w:color w:val="000000"/>
          <w:sz w:val="20"/>
        </w:rPr>
        <w:t>Section 5.07. </w:t>
      </w:r>
      <w:r>
        <w:rPr>
          <w:rFonts w:ascii="Times New Roman;Times;serif" w:hAnsi="Times New Roman;Times;serif"/>
          <w:i/>
          <w:color w:val="000000"/>
          <w:sz w:val="20"/>
        </w:rPr>
        <w:t>Secretary</w:t>
      </w:r>
      <w:r>
        <w:rPr>
          <w:rFonts w:ascii="Times New Roman;Times;serif" w:hAnsi="Times New Roman;Times;serif"/>
          <w:color w:val="000000"/>
          <w:sz w:val="20"/>
        </w:rPr>
        <w:t xml:space="preserve">.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Executive Chairman, Chief Executive Officer,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 </w:t>
      </w:r>
    </w:p>
    <w:p>
      <w:pPr>
        <w:pStyle w:val="TextBody"/>
        <w:bidi w:val="0"/>
        <w:spacing w:before="120" w:after="283"/>
        <w:ind w:left="0" w:right="0" w:firstLine="400"/>
        <w:jc w:val="left"/>
        <w:rPr>
          <w:rFonts w:ascii="Times New Roman;Times;serif" w:hAnsi="Times New Roman;Times;serif"/>
          <w:color w:val="000000"/>
          <w:sz w:val="20"/>
        </w:rPr>
      </w:pPr>
      <w:bookmarkStart w:id="243" w:name="tANXAS508"/>
      <w:bookmarkEnd w:id="243"/>
      <w:r>
        <w:rPr>
          <w:rFonts w:ascii="Times New Roman;Times;serif" w:hAnsi="Times New Roman;Times;serif"/>
          <w:color w:val="000000"/>
          <w:sz w:val="20"/>
        </w:rPr>
        <w:t>Section 5.08. </w:t>
      </w:r>
      <w:r>
        <w:rPr>
          <w:rFonts w:ascii="Times New Roman;Times;serif" w:hAnsi="Times New Roman;Times;serif"/>
          <w:i/>
          <w:color w:val="000000"/>
          <w:sz w:val="20"/>
        </w:rPr>
        <w:t>Treasurer</w:t>
      </w:r>
      <w:r>
        <w:rPr>
          <w:rFonts w:ascii="Times New Roman;Times;serif" w:hAnsi="Times New Roman;Times;serif"/>
          <w:color w:val="000000"/>
          <w:sz w:val="20"/>
        </w:rPr>
        <w:t xml:space="preserve">. The Treasurer shall have charge and custody of, and be responsible for, all funds, securities and notes of the Corporation, receive and give receipts for moneys due and payable to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45101x2_424b3_303-annexc_pg18"/>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 </w:t>
      </w:r>
    </w:p>
    <w:p>
      <w:pPr>
        <w:pStyle w:val="TextBody"/>
        <w:bidi w:val="0"/>
        <w:spacing w:before="120" w:after="283"/>
        <w:ind w:left="0" w:right="0" w:firstLine="400"/>
        <w:jc w:val="left"/>
        <w:rPr>
          <w:rFonts w:ascii="Times New Roman;Times;serif" w:hAnsi="Times New Roman;Times;serif"/>
          <w:color w:val="000000"/>
          <w:sz w:val="20"/>
        </w:rPr>
      </w:pPr>
      <w:bookmarkStart w:id="245" w:name="tANXAS509"/>
      <w:bookmarkEnd w:id="245"/>
      <w:r>
        <w:rPr>
          <w:rFonts w:ascii="Times New Roman;Times;serif" w:hAnsi="Times New Roman;Times;serif"/>
          <w:color w:val="000000"/>
          <w:sz w:val="20"/>
        </w:rPr>
        <w:t>Section 5.09. </w:t>
      </w:r>
      <w:r>
        <w:rPr>
          <w:rFonts w:ascii="Times New Roman;Times;serif" w:hAnsi="Times New Roman;Times;serif"/>
          <w:i/>
          <w:color w:val="000000"/>
          <w:sz w:val="20"/>
        </w:rPr>
        <w:t>Assistant Secretaries and Assistant Treasurers</w:t>
      </w:r>
      <w:r>
        <w:rPr>
          <w:rFonts w:ascii="Times New Roman;Times;serif" w:hAnsi="Times New Roman;Times;serif"/>
          <w:color w:val="000000"/>
          <w:sz w:val="20"/>
        </w:rPr>
        <w:t xml:space="preserve">. Assistant Secretaries and Assistant Treasurers shall perform such duties as shall be assigned to them by the Secretary or by the Treasurer, respectively, or by the Board, the Chief Executive Officer or the President. </w:t>
      </w:r>
    </w:p>
    <w:p>
      <w:pPr>
        <w:pStyle w:val="TextBody"/>
        <w:bidi w:val="0"/>
        <w:spacing w:before="410" w:after="283"/>
        <w:jc w:val="center"/>
        <w:rPr>
          <w:rFonts w:ascii="Times New Roman;Times;serif" w:hAnsi="Times New Roman;Times;serif"/>
          <w:color w:val="000000"/>
          <w:sz w:val="20"/>
        </w:rPr>
      </w:pPr>
      <w:bookmarkStart w:id="246" w:name="tANXAA6"/>
      <w:bookmarkEnd w:id="246"/>
      <w:r>
        <w:rPr>
          <w:rFonts w:ascii="Times New Roman;Times;serif" w:hAnsi="Times New Roman;Times;serif"/>
          <w:color w:val="000000"/>
          <w:sz w:val="20"/>
        </w:rPr>
        <w:t xml:space="preserve">ARTICLE 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General Provisions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47" w:name="tANXAS601"/>
      <w:bookmarkEnd w:id="247"/>
      <w:r>
        <w:rPr>
          <w:rFonts w:ascii="Times New Roman;Times;serif" w:hAnsi="Times New Roman;Times;serif"/>
          <w:color w:val="000000"/>
          <w:sz w:val="20"/>
        </w:rPr>
        <w:t>Section 6.01. </w:t>
      </w:r>
      <w:r>
        <w:rPr>
          <w:rFonts w:ascii="Times New Roman;Times;serif" w:hAnsi="Times New Roman;Times;serif"/>
          <w:i/>
          <w:color w:val="000000"/>
          <w:sz w:val="20"/>
        </w:rPr>
        <w:t>Certificates Representing Shares</w:t>
      </w:r>
      <w:r>
        <w:rPr>
          <w:rFonts w:ascii="Times New Roman;Times;serif" w:hAnsi="Times New Roman;Times;serif"/>
          <w:color w:val="000000"/>
          <w:sz w:val="20"/>
        </w:rPr>
        <w:t xml:space="preserve">. The shares of stock of the Corporation may be represented by certificates or all of such shares shall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any two authorized officers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 </w:t>
      </w:r>
    </w:p>
    <w:p>
      <w:pPr>
        <w:pStyle w:val="TextBody"/>
        <w:bidi w:val="0"/>
        <w:spacing w:before="120" w:after="283"/>
        <w:ind w:left="0" w:right="0" w:firstLine="400"/>
        <w:jc w:val="left"/>
        <w:rPr>
          <w:rFonts w:ascii="Times New Roman;Times;serif" w:hAnsi="Times New Roman;Times;serif"/>
          <w:color w:val="000000"/>
          <w:sz w:val="20"/>
        </w:rPr>
      </w:pPr>
      <w:bookmarkStart w:id="248" w:name="tANXAS602"/>
      <w:bookmarkEnd w:id="248"/>
      <w:r>
        <w:rPr>
          <w:rFonts w:ascii="Times New Roman;Times;serif" w:hAnsi="Times New Roman;Times;serif"/>
          <w:color w:val="000000"/>
          <w:sz w:val="20"/>
        </w:rPr>
        <w:t>Section 6.02. </w:t>
      </w:r>
      <w:r>
        <w:rPr>
          <w:rFonts w:ascii="Times New Roman;Times;serif" w:hAnsi="Times New Roman;Times;serif"/>
          <w:i/>
          <w:color w:val="000000"/>
          <w:sz w:val="20"/>
        </w:rPr>
        <w:t>Transfer and Registry Agents</w:t>
      </w:r>
      <w:r>
        <w:rPr>
          <w:rFonts w:ascii="Times New Roman;Times;serif" w:hAnsi="Times New Roman;Times;serif"/>
          <w:color w:val="000000"/>
          <w:sz w:val="20"/>
        </w:rPr>
        <w:t xml:space="preserve">. The Corporation may from time to time maintain one or more transfer offices or agents and registry offices or agents at such place or places as may be determined from time to time by the Board. </w:t>
      </w:r>
    </w:p>
    <w:p>
      <w:pPr>
        <w:pStyle w:val="TextBody"/>
        <w:bidi w:val="0"/>
        <w:spacing w:before="120" w:after="283"/>
        <w:ind w:left="0" w:right="0" w:firstLine="400"/>
        <w:jc w:val="left"/>
        <w:rPr>
          <w:rFonts w:ascii="Times New Roman;Times;serif" w:hAnsi="Times New Roman;Times;serif"/>
          <w:color w:val="000000"/>
          <w:sz w:val="20"/>
        </w:rPr>
      </w:pPr>
      <w:bookmarkStart w:id="249" w:name="tANXAS603"/>
      <w:bookmarkEnd w:id="249"/>
      <w:r>
        <w:rPr>
          <w:rFonts w:ascii="Times New Roman;Times;serif" w:hAnsi="Times New Roman;Times;serif"/>
          <w:color w:val="000000"/>
          <w:sz w:val="20"/>
        </w:rPr>
        <w:t xml:space="preserve">Section 6.03. </w:t>
      </w:r>
      <w:r>
        <w:rPr>
          <w:rFonts w:ascii="Times New Roman;Times;serif" w:hAnsi="Times New Roman;Times;serif"/>
          <w:i/>
          <w:color w:val="000000"/>
          <w:sz w:val="20"/>
        </w:rPr>
        <w:t>Lost, Stolen or Destroyed Certificates</w:t>
      </w:r>
      <w:r>
        <w:rPr>
          <w:rFonts w:ascii="Times New Roman;Times;serif" w:hAnsi="Times New Roman;Times;serif"/>
          <w:color w:val="000000"/>
          <w:sz w:val="20"/>
        </w:rPr>
        <w:t xml:space="preserve">.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 </w:t>
      </w:r>
    </w:p>
    <w:p>
      <w:pPr>
        <w:pStyle w:val="TextBody"/>
        <w:bidi w:val="0"/>
        <w:spacing w:before="120" w:after="283"/>
        <w:ind w:left="0" w:right="0" w:firstLine="400"/>
        <w:jc w:val="left"/>
        <w:rPr>
          <w:rFonts w:ascii="Times New Roman;Times;serif" w:hAnsi="Times New Roman;Times;serif"/>
          <w:color w:val="000000"/>
          <w:sz w:val="20"/>
        </w:rPr>
      </w:pPr>
      <w:bookmarkStart w:id="250" w:name="tANXAS604"/>
      <w:bookmarkEnd w:id="250"/>
      <w:r>
        <w:rPr>
          <w:rFonts w:ascii="Times New Roman;Times;serif" w:hAnsi="Times New Roman;Times;serif"/>
          <w:color w:val="000000"/>
          <w:sz w:val="20"/>
        </w:rPr>
        <w:t>Section 6.04. </w:t>
      </w:r>
      <w:r>
        <w:rPr>
          <w:rFonts w:ascii="Times New Roman;Times;serif" w:hAnsi="Times New Roman;Times;serif"/>
          <w:i/>
          <w:color w:val="000000"/>
          <w:sz w:val="20"/>
        </w:rPr>
        <w:t>Form of Records</w:t>
      </w:r>
      <w:r>
        <w:rPr>
          <w:rFonts w:ascii="Times New Roman;Times;serif" w:hAnsi="Times New Roman;Times;serif"/>
          <w:color w:val="000000"/>
          <w:sz w:val="20"/>
        </w:rPr>
        <w:t xml:space="preserve">. Any records maintained by the Corporation in the regular course of its business, including its stock ledger, books of account and minute books, may be maintained on any information storage device or method or 1 or more electronic networks or databases (including 1 or more distributed electronic networks or databases);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records so kept can be converted into clearly legible paper form within a reasonable time and, with respect to the stock ledger, in the manner required by the General Corporation Law. The Corporation shall so convert any records so kept upon the request of any person entitled to inspect such records pursuant to applicable law. </w:t>
      </w:r>
    </w:p>
    <w:p>
      <w:pPr>
        <w:pStyle w:val="TextBody"/>
        <w:bidi w:val="0"/>
        <w:spacing w:before="120" w:after="283"/>
        <w:ind w:left="0" w:right="0" w:firstLine="400"/>
        <w:jc w:val="left"/>
        <w:rPr>
          <w:rFonts w:ascii="Times New Roman;Times;serif" w:hAnsi="Times New Roman;Times;serif"/>
          <w:color w:val="000000"/>
          <w:sz w:val="20"/>
        </w:rPr>
      </w:pPr>
      <w:bookmarkStart w:id="251" w:name="tANXAS605"/>
      <w:bookmarkEnd w:id="251"/>
      <w:r>
        <w:rPr>
          <w:rFonts w:ascii="Times New Roman;Times;serif" w:hAnsi="Times New Roman;Times;serif"/>
          <w:color w:val="000000"/>
          <w:sz w:val="20"/>
        </w:rPr>
        <w:t>Section 6.05. </w:t>
      </w:r>
      <w:r>
        <w:rPr>
          <w:rFonts w:ascii="Times New Roman;Times;serif" w:hAnsi="Times New Roman;Times;serif"/>
          <w:i/>
          <w:color w:val="000000"/>
          <w:sz w:val="20"/>
        </w:rPr>
        <w:t>Seal</w:t>
      </w:r>
      <w:r>
        <w:rPr>
          <w:rFonts w:ascii="Times New Roman;Times;serif" w:hAnsi="Times New Roman;Times;serif"/>
          <w:color w:val="000000"/>
          <w:sz w:val="20"/>
        </w:rPr>
        <w:t xml:space="preserve">. The corporate seal shall have the name of the Corporation inscribed thereon and shall be in such form as may be approved from time to time by the Board. The seal may be used by causing it or a facsimile thereof to be impressed or affixed or otherwise reproduced. </w:t>
      </w:r>
    </w:p>
    <w:p>
      <w:pPr>
        <w:pStyle w:val="TextBody"/>
        <w:bidi w:val="0"/>
        <w:spacing w:before="170" w:after="283"/>
        <w:ind w:left="0" w:right="0" w:firstLine="400"/>
        <w:jc w:val="left"/>
        <w:rPr>
          <w:rFonts w:ascii="Times New Roman;Times;serif" w:hAnsi="Times New Roman;Times;serif"/>
          <w:color w:val="000000"/>
          <w:sz w:val="20"/>
        </w:rPr>
      </w:pPr>
      <w:bookmarkStart w:id="252" w:name="tANXAS606"/>
      <w:bookmarkEnd w:id="252"/>
      <w:r>
        <w:rPr>
          <w:rFonts w:ascii="Times New Roman;Times;serif" w:hAnsi="Times New Roman;Times;serif"/>
          <w:color w:val="000000"/>
          <w:sz w:val="20"/>
        </w:rPr>
        <w:t>Section 6.06. </w:t>
      </w:r>
      <w:r>
        <w:rPr>
          <w:rFonts w:ascii="Times New Roman;Times;serif" w:hAnsi="Times New Roman;Times;serif"/>
          <w:i/>
          <w:color w:val="000000"/>
          <w:sz w:val="20"/>
        </w:rPr>
        <w:t>Fiscal Year</w:t>
      </w:r>
      <w:r>
        <w:rPr>
          <w:rFonts w:ascii="Times New Roman;Times;serif" w:hAnsi="Times New Roman;Times;serif"/>
          <w:color w:val="000000"/>
          <w:sz w:val="20"/>
        </w:rPr>
        <w:t xml:space="preserve">. The fiscal year of the Corporation shall be determined by the Board. </w:t>
      </w:r>
    </w:p>
    <w:p>
      <w:pPr>
        <w:pStyle w:val="TextBody"/>
        <w:bidi w:val="0"/>
        <w:spacing w:before="120" w:after="283"/>
        <w:ind w:left="0" w:right="0" w:firstLine="400"/>
        <w:jc w:val="left"/>
        <w:rPr>
          <w:rFonts w:ascii="Times New Roman;Times;serif" w:hAnsi="Times New Roman;Times;serif"/>
          <w:color w:val="000000"/>
          <w:sz w:val="20"/>
        </w:rPr>
      </w:pPr>
      <w:bookmarkStart w:id="253" w:name="tANXAS607"/>
      <w:bookmarkEnd w:id="253"/>
      <w:r>
        <w:rPr>
          <w:rFonts w:ascii="Times New Roman;Times;serif" w:hAnsi="Times New Roman;Times;serif"/>
          <w:color w:val="000000"/>
          <w:sz w:val="20"/>
        </w:rPr>
        <w:t>Section 6.07. </w:t>
      </w:r>
      <w:r>
        <w:rPr>
          <w:rFonts w:ascii="Times New Roman;Times;serif" w:hAnsi="Times New Roman;Times;serif"/>
          <w:i/>
          <w:color w:val="000000"/>
          <w:sz w:val="20"/>
        </w:rPr>
        <w:t>Amendments</w:t>
      </w:r>
      <w:r>
        <w:rPr>
          <w:rFonts w:ascii="Times New Roman;Times;serif" w:hAnsi="Times New Roman;Times;serif"/>
          <w:color w:val="000000"/>
          <w:sz w:val="20"/>
        </w:rPr>
        <w:t xml:space="preserve">. These By-laws may be altered, amended or repealed in accordance with the Certificate of Incorporation and the General Corporation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45101x2_424b3_303-annexc_pg19"/>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55" w:name="tANXAS608"/>
      <w:bookmarkEnd w:id="255"/>
      <w:r>
        <w:rPr>
          <w:rFonts w:ascii="Times New Roman;Times;serif" w:hAnsi="Times New Roman;Times;serif"/>
          <w:color w:val="000000"/>
          <w:sz w:val="20"/>
        </w:rPr>
        <w:t>Section 6.08. </w:t>
      </w:r>
      <w:r>
        <w:rPr>
          <w:rFonts w:ascii="Times New Roman;Times;serif" w:hAnsi="Times New Roman;Times;serif"/>
          <w:i/>
          <w:color w:val="000000"/>
          <w:sz w:val="20"/>
        </w:rPr>
        <w:t>Conflict with Applicable Law or Certificate of Incorporation</w:t>
      </w:r>
      <w:r>
        <w:rPr>
          <w:rFonts w:ascii="Times New Roman;Times;serif" w:hAnsi="Times New Roman;Times;serif"/>
          <w:color w:val="000000"/>
          <w:sz w:val="20"/>
        </w:rPr>
        <w:t xml:space="preserve">. These By-laws are adopted subject to any applicable law and the Certificate of Incorporation. Whenever these By-laws may conflict with any applicable law or the Certificate of Incorporation, such conflict shall be resolved in favor of such law or the Certificate of Incorporation. </w:t>
      </w:r>
    </w:p>
    <w:p>
      <w:pPr>
        <w:pStyle w:val="TextBody"/>
        <w:bidi w:val="0"/>
        <w:spacing w:before="240" w:after="283"/>
        <w:jc w:val="center"/>
        <w:rPr>
          <w:rFonts w:ascii="Times New Roman;Times;serif" w:hAnsi="Times New Roman;Times;serif"/>
          <w:color w:val="000000"/>
          <w:sz w:val="20"/>
        </w:rPr>
      </w:pPr>
      <w:bookmarkStart w:id="256" w:name="tANXAA7"/>
      <w:bookmarkEnd w:id="256"/>
      <w:r>
        <w:rPr>
          <w:rFonts w:ascii="Times New Roman;Times;serif" w:hAnsi="Times New Roman;Times;serif"/>
          <w:color w:val="000000"/>
          <w:sz w:val="20"/>
        </w:rPr>
        <w:t xml:space="preserve">ARTICLE 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smallCaps/>
          <w:color w:val="000000"/>
          <w:sz w:val="20"/>
        </w:rPr>
        <w:t>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57" w:name="tANXAS701"/>
      <w:bookmarkEnd w:id="257"/>
      <w:r>
        <w:rPr>
          <w:rFonts w:ascii="Times New Roman;Times;serif" w:hAnsi="Times New Roman;Times;serif"/>
          <w:color w:val="000000"/>
          <w:sz w:val="20"/>
        </w:rPr>
        <w:t>Section 7.01. </w:t>
      </w:r>
      <w:r>
        <w:rPr>
          <w:rFonts w:ascii="Times New Roman;Times;serif" w:hAnsi="Times New Roman;Times;serif"/>
          <w:i/>
          <w:color w:val="000000"/>
          <w:sz w:val="20"/>
        </w:rPr>
        <w:t>Directors and Officers</w:t>
      </w:r>
      <w:r>
        <w:rPr>
          <w:rFonts w:ascii="Times New Roman;Times;serif" w:hAnsi="Times New Roman;Times;serif"/>
          <w:color w:val="000000"/>
          <w:sz w:val="20"/>
        </w:rPr>
        <w:t xml:space="preserve">. The Corporation shall indemnify its Directors and officers to the extent not prohibited by the General Corporation Law or any other applicable law; provided, however, that the Corporation shall not be required to indemnify any Director or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under Section 7.04. </w:t>
      </w:r>
    </w:p>
    <w:p>
      <w:pPr>
        <w:pStyle w:val="TextBody"/>
        <w:bidi w:val="0"/>
        <w:spacing w:before="120" w:after="283"/>
        <w:ind w:left="0" w:right="0" w:firstLine="400"/>
        <w:jc w:val="left"/>
        <w:rPr>
          <w:rFonts w:ascii="Times New Roman;Times;serif" w:hAnsi="Times New Roman;Times;serif"/>
          <w:color w:val="000000"/>
          <w:sz w:val="20"/>
        </w:rPr>
      </w:pPr>
      <w:bookmarkStart w:id="258" w:name="tANXAS702"/>
      <w:bookmarkEnd w:id="258"/>
      <w:r>
        <w:rPr>
          <w:rFonts w:ascii="Times New Roman;Times;serif" w:hAnsi="Times New Roman;Times;serif"/>
          <w:color w:val="000000"/>
          <w:sz w:val="20"/>
        </w:rPr>
        <w:t>Section 7.02. </w:t>
      </w:r>
      <w:r>
        <w:rPr>
          <w:rFonts w:ascii="Times New Roman;Times;serif" w:hAnsi="Times New Roman;Times;serif"/>
          <w:i/>
          <w:color w:val="000000"/>
          <w:sz w:val="20"/>
        </w:rPr>
        <w:t>Employees and Other Agents</w:t>
      </w:r>
      <w:r>
        <w:rPr>
          <w:rFonts w:ascii="Times New Roman;Times;serif" w:hAnsi="Times New Roman;Times;serif"/>
          <w:color w:val="000000"/>
          <w:sz w:val="20"/>
        </w:rPr>
        <w:t xml:space="preserve">. The Corporation shall have power to indemnify its employees and other agents as set forth in the General Corporation Law or any other applicable law. The Board shall have the power to delegate the determination of whether indemnification shall be given to any such person except officers to such officers or other persons as the Board shall determine, to the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bookmarkStart w:id="259" w:name="tANXAS703"/>
      <w:bookmarkEnd w:id="259"/>
      <w:r>
        <w:rPr>
          <w:rFonts w:ascii="Times New Roman;Times;serif" w:hAnsi="Times New Roman;Times;serif"/>
          <w:color w:val="000000"/>
          <w:sz w:val="20"/>
        </w:rPr>
        <w:t>Section 7.03. </w:t>
      </w:r>
      <w:r>
        <w:rPr>
          <w:rFonts w:ascii="Times New Roman;Times;serif" w:hAnsi="Times New Roman;Times;serif"/>
          <w:i/>
          <w:color w:val="000000"/>
          <w:sz w:val="20"/>
        </w:rPr>
        <w:t>Expenses</w:t>
      </w:r>
      <w:r>
        <w:rPr>
          <w:rFonts w:ascii="Times New Roman;Times;serif" w:hAnsi="Times New Roman;Times;serif"/>
          <w:color w:val="000000"/>
          <w:sz w:val="20"/>
        </w:rPr>
        <w:t xml:space="preserve">. The Corporation shall advance to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General Corporation Law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 advance shall be made by the Corporation to an officer of the Corporation in connection with any proceeding (or part thereof) initiated by such person unless (i) such advance is expressly required to be made by law, (ii) the proceeding was authorized by the Board, (iii) such advancement is provided by the Corporation, in its sole discretion, pursuant to the powers vested in the Corporation under the General Corporation Law or any other applicable law or (iv) such advance is required to be made under Section 7.04. </w:t>
      </w:r>
    </w:p>
    <w:p>
      <w:pPr>
        <w:pStyle w:val="TextBody"/>
        <w:bidi w:val="0"/>
        <w:spacing w:before="120" w:after="283"/>
        <w:ind w:left="0" w:right="0" w:firstLine="400"/>
        <w:jc w:val="left"/>
        <w:rPr>
          <w:rFonts w:ascii="Times New Roman;Times;serif" w:hAnsi="Times New Roman;Times;serif"/>
          <w:color w:val="000000"/>
          <w:sz w:val="20"/>
        </w:rPr>
      </w:pPr>
      <w:bookmarkStart w:id="260" w:name="tANXAS704"/>
      <w:bookmarkEnd w:id="260"/>
      <w:r>
        <w:rPr>
          <w:rFonts w:ascii="Times New Roman;Times;serif" w:hAnsi="Times New Roman;Times;serif"/>
          <w:color w:val="000000"/>
          <w:sz w:val="20"/>
        </w:rPr>
        <w:t>Section 7.04. </w:t>
      </w:r>
      <w:r>
        <w:rPr>
          <w:rFonts w:ascii="Times New Roman;Times;serif" w:hAnsi="Times New Roman;Times;serif"/>
          <w:i/>
          <w:color w:val="000000"/>
          <w:sz w:val="20"/>
        </w:rPr>
        <w:t>Enforcement</w:t>
      </w:r>
      <w:r>
        <w:rPr>
          <w:rFonts w:ascii="Times New Roman;Times;serif" w:hAnsi="Times New Roman;Times;serif"/>
          <w:color w:val="000000"/>
          <w:sz w:val="20"/>
        </w:rPr>
        <w:t xml:space="preserve">. Without the necessity of entering into an express contract, all rights to indemnification and advances to Directors and officers under this Bylaw shall be deemed to be contractual rights and be effective to the same extent and as if provided for in a contract between the Corporation and the Director or officer. Any right to indemnification or advances granted by this section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45101x2_424b3_303-annexc_pg20"/>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section or otherwise shall be on the Corporation. </w:t>
      </w:r>
    </w:p>
    <w:p>
      <w:pPr>
        <w:pStyle w:val="TextBody"/>
        <w:bidi w:val="0"/>
        <w:spacing w:before="120" w:after="283"/>
        <w:ind w:left="0" w:right="0" w:firstLine="400"/>
        <w:jc w:val="left"/>
        <w:rPr>
          <w:rFonts w:ascii="Times New Roman;Times;serif" w:hAnsi="Times New Roman;Times;serif"/>
          <w:color w:val="000000"/>
          <w:sz w:val="20"/>
        </w:rPr>
      </w:pPr>
      <w:bookmarkStart w:id="262" w:name="tANXAS705"/>
      <w:bookmarkEnd w:id="262"/>
      <w:r>
        <w:rPr>
          <w:rFonts w:ascii="Times New Roman;Times;serif" w:hAnsi="Times New Roman;Times;serif"/>
          <w:color w:val="000000"/>
          <w:sz w:val="20"/>
        </w:rPr>
        <w:t>Section 7.05. </w:t>
      </w:r>
      <w:r>
        <w:rPr>
          <w:rFonts w:ascii="Times New Roman;Times;serif" w:hAnsi="Times New Roman;Times;serif"/>
          <w:i/>
          <w:color w:val="000000"/>
          <w:sz w:val="20"/>
        </w:rPr>
        <w:t>Non-Exclusivity of Rights</w:t>
      </w:r>
      <w:r>
        <w:rPr>
          <w:rFonts w:ascii="Times New Roman;Times;serif" w:hAnsi="Times New Roman;Times;serif"/>
          <w:color w:val="000000"/>
          <w:sz w:val="20"/>
        </w:rPr>
        <w:t xml:space="preserve">.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 </w:t>
      </w:r>
    </w:p>
    <w:p>
      <w:pPr>
        <w:pStyle w:val="TextBody"/>
        <w:bidi w:val="0"/>
        <w:spacing w:before="120" w:after="283"/>
        <w:ind w:left="0" w:right="0" w:firstLine="400"/>
        <w:jc w:val="left"/>
        <w:rPr>
          <w:rFonts w:ascii="Times New Roman;Times;serif" w:hAnsi="Times New Roman;Times;serif"/>
          <w:color w:val="000000"/>
          <w:sz w:val="20"/>
        </w:rPr>
      </w:pPr>
      <w:bookmarkStart w:id="263" w:name="tANXAS706"/>
      <w:bookmarkEnd w:id="263"/>
      <w:r>
        <w:rPr>
          <w:rFonts w:ascii="Times New Roman;Times;serif" w:hAnsi="Times New Roman;Times;serif"/>
          <w:color w:val="000000"/>
          <w:sz w:val="20"/>
        </w:rPr>
        <w:t>Section 7.06. </w:t>
      </w:r>
      <w:r>
        <w:rPr>
          <w:rFonts w:ascii="Times New Roman;Times;serif" w:hAnsi="Times New Roman;Times;serif"/>
          <w:i/>
          <w:color w:val="000000"/>
          <w:sz w:val="20"/>
        </w:rPr>
        <w:t>Survival of Rights</w:t>
      </w:r>
      <w:r>
        <w:rPr>
          <w:rFonts w:ascii="Times New Roman;Times;serif" w:hAnsi="Times New Roman;Times;serif"/>
          <w:color w:val="000000"/>
          <w:sz w:val="20"/>
        </w:rPr>
        <w:t xml:space="preserve">. The rights conferred on any person by this Bylaw shall continue as to a person who has ceased to be a Director, officer, employee or other agent and shall inure to the benefit of the heirs, executors and administrators of such a person. </w:t>
      </w:r>
    </w:p>
    <w:p>
      <w:pPr>
        <w:pStyle w:val="TextBody"/>
        <w:bidi w:val="0"/>
        <w:spacing w:before="120" w:after="283"/>
        <w:ind w:left="0" w:right="0" w:firstLine="400"/>
        <w:jc w:val="left"/>
        <w:rPr>
          <w:rFonts w:ascii="Times New Roman;Times;serif" w:hAnsi="Times New Roman;Times;serif"/>
          <w:color w:val="000000"/>
          <w:sz w:val="20"/>
        </w:rPr>
      </w:pPr>
      <w:bookmarkStart w:id="264" w:name="tANXAS707"/>
      <w:bookmarkEnd w:id="264"/>
      <w:r>
        <w:rPr>
          <w:rFonts w:ascii="Times New Roman;Times;serif" w:hAnsi="Times New Roman;Times;serif"/>
          <w:color w:val="000000"/>
          <w:sz w:val="20"/>
        </w:rPr>
        <w:t>Section 7.07. </w:t>
      </w:r>
      <w:r>
        <w:rPr>
          <w:rFonts w:ascii="Times New Roman;Times;serif" w:hAnsi="Times New Roman;Times;serif"/>
          <w:i/>
          <w:color w:val="000000"/>
          <w:sz w:val="20"/>
        </w:rPr>
        <w:t>Insurance</w:t>
      </w:r>
      <w:r>
        <w:rPr>
          <w:rFonts w:ascii="Times New Roman;Times;serif" w:hAnsi="Times New Roman;Times;serif"/>
          <w:color w:val="000000"/>
          <w:sz w:val="20"/>
        </w:rPr>
        <w:t xml:space="preserve">. To the fullest extent permitted by the General Corporation Law or any other applicable law, the Corporation, upon approval by the Board, may purchase insurance on behalf of any person required or permitted to be indemnified pursuant to this section. </w:t>
      </w:r>
    </w:p>
    <w:p>
      <w:pPr>
        <w:pStyle w:val="TextBody"/>
        <w:bidi w:val="0"/>
        <w:spacing w:before="120" w:after="283"/>
        <w:ind w:left="0" w:right="0" w:firstLine="400"/>
        <w:jc w:val="left"/>
        <w:rPr>
          <w:rFonts w:ascii="Times New Roman;Times;serif" w:hAnsi="Times New Roman;Times;serif"/>
          <w:color w:val="000000"/>
          <w:sz w:val="20"/>
        </w:rPr>
      </w:pPr>
      <w:bookmarkStart w:id="265" w:name="tANXAS708"/>
      <w:bookmarkEnd w:id="265"/>
      <w:r>
        <w:rPr>
          <w:rFonts w:ascii="Times New Roman;Times;serif" w:hAnsi="Times New Roman;Times;serif"/>
          <w:color w:val="000000"/>
          <w:sz w:val="20"/>
        </w:rPr>
        <w:t>Section 7.08. </w:t>
      </w:r>
      <w:r>
        <w:rPr>
          <w:rFonts w:ascii="Times New Roman;Times;serif" w:hAnsi="Times New Roman;Times;serif"/>
          <w:i/>
          <w:color w:val="000000"/>
          <w:sz w:val="20"/>
        </w:rPr>
        <w:t>Amendments</w:t>
      </w:r>
      <w:r>
        <w:rPr>
          <w:rFonts w:ascii="Times New Roman;Times;serif" w:hAnsi="Times New Roman;Times;serif"/>
          <w:color w:val="000000"/>
          <w:sz w:val="20"/>
        </w:rPr>
        <w:t xml:space="preserve">. Any repeal or modification of this section shall only be prospective and shall not affect the rights under this Bylaw in effect at the time of the alleged occurrence of any action or omission to act that is the cause of any proceeding against any Director, officer, employee or other agent of the Corporation. </w:t>
      </w:r>
    </w:p>
    <w:p>
      <w:pPr>
        <w:pStyle w:val="TextBody"/>
        <w:bidi w:val="0"/>
        <w:spacing w:before="120" w:after="283"/>
        <w:ind w:left="0" w:right="0" w:firstLine="400"/>
        <w:jc w:val="left"/>
        <w:rPr>
          <w:rFonts w:ascii="Times New Roman;Times;serif" w:hAnsi="Times New Roman;Times;serif"/>
          <w:color w:val="000000"/>
          <w:sz w:val="20"/>
        </w:rPr>
      </w:pPr>
      <w:bookmarkStart w:id="266" w:name="tANXAS709"/>
      <w:bookmarkEnd w:id="266"/>
      <w:r>
        <w:rPr>
          <w:rFonts w:ascii="Times New Roman;Times;serif" w:hAnsi="Times New Roman;Times;serif"/>
          <w:color w:val="000000"/>
          <w:sz w:val="20"/>
        </w:rPr>
        <w:t>Section 7.09. </w:t>
      </w:r>
      <w:r>
        <w:rPr>
          <w:rFonts w:ascii="Times New Roman;Times;serif" w:hAnsi="Times New Roman;Times;serif"/>
          <w:i/>
          <w:color w:val="000000"/>
          <w:sz w:val="20"/>
        </w:rPr>
        <w:t>Saving Clause</w:t>
      </w:r>
      <w:r>
        <w:rPr>
          <w:rFonts w:ascii="Times New Roman;Times;serif" w:hAnsi="Times New Roman;Times;serif"/>
          <w:color w:val="000000"/>
          <w:sz w:val="20"/>
        </w:rPr>
        <w:t xml:space="preserve">. If this Bylaw or any portion hereof shall be invalidated on any ground by any court of competent jurisdiction, then the Corporation shall nevertheless indemnify each Director and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officer to the full extent under any other applicable law. </w:t>
      </w:r>
    </w:p>
    <w:p>
      <w:pPr>
        <w:pStyle w:val="TextBody"/>
        <w:bidi w:val="0"/>
        <w:spacing w:before="170" w:after="283"/>
        <w:ind w:left="0" w:right="0" w:firstLine="400"/>
        <w:jc w:val="left"/>
        <w:rPr>
          <w:rFonts w:ascii="Times New Roman;Times;serif" w:hAnsi="Times New Roman;Times;serif"/>
          <w:color w:val="000000"/>
          <w:sz w:val="20"/>
        </w:rPr>
      </w:pPr>
      <w:bookmarkStart w:id="267" w:name="tANXAS710"/>
      <w:bookmarkEnd w:id="267"/>
      <w:r>
        <w:rPr>
          <w:rFonts w:ascii="Times New Roman;Times;serif" w:hAnsi="Times New Roman;Times;serif"/>
          <w:color w:val="000000"/>
          <w:sz w:val="20"/>
        </w:rPr>
        <w:t>Section 7.10. </w:t>
      </w:r>
      <w:r>
        <w:rPr>
          <w:rFonts w:ascii="Times New Roman;Times;serif" w:hAnsi="Times New Roman;Times;serif"/>
          <w:i/>
          <w:color w:val="000000"/>
          <w:sz w:val="20"/>
        </w:rPr>
        <w:t>Certain Definitions</w:t>
      </w:r>
      <w:r>
        <w:rPr>
          <w:rFonts w:ascii="Times New Roman;Times;serif" w:hAnsi="Times New Roman;Times;serif"/>
          <w:color w:val="000000"/>
          <w:sz w:val="20"/>
        </w:rPr>
        <w:t xml:space="preserve">. For the purposes of this Article 7, the following definitions shall apply: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term “expenses” shall be broadly construed and shall include, without limitation, court costs, attorneys’ fees, witness fees, fines, amounts paid in settlement or judgment and any other costs and expenses of any nature or kind incurred in connection with any proceeding.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45101x2_424b3_303-annexc_pg21"/>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(d) References to a “Director,” “ “officer,” “employee,” or “agent” of the Corporation shall include, without limitation, situations where such person is serving at the request of the Corporation as, respectively, a director, officer, employee, trustee or agent of another Corporation, partnership, joint venture, trust or other enterprise.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45101x2_424b3_304-annexd_pg1"/>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70" w:name="tANNXD"/>
      <w:bookmarkEnd w:id="270"/>
      <w:r>
        <w:rPr>
          <w:rFonts w:ascii="Times New Roman;Times;serif" w:hAnsi="Times New Roman;Times;serif"/>
          <w:b/>
          <w:color w:val="000000"/>
          <w:sz w:val="20"/>
        </w:rPr>
        <w:t>Annex D</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CORPORATE DOMESTICATION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PROKIDNEY CORP.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388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the General Corporation Law of the State of Delaware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ProKidney Corp., presently a Cayman Islands exempted company limited by shares (the “Company”), DOES HEREBY CERTIFY: </w:t>
      </w:r>
    </w:p>
    <w:tbl>
      <w:tblPr>
        <w:tblW w:w="8065" w:type="dxa"/>
        <w:jc w:val="left"/>
        <w:tblInd w:w="0" w:type="dxa"/>
        <w:tblLayout w:type="fixed"/>
        <w:tblCellMar>
          <w:top w:w="0" w:type="dxa"/>
          <w:left w:w="0" w:type="dxa"/>
          <w:bottom w:w="0" w:type="dxa"/>
          <w:right w:w="0" w:type="dxa"/>
        </w:tblCellMar>
      </w:tblPr>
      <w:tblGrid>
        <w:gridCol w:w="170"/>
        <w:gridCol w:w="789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was first incorporated on February 25, 2021 under the laws of the Cayman Islands.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Company immediately prior to the filing of this Certificate of Corporate Domestication with the Secretary of State of the State of Delaware was “ProKidney Corp.”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Company as set forth in the Certificate of Incorporation being filed with the Secretary of State of the State of Delaware in accordance with Section 388(b) of the General Corporation Law of the State of Delaware is “ProKidney Corp.”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jurisdiction that constituted the seat, siege social, or principal place of business or central administration of the Company immediately prior to the filing of this Certificate of Corporate Domestication was the Cayman Islands.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has been approved in the manner provided for by the document, instrument, agreement or other writing, as the case may be, governing the internal affairs of the Company and the conduct of its business or by applicable non-Delaware law, as appropriate.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provisions of the plan of domestication adopted by the Company have been approved in accordance with all applicable laws of the Cayman Islands and Section 388(l) of the General Corporation Law of the State of Delaware.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Company has caused this Certificate to be executed by its duly authorized officer on this [•] day of [•], 2025. </w:t>
      </w:r>
    </w:p>
    <w:tbl>
      <w:tblPr>
        <w:tblW w:w="6784" w:type="dxa"/>
        <w:jc w:val="left"/>
        <w:tblInd w:w="0" w:type="dxa"/>
        <w:tblLayout w:type="fixed"/>
        <w:tblCellMar>
          <w:top w:w="0" w:type="dxa"/>
          <w:left w:w="0" w:type="dxa"/>
          <w:bottom w:w="0" w:type="dxa"/>
          <w:right w:w="0" w:type="dxa"/>
        </w:tblCellMar>
      </w:tblPr>
      <w:tblGrid>
        <w:gridCol w:w="155"/>
        <w:gridCol w:w="140"/>
        <w:gridCol w:w="140"/>
        <w:gridCol w:w="1451"/>
        <w:gridCol w:w="635"/>
        <w:gridCol w:w="635"/>
        <w:gridCol w:w="362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PROKIDNEY CORP., a Cayman Islands exempted company limited by shares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color w:val="000000"/>
              </w:rPr>
            </w:pPr>
            <w:r>
              <w:rPr>
                <w:color w:val="000000"/>
              </w:rPr>
              <w:t> </w:t>
            </w:r>
          </w:p>
        </w:tc>
        <w:tc>
          <w:tcPr>
            <w:tcW w:w="635" w:type="dxa"/>
            <w:tcBorders/>
            <w:vAlign w:val="center"/>
          </w:tcPr>
          <w:p>
            <w:pPr>
              <w:pStyle w:val="TableContents"/>
              <w:bidi w:val="0"/>
              <w:spacing w:before="0" w:after="0"/>
              <w:jc w:val="left"/>
              <w:rPr/>
            </w:pPr>
            <w:r>
              <w:rPr/>
              <w:t> </w:t>
            </w:r>
          </w:p>
        </w:tc>
        <w:tc>
          <w:tcPr>
            <w:tcW w:w="4263"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63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362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color w:val="000000"/>
              </w:rPr>
            </w:pPr>
            <w:r>
              <w:rPr>
                <w:color w:val="000000"/>
              </w:rPr>
              <w:t> </w:t>
            </w:r>
          </w:p>
        </w:tc>
        <w:tc>
          <w:tcPr>
            <w:tcW w:w="63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36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color w:val="000000"/>
              </w:rPr>
            </w:pPr>
            <w:r>
              <w:rPr>
                <w:color w:val="000000"/>
              </w:rPr>
              <w:t> </w:t>
            </w:r>
          </w:p>
        </w:tc>
        <w:tc>
          <w:tcPr>
            <w:tcW w:w="63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36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36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45101x2_424b3_400-pc_pg1"/>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45101x2_424b3_400-pc_pg2"/>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s://www.sec.gov/ix?doc=/Archives/edgar/data/1850270/000095017025040483/prok-20241231.htm" TargetMode="External"/><Relationship Id="rId6" Type="http://schemas.openxmlformats.org/officeDocument/2006/relationships/hyperlink" Target="https://www.sec.gov/ix?doc=/Archives/edgar/data/1850270/000095017025007217/prok-20250117.htm" TargetMode="External"/><Relationship Id="rId7" Type="http://schemas.openxmlformats.org/officeDocument/2006/relationships/hyperlink" Target="https://www.sec.gov/Archives/edgar/data/1850270/000119312521202749/d179568d8a12b.htm" TargetMode="External"/><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98618</Words>
  <Characters>514118</Characters>
  <CharactersWithSpaces>613942</CharactersWithSpaces>
  <Paragraphs>6506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