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prok-20250630.htm"/>
      <w:bookmarkStart w:id="1" w:name="ksprok20250630"/>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60" w:after="12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2025</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001-40560</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ProKidney Corp.</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60" w:after="283"/>
        <w:jc w:val="center"/>
        <w:rPr/>
      </w:pPr>
      <w:r>
        <w:rPr/>
        <w:t> </w:t>
      </w:r>
    </w:p>
    <w:p>
      <w:pPr>
        <w:pStyle w:val="TextBody"/>
        <w:bidi w:val="0"/>
        <w:jc w:val="left"/>
        <w:rPr/>
      </w:pPr>
      <w:r>
        <w:rPr/>
        <w:t> </w:t>
      </w:r>
    </w:p>
    <w:tbl>
      <w:tblPr>
        <w:tblW w:w="4337" w:type="dxa"/>
        <w:jc w:val="left"/>
        <w:tblInd w:w="0" w:type="dxa"/>
        <w:tblLayout w:type="fixed"/>
        <w:tblCellMar>
          <w:top w:w="28" w:type="dxa"/>
          <w:left w:w="28" w:type="dxa"/>
          <w:bottom w:w="28" w:type="dxa"/>
          <w:right w:w="28" w:type="dxa"/>
        </w:tblCellMar>
      </w:tblPr>
      <w:tblGrid>
        <w:gridCol w:w="3091"/>
        <w:gridCol w:w="1246"/>
      </w:tblGrid>
      <w:tr>
        <w:trPr/>
        <w:tc>
          <w:tcPr>
            <w:tcW w:w="309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0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98-1586514</w:t>
            </w:r>
          </w:p>
        </w:tc>
      </w:tr>
      <w:tr>
        <w:trPr/>
        <w:tc>
          <w:tcPr>
            <w:tcW w:w="309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 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309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2000 Frontis Plaza Blvd., Suite 250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Winston-Salem, NC</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27103</w:t>
            </w:r>
          </w:p>
        </w:tc>
      </w:tr>
      <w:tr>
        <w:trPr/>
        <w:tc>
          <w:tcPr>
            <w:tcW w:w="30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(336) 999-7019</w:t>
      </w:r>
    </w:p>
    <w:p>
      <w:pPr>
        <w:pStyle w:val="TextBody"/>
        <w:bidi w:val="0"/>
        <w:jc w:val="center"/>
        <w:rPr>
          <w:rFonts w:ascii="Times New Roman" w:hAnsi="Times New Roman"/>
          <w:b/>
          <w:color w:val="000000"/>
          <w:sz w:val="14"/>
        </w:rPr>
      </w:pPr>
      <w:r>
        <w:rPr>
          <w:rFonts w:ascii="Times New Roman" w:hAnsi="Times New Roman"/>
          <w:b/>
          <w:color w:val="000000"/>
          <w:sz w:val="14"/>
        </w:rPr>
        <w:t>(Registrant’s telephone number, including area code)</w:t>
      </w:r>
    </w:p>
    <w:p>
      <w:pPr>
        <w:pStyle w:val="TextBody"/>
        <w:pBdr>
          <w:bottom w:val="single" w:sz="4" w:space="1" w:color="000000"/>
        </w:pBdr>
        <w:bidi w:val="0"/>
        <w:spacing w:before="60" w:after="283"/>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260" w:type="dxa"/>
        <w:jc w:val="left"/>
        <w:tblInd w:w="0" w:type="dxa"/>
        <w:tblLayout w:type="fixed"/>
        <w:tblCellMar>
          <w:top w:w="28" w:type="dxa"/>
          <w:left w:w="28" w:type="dxa"/>
          <w:bottom w:w="28" w:type="dxa"/>
          <w:right w:w="28" w:type="dxa"/>
        </w:tblCellMar>
      </w:tblPr>
      <w:tblGrid>
        <w:gridCol w:w="3826"/>
        <w:gridCol w:w="146"/>
        <w:gridCol w:w="826"/>
        <w:gridCol w:w="146"/>
        <w:gridCol w:w="3316"/>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8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Class A 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PROK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The Nasdaq</w:t>
            </w:r>
            <w:r>
              <w:rPr>
                <w:rFonts w:ascii="Times New Roman" w:hAnsi="Times New Roman"/>
                <w:color w:val="000000"/>
                <w:sz w:val="20"/>
              </w:rPr>
              <w:t> </w:t>
            </w:r>
            <w:r>
              <w:rPr>
                <w:rFonts w:ascii="Times New Roman" w:hAnsi="Times New Roman"/>
                <w:color w:val="000000"/>
                <w:sz w:val="18"/>
              </w:rPr>
              <w:t>Stock Market</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8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jc w:val="left"/>
        <w:rPr/>
      </w:pPr>
      <w:r>
        <w:rPr/>
        <w:t> </w:t>
      </w:r>
    </w:p>
    <w:tbl>
      <w:tblPr>
        <w:tblW w:w="7363" w:type="dxa"/>
        <w:jc w:val="left"/>
        <w:tblInd w:w="0" w:type="dxa"/>
        <w:tblLayout w:type="fixed"/>
        <w:tblCellMar>
          <w:top w:w="28" w:type="dxa"/>
          <w:left w:w="28" w:type="dxa"/>
          <w:bottom w:w="28" w:type="dxa"/>
          <w:right w:w="28" w:type="dxa"/>
        </w:tblCellMar>
      </w:tblPr>
      <w:tblGrid>
        <w:gridCol w:w="3826"/>
        <w:gridCol w:w="146"/>
        <w:gridCol w:w="339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1" w:type="dxa"/>
            <w:tcBorders/>
            <w:vAlign w:val="center"/>
          </w:tcPr>
          <w:p>
            <w:pPr>
              <w:pStyle w:val="TableContents"/>
              <w:bidi w:val="0"/>
              <w:spacing w:before="0" w:after="283"/>
              <w:jc w:val="left"/>
              <w:rPr>
                <w:sz w:val="4"/>
                <w:szCs w:val="4"/>
              </w:rPr>
            </w:pPr>
            <w:r>
              <w:rPr>
                <w:sz w:val="4"/>
                <w:szCs w:val="4"/>
              </w:rPr>
            </w:r>
          </w:p>
        </w:tc>
      </w:tr>
      <w:tr>
        <w:trPr/>
        <w:tc>
          <w:tcPr>
            <w:tcW w:w="3826" w:type="dxa"/>
            <w:tcBorders>
              <w:bottom w:val="single" w:sz="4" w:space="0" w:color="000000"/>
            </w:tcBorders>
            <w:tcMar>
              <w:top w:w="0" w:type="dxa"/>
              <w:left w:w="0" w:type="dxa"/>
              <w:right w:w="0" w:type="dxa"/>
            </w:tcMar>
            <w:vAlign w:val="center"/>
          </w:tcPr>
          <w:p>
            <w:pPr>
              <w:pStyle w:val="TableContents"/>
              <w:bidi w:val="0"/>
              <w:spacing w:before="80" w:after="283"/>
              <w:jc w:val="left"/>
              <w:rPr>
                <w:rFonts w:ascii="Times New Roman" w:hAnsi="Times New Roman"/>
                <w:b/>
                <w:color w:val="000000"/>
                <w:sz w:val="18"/>
              </w:rPr>
            </w:pPr>
            <w:r>
              <w:rPr>
                <w:rFonts w:ascii="Times New Roman" w:hAnsi="Times New Roman"/>
                <w:b/>
                <w:color w:val="000000"/>
                <w:sz w:val="18"/>
              </w:rPr>
              <w:t>Class of Stock</w:t>
            </w:r>
          </w:p>
        </w:tc>
        <w:tc>
          <w:tcPr>
            <w:tcW w:w="146" w:type="dxa"/>
            <w:tcBorders>
              <w:bottom w:val="single" w:sz="4" w:space="0" w:color="000000"/>
            </w:tcBorders>
            <w:tcMar>
              <w:top w:w="0" w:type="dxa"/>
              <w:left w:w="0" w:type="dxa"/>
              <w:right w:w="0" w:type="dxa"/>
            </w:tcMar>
            <w:vAlign w:val="center"/>
          </w:tcPr>
          <w:p>
            <w:pPr>
              <w:pStyle w:val="TableContents"/>
              <w:bidi w:val="0"/>
              <w:spacing w:before="80" w:after="283"/>
              <w:jc w:val="left"/>
              <w:rPr/>
            </w:pPr>
            <w:r>
              <w:rPr/>
              <w:t> </w:t>
            </w:r>
          </w:p>
        </w:tc>
        <w:tc>
          <w:tcPr>
            <w:tcW w:w="3391" w:type="dxa"/>
            <w:tcBorders>
              <w:bottom w:val="single" w:sz="4" w:space="0" w:color="000000"/>
            </w:tcBorders>
            <w:tcMar>
              <w:top w:w="0" w:type="dxa"/>
              <w:left w:w="0" w:type="dxa"/>
              <w:right w:w="0" w:type="dxa"/>
            </w:tcMar>
            <w:vAlign w:val="center"/>
          </w:tcPr>
          <w:p>
            <w:pPr>
              <w:pStyle w:val="TableContents"/>
              <w:bidi w:val="0"/>
              <w:spacing w:before="80" w:after="283"/>
              <w:jc w:val="left"/>
              <w:rPr>
                <w:rFonts w:ascii="Times New Roman" w:hAnsi="Times New Roman"/>
                <w:b/>
                <w:color w:val="000000"/>
                <w:sz w:val="18"/>
              </w:rPr>
            </w:pPr>
            <w:r>
              <w:rPr>
                <w:rFonts w:ascii="Times New Roman" w:hAnsi="Times New Roman"/>
                <w:b/>
                <w:color w:val="000000"/>
                <w:sz w:val="18"/>
              </w:rPr>
              <w:t>Shares Outstanding as of August 12, 2025</w:t>
            </w:r>
          </w:p>
        </w:tc>
      </w:tr>
      <w:tr>
        <w:trPr/>
        <w:tc>
          <w:tcPr>
            <w:tcW w:w="3826"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color w:val="000000"/>
                <w:sz w:val="18"/>
              </w:rPr>
            </w:pPr>
            <w:r>
              <w:rPr>
                <w:rFonts w:ascii="Times New Roman" w:hAnsi="Times New Roman"/>
                <w:color w:val="000000"/>
                <w:sz w:val="18"/>
              </w:rPr>
              <w:t>Class A common stock, par value $0.0001 per share</w:t>
            </w:r>
          </w:p>
        </w:tc>
        <w:tc>
          <w:tcPr>
            <w:tcW w:w="146" w:type="dxa"/>
            <w:tcBorders/>
            <w:tcMar>
              <w:top w:w="0" w:type="dxa"/>
              <w:left w:w="0" w:type="dxa"/>
              <w:bottom w:w="0" w:type="dxa"/>
              <w:right w:w="0" w:type="dxa"/>
            </w:tcMar>
            <w:vAlign w:val="center"/>
          </w:tcPr>
          <w:p>
            <w:pPr>
              <w:pStyle w:val="TableContents"/>
              <w:bidi w:val="0"/>
              <w:spacing w:before="80" w:after="283"/>
              <w:jc w:val="left"/>
              <w:rPr/>
            </w:pPr>
            <w:r>
              <w:rPr/>
              <w:t> </w:t>
            </w:r>
          </w:p>
        </w:tc>
        <w:tc>
          <w:tcPr>
            <w:tcW w:w="3391" w:type="dxa"/>
            <w:tcBorders/>
            <w:tcMar>
              <w:top w:w="0" w:type="dxa"/>
              <w:left w:w="0" w:type="dxa"/>
              <w:bottom w:w="0" w:type="dxa"/>
              <w:right w:w="0" w:type="dxa"/>
            </w:tcMar>
            <w:vAlign w:val="center"/>
          </w:tcPr>
          <w:p>
            <w:pPr>
              <w:pStyle w:val="TableContents"/>
              <w:bidi w:val="0"/>
              <w:spacing w:before="80" w:after="283"/>
              <w:jc w:val="right"/>
              <w:rPr>
                <w:rFonts w:ascii="Times New Roman" w:hAnsi="Times New Roman"/>
                <w:color w:val="000000"/>
                <w:sz w:val="18"/>
              </w:rPr>
            </w:pPr>
            <w:r>
              <w:rPr>
                <w:rFonts w:ascii="Times New Roman" w:hAnsi="Times New Roman"/>
                <w:color w:val="000000"/>
                <w:sz w:val="18"/>
              </w:rPr>
              <w:t>134,993,530</w:t>
            </w:r>
          </w:p>
        </w:tc>
      </w:tr>
      <w:tr>
        <w:trPr/>
        <w:tc>
          <w:tcPr>
            <w:tcW w:w="3826"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color w:val="000000"/>
                <w:sz w:val="18"/>
              </w:rPr>
            </w:pPr>
            <w:r>
              <w:rPr>
                <w:rFonts w:ascii="Times New Roman" w:hAnsi="Times New Roman"/>
                <w:color w:val="000000"/>
                <w:sz w:val="18"/>
              </w:rPr>
              <w:t>Class B common stock, par value $0.0001 per share</w:t>
            </w:r>
          </w:p>
        </w:tc>
        <w:tc>
          <w:tcPr>
            <w:tcW w:w="146" w:type="dxa"/>
            <w:tcBorders/>
            <w:tcMar>
              <w:top w:w="0" w:type="dxa"/>
              <w:left w:w="0" w:type="dxa"/>
              <w:bottom w:w="0" w:type="dxa"/>
              <w:right w:w="0" w:type="dxa"/>
            </w:tcMar>
            <w:vAlign w:val="center"/>
          </w:tcPr>
          <w:p>
            <w:pPr>
              <w:pStyle w:val="TableContents"/>
              <w:bidi w:val="0"/>
              <w:spacing w:before="80" w:after="283"/>
              <w:jc w:val="left"/>
              <w:rPr/>
            </w:pPr>
            <w:r>
              <w:rPr/>
              <w:t> </w:t>
            </w:r>
          </w:p>
        </w:tc>
        <w:tc>
          <w:tcPr>
            <w:tcW w:w="3391" w:type="dxa"/>
            <w:tcBorders/>
            <w:tcMar>
              <w:top w:w="0" w:type="dxa"/>
              <w:left w:w="0" w:type="dxa"/>
              <w:bottom w:w="0" w:type="dxa"/>
              <w:right w:w="0" w:type="dxa"/>
            </w:tcMar>
            <w:vAlign w:val="center"/>
          </w:tcPr>
          <w:p>
            <w:pPr>
              <w:pStyle w:val="TableContents"/>
              <w:bidi w:val="0"/>
              <w:spacing w:before="80" w:after="283"/>
              <w:jc w:val="right"/>
              <w:rPr>
                <w:rFonts w:ascii="Times New Roman" w:hAnsi="Times New Roman"/>
                <w:color w:val="000000"/>
                <w:sz w:val="18"/>
              </w:rPr>
            </w:pPr>
            <w:r>
              <w:rPr>
                <w:rFonts w:ascii="Times New Roman" w:hAnsi="Times New Roman"/>
                <w:color w:val="000000"/>
                <w:sz w:val="18"/>
              </w:rPr>
              <w:t>159,288,931</w:t>
            </w:r>
          </w:p>
        </w:tc>
      </w:tr>
    </w:tbl>
    <w:p>
      <w:pPr>
        <w:pStyle w:val="TextBody"/>
        <w:pBdr>
          <w:bottom w:val="double" w:sz="6" w:space="1" w:color="000000"/>
        </w:pBdr>
        <w:bidi w:val="0"/>
        <w:jc w:val="left"/>
        <w:rPr>
          <w:rFonts w:ascii="Times New Roman" w:hAnsi="Times New Roman"/>
          <w:color w:val="000000"/>
          <w:sz w:val="4"/>
        </w:rPr>
      </w:pPr>
      <w:r>
        <w:rPr>
          <w:rFonts w:ascii="Times New Roman" w:hAnsi="Times New Roman"/>
          <w:color w:val="000000"/>
          <w:sz w:val="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65"/>
        <w:gridCol w:w="8691"/>
        <w:gridCol w:w="649"/>
      </w:tblGrid>
      <w:tr>
        <w:trPr/>
        <w:tc>
          <w:tcPr>
            <w:tcW w:w="865" w:type="dxa"/>
            <w:tcBorders/>
            <w:vAlign w:val="center"/>
          </w:tcPr>
          <w:p>
            <w:pPr>
              <w:pStyle w:val="TableContents"/>
              <w:bidi w:val="0"/>
              <w:spacing w:before="0" w:after="283"/>
              <w:jc w:val="left"/>
              <w:rPr>
                <w:sz w:val="4"/>
                <w:szCs w:val="4"/>
              </w:rPr>
            </w:pPr>
            <w:r>
              <w:rPr>
                <w:sz w:val="4"/>
                <w:szCs w:val="4"/>
              </w:rPr>
            </w:r>
          </w:p>
        </w:tc>
        <w:tc>
          <w:tcPr>
            <w:tcW w:w="869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69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649"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firstLine="137"/>
              <w:jc w:val="left"/>
              <w:rPr>
                <w:rFonts w:ascii="Times New Roman" w:hAnsi="Times New Roman"/>
                <w:b/>
                <w:color w:val="000000"/>
                <w:sz w:val="16"/>
              </w:rPr>
            </w:pPr>
            <w:r>
              <w:rPr>
                <w:rFonts w:ascii="Times New Roman" w:hAnsi="Times New Roman"/>
                <w:b/>
                <w:color w:val="000000"/>
                <w:sz w:val="16"/>
              </w:rPr>
              <w:t>Page</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 (Unaudited)</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1">
              <w:r>
                <w:rPr>
                  <w:rStyle w:val="InternetLink"/>
                  <w:rFonts w:ascii="Times New Roman" w:hAnsi="Times New Roman"/>
                  <w:color w:val="0000FF"/>
                  <w:sz w:val="20"/>
                  <w:u w:val="single"/>
                </w:rPr>
                <w:t>Financial Statements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Times New Roman" w:hAnsi="Times New Roman"/>
                  <w:color w:val="0000FF"/>
                  <w:sz w:val="20"/>
                  <w:u w:val="single"/>
                </w:rPr>
                <w:t>Condensed Consolidated Balance Sheets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operations">
              <w:r>
                <w:rPr>
                  <w:rStyle w:val="InternetLink"/>
                  <w:rFonts w:ascii="Times New Roman" w:hAnsi="Times New Roman"/>
                  <w:color w:val="0000FF"/>
                  <w:sz w:val="20"/>
                  <w:u w:val="single"/>
                </w:rPr>
                <w:t>Condensed Consolidated Statements of Operations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comp_loss">
              <w:r>
                <w:rPr>
                  <w:rStyle w:val="InternetLink"/>
                  <w:rFonts w:ascii="Times New Roman" w:hAnsi="Times New Roman"/>
                  <w:color w:val="0000FF"/>
                  <w:sz w:val="20"/>
                  <w:u w:val="single"/>
                </w:rPr>
                <w:t>Condensed Consolidated Statements of Comprehensive Loss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ockholders_deficit">
              <w:r>
                <w:rPr>
                  <w:rStyle w:val="InternetLink"/>
                  <w:rFonts w:ascii="Times New Roman" w:hAnsi="Times New Roman"/>
                  <w:color w:val="0000FF"/>
                  <w:sz w:val="20"/>
                  <w:u w:val="single"/>
                </w:rPr>
                <w:t>Condensed Consolidated Statements of Changes in Redeemable Noncontrolling Interest and Stockholders’ Deficit</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sh_flows">
              <w:r>
                <w:rPr>
                  <w:rStyle w:val="InternetLink"/>
                  <w:rFonts w:ascii="Times New Roman" w:hAnsi="Times New Roman"/>
                  <w:color w:val="0000FF"/>
                  <w:sz w:val="20"/>
                  <w:u w:val="single"/>
                </w:rPr>
                <w:t>Condensed Consolidated Statements of Cash Flows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unaudited_condensed">
              <w:r>
                <w:rPr>
                  <w:rStyle w:val="InternetLink"/>
                  <w:rFonts w:ascii="Times New Roman" w:hAnsi="Times New Roman"/>
                  <w:color w:val="0000FF"/>
                  <w:sz w:val="20"/>
                  <w:u w:val="single"/>
                </w:rPr>
                <w:t>Notes to Unaudited Condensed Consolidated Financial Statements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2">
              <w:r>
                <w:rPr>
                  <w:rStyle w:val="InternetLink"/>
                  <w:rFonts w:ascii="Times New Roman" w:hAnsi="Times New Roman"/>
                  <w:color w:val="0000FF"/>
                  <w:sz w:val="20"/>
                  <w:u w:val="single"/>
                </w:rPr>
                <w:t>Management’s Discussion and Analysis of Financial Condition and Results of Operations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3">
              <w:r>
                <w:rPr>
                  <w:rStyle w:val="InternetLink"/>
                  <w:rFonts w:ascii="Times New Roman" w:hAnsi="Times New Roman"/>
                  <w:color w:val="0000FF"/>
                  <w:sz w:val="20"/>
                  <w:u w:val="single"/>
                </w:rPr>
                <w:t>Quantitative and Qualitative Disclosures About Market Risk</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4">
              <w:r>
                <w:rPr>
                  <w:rStyle w:val="InternetLink"/>
                  <w:rFonts w:ascii="Times New Roman" w:hAnsi="Times New Roman"/>
                  <w:color w:val="0000FF"/>
                  <w:sz w:val="20"/>
                  <w:u w:val="single"/>
                </w:rPr>
                <w:t>Controls and Procedures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1">
              <w:r>
                <w:rPr>
                  <w:rStyle w:val="InternetLink"/>
                  <w:rFonts w:ascii="Times New Roman" w:hAnsi="Times New Roman"/>
                  <w:color w:val="0000FF"/>
                  <w:sz w:val="20"/>
                  <w:u w:val="single"/>
                </w:rPr>
                <w:t>Legal Proceedings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1a">
              <w:r>
                <w:rPr>
                  <w:rStyle w:val="InternetLink"/>
                  <w:rFonts w:ascii="Times New Roman" w:hAnsi="Times New Roman"/>
                  <w:color w:val="0000FF"/>
                  <w:sz w:val="20"/>
                  <w:u w:val="single"/>
                </w:rPr>
                <w:t>Risk Factors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2">
              <w:r>
                <w:rPr>
                  <w:rStyle w:val="InternetLink"/>
                  <w:rFonts w:ascii="Times New Roman" w:hAnsi="Times New Roman"/>
                  <w:color w:val="0000FF"/>
                  <w:sz w:val="20"/>
                  <w:u w:val="single"/>
                </w:rPr>
                <w:t>Unregistered Sales of Equity Securities and Use of Proceeds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3">
              <w:r>
                <w:rPr>
                  <w:rStyle w:val="InternetLink"/>
                  <w:rFonts w:ascii="Times New Roman" w:hAnsi="Times New Roman"/>
                  <w:color w:val="0000FF"/>
                  <w:sz w:val="20"/>
                  <w:u w:val="single"/>
                </w:rPr>
                <w:t>Defaults Upon Senior Securities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4">
              <w:r>
                <w:rPr>
                  <w:rStyle w:val="InternetLink"/>
                  <w:rFonts w:ascii="Times New Roman" w:hAnsi="Times New Roman"/>
                  <w:color w:val="0000FF"/>
                  <w:sz w:val="20"/>
                  <w:u w:val="single"/>
                </w:rPr>
                <w:t>Mine Safety Disclosures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5">
              <w:r>
                <w:rPr>
                  <w:rStyle w:val="InternetLink"/>
                  <w:rFonts w:ascii="Times New Roman" w:hAnsi="Times New Roman"/>
                  <w:color w:val="0000FF"/>
                  <w:sz w:val="20"/>
                  <w:u w:val="single"/>
                </w:rPr>
                <w:t>Other Information</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6">
              <w:r>
                <w:rPr>
                  <w:rStyle w:val="InternetLink"/>
                  <w:rFonts w:ascii="Times New Roman" w:hAnsi="Times New Roman"/>
                  <w:color w:val="0000FF"/>
                  <w:sz w:val="20"/>
                  <w:u w:val="single"/>
                </w:rPr>
                <w:t>Exhibits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95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I—FINANCIAL INFORMATION</w:t>
      </w:r>
    </w:p>
    <w:p>
      <w:pPr>
        <w:pStyle w:val="TextBody"/>
        <w:bidi w:val="0"/>
        <w:spacing w:before="360" w:after="283"/>
        <w:jc w:val="left"/>
        <w:rPr>
          <w:rFonts w:ascii="Times New Roman" w:hAnsi="Times New Roman"/>
          <w:b/>
          <w:color w:val="000000"/>
          <w:sz w:val="20"/>
        </w:rPr>
      </w:pPr>
      <w:bookmarkStart w:id="3" w:name="i_item1"/>
      <w:bookmarkEnd w:id="3"/>
      <w:r>
        <w:rPr>
          <w:rFonts w:ascii="Times New Roman" w:hAnsi="Times New Roman"/>
          <w:b/>
          <w:color w:val="000000"/>
          <w:sz w:val="20"/>
        </w:rPr>
        <w:t>Item 1. Condensed Consolidated Financial Statements.</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ProKidney Corp.</w:t>
      </w:r>
    </w:p>
    <w:p>
      <w:pPr>
        <w:pStyle w:val="TextBody"/>
        <w:bidi w:val="0"/>
        <w:jc w:val="center"/>
        <w:rPr>
          <w:rFonts w:ascii="Times New Roman" w:hAnsi="Times New Roman"/>
          <w:b/>
          <w:color w:val="000000"/>
          <w:sz w:val="20"/>
        </w:rPr>
      </w:pPr>
      <w:bookmarkStart w:id="4" w:name="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left"/>
        <w:rPr/>
      </w:pPr>
      <w:r>
        <w:rPr/>
        <w:t> </w:t>
      </w:r>
    </w:p>
    <w:tbl>
      <w:tblPr>
        <w:tblW w:w="9534" w:type="dxa"/>
        <w:jc w:val="left"/>
        <w:tblInd w:w="0" w:type="dxa"/>
        <w:tblLayout w:type="fixed"/>
        <w:tblCellMar>
          <w:top w:w="28" w:type="dxa"/>
          <w:left w:w="28" w:type="dxa"/>
          <w:bottom w:w="28" w:type="dxa"/>
          <w:right w:w="28" w:type="dxa"/>
        </w:tblCellMar>
      </w:tblPr>
      <w:tblGrid>
        <w:gridCol w:w="5351"/>
        <w:gridCol w:w="223"/>
        <w:gridCol w:w="1052"/>
        <w:gridCol w:w="246"/>
        <w:gridCol w:w="246"/>
        <w:gridCol w:w="302"/>
        <w:gridCol w:w="1423"/>
        <w:gridCol w:w="691"/>
      </w:tblGrid>
      <w:tr>
        <w:trPr/>
        <w:tc>
          <w:tcPr>
            <w:tcW w:w="535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535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5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both"/>
              <w:rPr/>
            </w:pPr>
            <w:r>
              <w:rPr/>
              <w:t> </w:t>
            </w:r>
          </w:p>
        </w:tc>
      </w:tr>
      <w:tr>
        <w:trPr/>
        <w:tc>
          <w:tcPr>
            <w:tcW w:w="5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84,940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99,120</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209,788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259,172</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receivable</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assets</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4,192</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clinical</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11,505</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Assets held for sale</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19,368</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535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current assets</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324,440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395,884</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535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 assets, net</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43,525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42,222</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of use assets, net</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2,967</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535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assets</w:t>
            </w:r>
          </w:p>
        </w:tc>
        <w:tc>
          <w:tcPr>
            <w:tcW w:w="22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372,133</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441,073</w:t>
            </w:r>
          </w:p>
        </w:tc>
        <w:tc>
          <w:tcPr>
            <w:tcW w:w="69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Deficit</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3,633</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liabilities</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24,916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31,137</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taxes payable</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535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current liabilities</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28,262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36,217</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payable, net of current portion</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net of current portion</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2,471</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535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liabilities</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32,680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39,436</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Redeemable noncontrolling interest</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1,341,953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1,396,591</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deficit</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3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xml:space="preserve">Class A common stock, $0.0001 par value; 500,000,000 shares </w:t>
              <w:br/>
              <w:t xml:space="preserve">   authorized; 133,418,957 and 128,054,417 shares issued and </w:t>
              <w:br/>
              <w:t xml:space="preserve">   outstanding as of June 30, 2025 and December 31, 2024, </w:t>
              <w:br/>
              <w:t>   respectively</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3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Class B common stock, $0.0001 par value; 500,000,000 shares</w:t>
              <w:br/>
              <w:t>   authorized; 159,288,931 and 163,693,707 shares issued and</w:t>
              <w:br/>
              <w:t xml:space="preserve">   outstanding as of June 30, 2025 and December 31, 2024, </w:t>
              <w:br/>
              <w:t>   respectively</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3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Additional paid-in capital</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231,576</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205,736</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3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other comprehensive gain</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3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deficit</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(1,234,135</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(1,200,849</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deficit</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(1,002,500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(994,954</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 and stockholders' deficit</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372,133</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441,073</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ProKidney Corp.</w:t>
      </w:r>
    </w:p>
    <w:p>
      <w:pPr>
        <w:pStyle w:val="TextBody"/>
        <w:bidi w:val="0"/>
        <w:jc w:val="center"/>
        <w:rPr>
          <w:rFonts w:ascii="Times New Roman" w:hAnsi="Times New Roman"/>
          <w:sz w:val="20"/>
        </w:rPr>
      </w:pPr>
      <w:bookmarkStart w:id="5" w:name="consolidated_statements_of_operations"/>
      <w:bookmarkEnd w:id="5"/>
      <w:r>
        <w:rPr>
          <w:rFonts w:ascii="Times New Roman" w:hAnsi="Times New Roman"/>
          <w:b/>
          <w:color w:val="000000"/>
          <w:sz w:val="20"/>
        </w:rPr>
        <w:t>Condensed Consolidated Statements of Operations</w:t>
      </w:r>
      <w:r>
        <w:rPr>
          <w:rFonts w:ascii="Times New Roman" w:hAnsi="Times New Roman"/>
          <w:color w:val="000000"/>
          <w:sz w:val="20"/>
        </w:rPr>
        <w:t xml:space="preserve"> </w:t>
      </w:r>
      <w:r>
        <w:rPr>
          <w:rFonts w:ascii="Times New Roman" w:hAnsi="Times New Roman"/>
          <w:b/>
          <w:color w:val="000000"/>
          <w:sz w:val="20"/>
        </w:rPr>
        <w:t>-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for share and per share data)</w:t>
      </w:r>
    </w:p>
    <w:p>
      <w:pPr>
        <w:pStyle w:val="TextBody"/>
        <w:bidi w:val="0"/>
        <w:jc w:val="left"/>
        <w:rPr/>
      </w:pPr>
      <w:r>
        <w:rPr/>
        <w:t> </w:t>
      </w:r>
    </w:p>
    <w:tbl>
      <w:tblPr>
        <w:tblW w:w="10942" w:type="dxa"/>
        <w:jc w:val="left"/>
        <w:tblInd w:w="0" w:type="dxa"/>
        <w:tblLayout w:type="fixed"/>
        <w:tblCellMar>
          <w:top w:w="28" w:type="dxa"/>
          <w:left w:w="28" w:type="dxa"/>
          <w:bottom w:w="28" w:type="dxa"/>
          <w:right w:w="28" w:type="dxa"/>
        </w:tblCellMar>
      </w:tblPr>
      <w:tblGrid>
        <w:gridCol w:w="1551"/>
        <w:gridCol w:w="646"/>
        <w:gridCol w:w="211"/>
        <w:gridCol w:w="1141"/>
        <w:gridCol w:w="666"/>
        <w:gridCol w:w="646"/>
        <w:gridCol w:w="211"/>
        <w:gridCol w:w="1036"/>
        <w:gridCol w:w="166"/>
        <w:gridCol w:w="146"/>
        <w:gridCol w:w="211"/>
        <w:gridCol w:w="1141"/>
        <w:gridCol w:w="666"/>
        <w:gridCol w:w="646"/>
        <w:gridCol w:w="211"/>
        <w:gridCol w:w="1036"/>
        <w:gridCol w:w="611"/>
      </w:tblGrid>
      <w:tr>
        <w:trPr/>
        <w:tc>
          <w:tcPr>
            <w:tcW w:w="155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91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25,882</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53,145</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56,637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14,048</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28,403</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26,495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39,930</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81,548</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83,132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(39,709</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(81,097</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(83,132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3,593</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7,620</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Net loss before income taxes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(36,117</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(73,478</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(73,757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before noncontrolling</w:t>
              <w:br/>
              <w:t>   interest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(36,965</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(74,917</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(73,799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noncontrolling interest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(20,413</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(41,631</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(51,801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available to Class A common stockholders</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(16,552</w:t>
            </w:r>
          </w:p>
        </w:tc>
        <w:tc>
          <w:tcPr>
            <w:tcW w:w="6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(33,286</w:t>
            </w:r>
          </w:p>
        </w:tc>
        <w:tc>
          <w:tcPr>
            <w:tcW w:w="6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of Class A common stock outstanding:</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and diluted</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130,730,840</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75,908,017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129,858,450</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68,429,869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Class A common stock:</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both"/>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and diluted</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6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6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ProKidney Corp.</w:t>
      </w:r>
    </w:p>
    <w:p>
      <w:pPr>
        <w:pStyle w:val="TextBody"/>
        <w:bidi w:val="0"/>
        <w:jc w:val="center"/>
        <w:rPr>
          <w:rFonts w:ascii="Times New Roman" w:hAnsi="Times New Roman"/>
          <w:b/>
          <w:color w:val="000000"/>
          <w:sz w:val="20"/>
        </w:rPr>
      </w:pPr>
      <w:bookmarkStart w:id="6" w:name="consolidated_statements_of_comp_loss"/>
      <w:bookmarkEnd w:id="6"/>
      <w:r>
        <w:rPr>
          <w:rFonts w:ascii="Times New Roman" w:hAnsi="Times New Roman"/>
          <w:b/>
          <w:color w:val="000000"/>
          <w:sz w:val="20"/>
        </w:rPr>
        <w:t>Condensed Consolidated Statements of Comprehensive Loss -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for share and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915"/>
        <w:gridCol w:w="346"/>
        <w:gridCol w:w="211"/>
        <w:gridCol w:w="738"/>
        <w:gridCol w:w="367"/>
        <w:gridCol w:w="347"/>
        <w:gridCol w:w="211"/>
        <w:gridCol w:w="738"/>
        <w:gridCol w:w="166"/>
        <w:gridCol w:w="146"/>
        <w:gridCol w:w="211"/>
        <w:gridCol w:w="736"/>
        <w:gridCol w:w="366"/>
        <w:gridCol w:w="346"/>
        <w:gridCol w:w="211"/>
        <w:gridCol w:w="736"/>
        <w:gridCol w:w="414"/>
      </w:tblGrid>
      <w:tr>
        <w:trPr/>
        <w:tc>
          <w:tcPr>
            <w:tcW w:w="391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39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1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including noncontrolling interest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(36,965</w:t>
            </w:r>
          </w:p>
        </w:tc>
        <w:tc>
          <w:tcPr>
            <w:tcW w:w="3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(74,917</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(73,799</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9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Unrealized income (loss) on marketable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comprehensive loss including noncontrolling interest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(37,065</w:t>
            </w:r>
          </w:p>
        </w:tc>
        <w:tc>
          <w:tcPr>
            <w:tcW w:w="3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(75,141</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(74,314</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Total comprehensive loss attributable to noncontrolling interest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(20,468</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(41,755</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(52,180</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comprehensive loss attributable to Class A common stockholders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(16,597</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(33,386</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(22,134</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7" w:name="stockholders_deficit"/>
      <w:bookmarkEnd w:id="7"/>
      <w:r>
        <w:rPr>
          <w:rFonts w:ascii="Times New Roman" w:hAnsi="Times New Roman"/>
          <w:b/>
          <w:color w:val="000000"/>
          <w:sz w:val="20"/>
        </w:rPr>
        <w:t>ProKidney Corp.</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Changes in Redeemable Noncontrolling Interest and Stockholders’ Deficit -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for share and per share data)</w:t>
      </w:r>
    </w:p>
    <w:p>
      <w:pPr>
        <w:pStyle w:val="TextBody"/>
        <w:bidi w:val="0"/>
        <w:jc w:val="center"/>
        <w:rPr/>
      </w:pPr>
      <w:r>
        <w:rPr/>
        <w:t> </w:t>
      </w:r>
    </w:p>
    <w:tbl>
      <w:tblPr>
        <w:tblW w:w="15411" w:type="dxa"/>
        <w:jc w:val="left"/>
        <w:tblInd w:w="0" w:type="dxa"/>
        <w:tblLayout w:type="fixed"/>
        <w:tblCellMar>
          <w:top w:w="28" w:type="dxa"/>
          <w:left w:w="28" w:type="dxa"/>
          <w:bottom w:w="28" w:type="dxa"/>
          <w:right w:w="28" w:type="dxa"/>
        </w:tblCellMar>
      </w:tblPr>
      <w:tblGrid>
        <w:gridCol w:w="1451"/>
        <w:gridCol w:w="246"/>
        <w:gridCol w:w="257"/>
        <w:gridCol w:w="1139"/>
        <w:gridCol w:w="266"/>
        <w:gridCol w:w="246"/>
        <w:gridCol w:w="246"/>
        <w:gridCol w:w="146"/>
        <w:gridCol w:w="1141"/>
        <w:gridCol w:w="146"/>
        <w:gridCol w:w="146"/>
        <w:gridCol w:w="312"/>
        <w:gridCol w:w="469"/>
        <w:gridCol w:w="146"/>
        <w:gridCol w:w="146"/>
        <w:gridCol w:w="146"/>
        <w:gridCol w:w="1141"/>
        <w:gridCol w:w="166"/>
        <w:gridCol w:w="146"/>
        <w:gridCol w:w="312"/>
        <w:gridCol w:w="469"/>
        <w:gridCol w:w="146"/>
        <w:gridCol w:w="146"/>
        <w:gridCol w:w="213"/>
        <w:gridCol w:w="793"/>
        <w:gridCol w:w="146"/>
        <w:gridCol w:w="146"/>
        <w:gridCol w:w="512"/>
        <w:gridCol w:w="914"/>
        <w:gridCol w:w="166"/>
        <w:gridCol w:w="146"/>
        <w:gridCol w:w="213"/>
        <w:gridCol w:w="1003"/>
        <w:gridCol w:w="166"/>
        <w:gridCol w:w="146"/>
        <w:gridCol w:w="221"/>
        <w:gridCol w:w="1040"/>
        <w:gridCol w:w="411"/>
      </w:tblGrid>
      <w:tr>
        <w:trPr/>
        <w:tc>
          <w:tcPr>
            <w:tcW w:w="145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03" w:type="dxa"/>
            <w:gridSpan w:val="3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 Ended June 30,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A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B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Redeemable Noncontrolling Interest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 Paid-in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 Other Comprehensive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Stockholders' Deficit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April 1, 2025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1,368,530</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129,536,121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163,161,681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218,926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(1,217,583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(998,553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Equity-based compensation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Vesting of Class B restricted stock rights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Exchange of Class B common stock for Class A common stock</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3,882,836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(3,882,836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Impact of equity transactions on redeemable noncontrolling interest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(3,997</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Unrealized income on marketable securities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(20,413</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1,341,953</w:t>
            </w:r>
          </w:p>
        </w:tc>
        <w:tc>
          <w:tcPr>
            <w:tcW w:w="2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133,418,957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159,288,931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231,576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(1,234,135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(1,002,500</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ProKidney Corp.</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Changes in Redeemable Noncontrolling Interest and Stockholders’ Deficit -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for share and per share data)</w:t>
      </w:r>
    </w:p>
    <w:p>
      <w:pPr>
        <w:pStyle w:val="TextBody"/>
        <w:bidi w:val="0"/>
        <w:jc w:val="center"/>
        <w:rPr/>
      </w:pPr>
      <w:r>
        <w:rPr/>
        <w:t> </w:t>
      </w:r>
    </w:p>
    <w:tbl>
      <w:tblPr>
        <w:tblW w:w="15151" w:type="dxa"/>
        <w:jc w:val="left"/>
        <w:tblInd w:w="0" w:type="dxa"/>
        <w:tblLayout w:type="fixed"/>
        <w:tblCellMar>
          <w:top w:w="28" w:type="dxa"/>
          <w:left w:w="28" w:type="dxa"/>
          <w:bottom w:w="28" w:type="dxa"/>
          <w:right w:w="28" w:type="dxa"/>
        </w:tblCellMar>
      </w:tblPr>
      <w:tblGrid>
        <w:gridCol w:w="1451"/>
        <w:gridCol w:w="246"/>
        <w:gridCol w:w="257"/>
        <w:gridCol w:w="1139"/>
        <w:gridCol w:w="166"/>
        <w:gridCol w:w="146"/>
        <w:gridCol w:w="146"/>
        <w:gridCol w:w="146"/>
        <w:gridCol w:w="1141"/>
        <w:gridCol w:w="146"/>
        <w:gridCol w:w="146"/>
        <w:gridCol w:w="312"/>
        <w:gridCol w:w="469"/>
        <w:gridCol w:w="146"/>
        <w:gridCol w:w="146"/>
        <w:gridCol w:w="146"/>
        <w:gridCol w:w="1141"/>
        <w:gridCol w:w="166"/>
        <w:gridCol w:w="146"/>
        <w:gridCol w:w="312"/>
        <w:gridCol w:w="469"/>
        <w:gridCol w:w="166"/>
        <w:gridCol w:w="146"/>
        <w:gridCol w:w="213"/>
        <w:gridCol w:w="793"/>
        <w:gridCol w:w="166"/>
        <w:gridCol w:w="146"/>
        <w:gridCol w:w="512"/>
        <w:gridCol w:w="914"/>
        <w:gridCol w:w="166"/>
        <w:gridCol w:w="146"/>
        <w:gridCol w:w="213"/>
        <w:gridCol w:w="1003"/>
        <w:gridCol w:w="166"/>
        <w:gridCol w:w="146"/>
        <w:gridCol w:w="221"/>
        <w:gridCol w:w="1040"/>
        <w:gridCol w:w="411"/>
      </w:tblGrid>
      <w:tr>
        <w:trPr/>
        <w:tc>
          <w:tcPr>
            <w:tcW w:w="145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9"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 Ended June 30,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A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B 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Redeemable Noncontrolling 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 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 Other Comprehensive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Stockholders' Deficit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April 1, 2024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1,459,097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61,621,330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167,723,553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(1,096,062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Equity-based compensation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Issuance of Class A common stock</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60,218,926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139,855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Vesting of Class B restricted stock rights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Exchange of Class B common stock for Class A common stock</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4,016,340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(4,016,340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 of stock options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Impact of equity transactions on redeemable noncontrolling interest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(22,745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Unrealized loss on marketable securities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1,444,737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125,856,877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163,817,953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189,267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(1,161,661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(972,371</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ProKidney Corp.</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Changes in Redeemable Noncontrolling Interest and Stockholders’ Deficit -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for share and per share data)</w:t>
      </w:r>
    </w:p>
    <w:p>
      <w:pPr>
        <w:pStyle w:val="TextBody"/>
        <w:bidi w:val="0"/>
        <w:jc w:val="left"/>
        <w:rPr/>
      </w:pPr>
      <w:r>
        <w:rPr/>
        <w:t> </w:t>
      </w:r>
    </w:p>
    <w:tbl>
      <w:tblPr>
        <w:tblW w:w="14061" w:type="dxa"/>
        <w:jc w:val="left"/>
        <w:tblInd w:w="0" w:type="dxa"/>
        <w:tblLayout w:type="fixed"/>
        <w:tblCellMar>
          <w:top w:w="28" w:type="dxa"/>
          <w:left w:w="28" w:type="dxa"/>
          <w:bottom w:w="28" w:type="dxa"/>
          <w:right w:w="28" w:type="dxa"/>
        </w:tblCellMar>
      </w:tblPr>
      <w:tblGrid>
        <w:gridCol w:w="1256"/>
        <w:gridCol w:w="246"/>
        <w:gridCol w:w="241"/>
        <w:gridCol w:w="1020"/>
        <w:gridCol w:w="166"/>
        <w:gridCol w:w="146"/>
        <w:gridCol w:w="146"/>
        <w:gridCol w:w="146"/>
        <w:gridCol w:w="1006"/>
        <w:gridCol w:w="146"/>
        <w:gridCol w:w="146"/>
        <w:gridCol w:w="305"/>
        <w:gridCol w:w="446"/>
        <w:gridCol w:w="146"/>
        <w:gridCol w:w="146"/>
        <w:gridCol w:w="146"/>
        <w:gridCol w:w="1006"/>
        <w:gridCol w:w="166"/>
        <w:gridCol w:w="146"/>
        <w:gridCol w:w="305"/>
        <w:gridCol w:w="446"/>
        <w:gridCol w:w="146"/>
        <w:gridCol w:w="146"/>
        <w:gridCol w:w="205"/>
        <w:gridCol w:w="726"/>
        <w:gridCol w:w="146"/>
        <w:gridCol w:w="146"/>
        <w:gridCol w:w="405"/>
        <w:gridCol w:w="901"/>
        <w:gridCol w:w="166"/>
        <w:gridCol w:w="146"/>
        <w:gridCol w:w="203"/>
        <w:gridCol w:w="923"/>
        <w:gridCol w:w="166"/>
        <w:gridCol w:w="146"/>
        <w:gridCol w:w="209"/>
        <w:gridCol w:w="947"/>
        <w:gridCol w:w="411"/>
      </w:tblGrid>
      <w:tr>
        <w:trPr/>
        <w:tc>
          <w:tcPr>
            <w:tcW w:w="125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8" w:type="dxa"/>
            <w:gridSpan w:val="3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Six Months Ended June 30,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Class A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Class B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Redeemable Noncontrolling 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 Paid-in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Other Comprehensive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Stockholders' Deficit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Balance as of January 1, 2025</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1,396,591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128,054,417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163,693,707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205,736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(1,200,849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(994,954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Equity-based compensation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11,418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Vesting of Class B restricted stock rights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959,764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Exchange of Class B common stock for Class A common stock</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5,364,540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(5,364,540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Impact of equity transactions on redeemable noncontrolling interest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9,170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Unrealized loss on marketable securities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loss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(33,286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June 30, 2025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1,341,953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00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133,418,957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00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159,288,931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231,576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(1,234,135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(1,002,500</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ProKidney Corp.</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Changes in Redeemable Noncontrolling Interest and Stockholders’ Deficit -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for share and per share data)</w:t>
      </w:r>
    </w:p>
    <w:p>
      <w:pPr>
        <w:pStyle w:val="TextBody"/>
        <w:bidi w:val="0"/>
        <w:jc w:val="center"/>
        <w:rPr/>
      </w:pPr>
      <w:r>
        <w:rPr/>
        <w:t> </w:t>
      </w:r>
    </w:p>
    <w:tbl>
      <w:tblPr>
        <w:tblW w:w="14101" w:type="dxa"/>
        <w:jc w:val="left"/>
        <w:tblInd w:w="0" w:type="dxa"/>
        <w:tblLayout w:type="fixed"/>
        <w:tblCellMar>
          <w:top w:w="28" w:type="dxa"/>
          <w:left w:w="28" w:type="dxa"/>
          <w:bottom w:w="28" w:type="dxa"/>
          <w:right w:w="28" w:type="dxa"/>
        </w:tblCellMar>
      </w:tblPr>
      <w:tblGrid>
        <w:gridCol w:w="1256"/>
        <w:gridCol w:w="246"/>
        <w:gridCol w:w="241"/>
        <w:gridCol w:w="1020"/>
        <w:gridCol w:w="166"/>
        <w:gridCol w:w="146"/>
        <w:gridCol w:w="146"/>
        <w:gridCol w:w="146"/>
        <w:gridCol w:w="1006"/>
        <w:gridCol w:w="146"/>
        <w:gridCol w:w="146"/>
        <w:gridCol w:w="305"/>
        <w:gridCol w:w="446"/>
        <w:gridCol w:w="146"/>
        <w:gridCol w:w="146"/>
        <w:gridCol w:w="146"/>
        <w:gridCol w:w="1006"/>
        <w:gridCol w:w="166"/>
        <w:gridCol w:w="146"/>
        <w:gridCol w:w="305"/>
        <w:gridCol w:w="446"/>
        <w:gridCol w:w="166"/>
        <w:gridCol w:w="146"/>
        <w:gridCol w:w="205"/>
        <w:gridCol w:w="726"/>
        <w:gridCol w:w="166"/>
        <w:gridCol w:w="146"/>
        <w:gridCol w:w="405"/>
        <w:gridCol w:w="901"/>
        <w:gridCol w:w="166"/>
        <w:gridCol w:w="146"/>
        <w:gridCol w:w="203"/>
        <w:gridCol w:w="923"/>
        <w:gridCol w:w="166"/>
        <w:gridCol w:w="146"/>
        <w:gridCol w:w="209"/>
        <w:gridCol w:w="947"/>
        <w:gridCol w:w="411"/>
      </w:tblGrid>
      <w:tr>
        <w:trPr/>
        <w:tc>
          <w:tcPr>
            <w:tcW w:w="125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88" w:type="dxa"/>
            <w:gridSpan w:val="3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Six Months Ended June 30,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Class A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Class B Common Stock</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Redeemable Noncontrolling 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 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Other Comprehensive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Stockholders' Deficit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January 1, 2024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1,494,732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59,880,347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168,297,916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(1,139,663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(1,103,396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Equity-based compensation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12,475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Issuance of Class A common stock</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60,218,926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139,849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139,855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Vesting of Class B restricted stock rights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1,277,360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Exchange of Class B common stock for Class A common stock</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5,757,323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(5,757,323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14,902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Exercise of stock options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Impact of equity transactions on redeemable noncontrolling interest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(14,073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Unrealized loss on marketable securities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loss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(51,801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(21,998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June 30, 2024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1,444,737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125,856,877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163,817,953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189,267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(1,161,661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(972,371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ProKidney Corp.</w:t>
      </w:r>
    </w:p>
    <w:p>
      <w:pPr>
        <w:pStyle w:val="TextBody"/>
        <w:bidi w:val="0"/>
        <w:jc w:val="center"/>
        <w:rPr>
          <w:rFonts w:ascii="Times New Roman" w:hAnsi="Times New Roman"/>
          <w:sz w:val="20"/>
        </w:rPr>
      </w:pPr>
      <w:bookmarkStart w:id="8" w:name="cash_flows"/>
      <w:bookmarkEnd w:id="8"/>
      <w:r>
        <w:rPr>
          <w:rFonts w:ascii="Times New Roman" w:hAnsi="Times New Roman"/>
          <w:b/>
          <w:color w:val="000000"/>
          <w:sz w:val="20"/>
        </w:rPr>
        <w:t>Condensed Consolidated Statements of Cash Flows</w:t>
      </w:r>
      <w:r>
        <w:rPr>
          <w:rFonts w:ascii="Times New Roman" w:hAnsi="Times New Roman"/>
          <w:color w:val="000000"/>
          <w:sz w:val="20"/>
        </w:rPr>
        <w:t xml:space="preserve"> – </w:t>
      </w: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72"/>
        <w:gridCol w:w="146"/>
        <w:gridCol w:w="218"/>
        <w:gridCol w:w="808"/>
        <w:gridCol w:w="171"/>
        <w:gridCol w:w="150"/>
        <w:gridCol w:w="218"/>
        <w:gridCol w:w="808"/>
        <w:gridCol w:w="814"/>
      </w:tblGrid>
      <w:tr>
        <w:trPr/>
        <w:tc>
          <w:tcPr>
            <w:tcW w:w="68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37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0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before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(74,917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(73,799</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Adjustments to reconcile net loss before noncontrolling interest to net cash flows used </w:t>
              <w:br/>
              <w:t>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2,372</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Equity-based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12,957</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15,489</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Gain on marketable 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(3,802</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lease disposition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disposal of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Interest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Prepaid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7,202</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(6,162</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(5,838</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Income taxes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(61,008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(72,939</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(98,138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(82,880</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maturities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149,239</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171,445</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equipment and facility expansion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(4,247</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46,854</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86,969</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sales of Class A common stock, net of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139,855</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on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(used in)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0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0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139,829</w:t>
            </w:r>
          </w:p>
        </w:tc>
        <w:tc>
          <w:tcPr>
            <w:tcW w:w="81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153,859</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99,120</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60,649</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84,940</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214,508</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 of 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 of use assets obtained in exchange for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2,005</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2,621</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Exchange of Class B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5,253</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14,902</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Impact of equity transactions and compensation on redeemable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7,756</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16,708</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Equipment and facility expansion included in accounts payable and</w:t>
              <w:br/>
              <w:t>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40" w:after="283"/>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ProKidney Corp.</w:t>
      </w:r>
    </w:p>
    <w:p>
      <w:pPr>
        <w:pStyle w:val="TextBody"/>
        <w:bidi w:val="0"/>
        <w:jc w:val="center"/>
        <w:rPr>
          <w:rFonts w:ascii="Times New Roman" w:hAnsi="Times New Roman"/>
          <w:sz w:val="20"/>
        </w:rPr>
      </w:pPr>
      <w:bookmarkStart w:id="9" w:name="notes_to_unaudited_condensed"/>
      <w:bookmarkEnd w:id="9"/>
      <w:r>
        <w:rPr>
          <w:rFonts w:ascii="Times New Roman" w:hAnsi="Times New Roman"/>
          <w:b/>
          <w:color w:val="000000"/>
          <w:sz w:val="20"/>
        </w:rPr>
        <w:t>Notes to Unaudited Condensed</w:t>
      </w:r>
      <w:r>
        <w:rPr>
          <w:rFonts w:ascii="Times New Roman" w:hAnsi="Times New Roman"/>
          <w:color w:val="000000"/>
          <w:sz w:val="20"/>
        </w:rPr>
        <w:t xml:space="preserve"> </w:t>
      </w:r>
      <w:r>
        <w:rPr>
          <w:rFonts w:ascii="Times New Roman" w:hAnsi="Times New Roman"/>
          <w:b/>
          <w:color w:val="000000"/>
          <w:sz w:val="20"/>
        </w:rPr>
        <w:t>Consolidated Financial Statements</w:t>
      </w:r>
    </w:p>
    <w:p>
      <w:pPr>
        <w:pStyle w:val="TextBody"/>
        <w:bidi w:val="0"/>
        <w:jc w:val="center"/>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1: Description of Business and Basis of Presentation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Description of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ProKidney Corp. (the “Company” or “ProKidney”) was originally incorporated as Social Capital Suvretta Holdings Corp. III (“SCS”). SCS was a blank check company incorporated as a Cayman Islands exempted company on February 25, 2021. SCS was incorporated for the purpose of effecting a merger, share exchange, asset acquisition, share purchase, reorganization or similar business combination with one or more businesses.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18, 2022, SCS executed a definitive business combination agreement (the “Business Combination Agreement”), with ProKidney LP (“PKLP”), a limited partnership under the laws and regulations of Ireland. Pursuant to the terms of the Business Combination Agreement, PKLP became a subsidiary of SCS and was organized in an umbrella partnership corporation (“Up-C”) structure, which would provide potential future tax benefits for SCS when the equity holders ultimately exchanged their pass-through interests for Class A common stock. The business combination between SCS and PKLP (the “Business Combination”) closed (the “Closing”) on July 11, 2022 (the “Closing Date”). Upon consummation of the transaction, SCS changed its name to ProKidney Corp.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Business Combination was accounted for as a reverse recapitalization transaction between entities under common control, through which PKLP was considered the accounting acquiror and predecessor entity. The Business Combination was reflected as the equivalent of PKLP issuing stock for the net assets of SCS accompanied by a recapitalization with no goodwill or intangible assets recognized.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ProKidney Corp., through its operating subsidiaries, ProKidney, which is incorporated under the Cayman Islands Companies Act (as amended) as an exempted company (“ProKidney-KY”) and ProKidney LLC, a limited liability company under the laws of Delaware (“ProKidney-US”) is focused on the development of rilparencel, which has the potential to preserve kidney function in patients with chronic kidney disease or delay or eliminate the need for dialysis and organ transplantation.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 12 for a discussion of our recent domestication process through which the Company changed its jurisdiction of incorporation from the Cayman Islands to the State of Delaware.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presentation purposes, unless otherwise noted, “ordinary shares” before the domestication and “common stock” subsequent</w:t>
        <w:br/>
        <w:t>to the domestication are referred to herein as common stock (see Note 12).</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ProKidney is a holding company, and its principal asset is a controlling equity interest in PKLP and its wholly-owned operating subsidiaries ProKidney-KY and ProKidney-US. The Company has determined that PKLP is a variable-interest entity for accounting purposes and that ProKidney is the primary beneficiary of PKLP because (through its managing member interest in PKLP and the fact that the senior management of ProKidney is also the senior management of PKLP) it has the power and benefits to direct all of the activities of PKLP, which include those that most significantly impact PKLP’s economic performance. The Company has therefore consolidated PKLP’s results pursuant to Accounting Standards Codification Topic 810, “Consolidation” in its Condensed Consolidated Financial Statements. As of June 30, 2025, various holders own non-voting interests in PKLP, representing a 54.4% economic interest in PKLP, effectively restricting ProKidney’s interest to 45.6% of PKLP’s economic results, subject to increase in the future, should ProKidney purchase additional non-voting common units (“PKLP Units”) of PKLP, or should the holders of PKLP Units decide to exchange such units (together with shares of Class B common stock) for Class A common stock (or cash) pursuant to the Exchange Agreement (as defined in Note 6). The Company will not be required to provide financial or other support for PKLP. However, ProKidney will control its business and other activities through its managing member interest in PKLP, and its management is the management of PKLP. Nevertheless, because ProKidney will have no material assets other than its interests in PKLP and its subsidiaries, any financial difficulties at PKLP could result in ProKidney recognizing a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intercompany transactions and balances have been eliminated.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2: Significant Accounting Policies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Unaudited Interim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financial statements have been prepared in accordance with accounting principles generally accepted in the United States of America (“GAAP”). The accompanying Condensed Consolidated Balance Sheet as of June 30, 2025, Condensed Consolidated Statements of Operations for the three and six months ended June 30, 2025 and 2024, Condensed Consolidated Statements of Comprehensive Loss for the three and six months ended June 30, 2025 and 2024, Condensed Consolidated Statement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of Changes in Redeemable Noncontrolling Interest and Stockholders’ Deficit for the three and six months ended June 30, 2025 and 2024 and Condensed Consolidated Statements of Cash Flows for the six months ended June 30, 2025 and 2024 are unaudited. These unaudited financial statements have been prepared in accordance with the rules and regulations of the United States Securities and Exchange Commission (the “SEC”) for interim financial information. Accordingly, they do not include all of the information and footnotes required by GAAP for complete financial statements.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unaudited interim financial statements have been prepared on the same basis as the annual financial statements and, in the opinion of management, reflect all adjustments (consisting of normal recurring adjustments) necessary to state fairly the Company’s financial position as of June 30, 2025, the results of operations for the three and six months ended June 30, 2025 and 2024 and cash flows for the six months ended June 30, 2025 and 2024. Certain prior year amounts have been reclassified to conform to the current year presentation. The December 31, 2024 Condensed Consolidated Balance Sheet included herein was derived from the audited financial statements but does not include all disclosures or notes required by GAAP for complete financial statements. These financial statements should be read in conjunction with the audited financial statements and the accompanying notes for the year ended December 31, 2024, contained in the Company’s Annual Report on Form 10-K filed with the SEC on March 17,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reference in these notes to applicable guidance is meant to refer to GAAP as found in the Accounting Standards Codification (“ASC”) and Accounting Standards Update (“ASU”) of the Financial Accounting Standards Board (“FASB”). These unaudited consolidated financial statements are presented in U.S. Dollars.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Interim results are not necessarily indicative of results for an entire year.</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unaudited condensed consolidated financial statements, in accordance with GAAP, requires management to make certain estimates and assumptions that affect the reported amounts of assets and liabilities and disclosure of contingent liabilities at the date of the condensed consolidated financial statements, and the amounts of expenses during the reported periods. Certain estimates in these condensed consolidated financial statements have been made in connection with the calculation of research and development expenses, equity-based compensation expense and the provision for or benefit from income taxes. The Company bases its estimates on historical experience and various other assumptions, including in certain circumstances future projections, which management believes to be reasonable under the circumstances. Actual results could differ from those estimates. Changes in estimates are reflected in reported results in the period in which they become known.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Cash Equivalents and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considers all highly liquid investments with an original maturity of 90 days or less on the date of purchase to be cash equivalents. The carrying value of cash and cash equivalents approximates fair value due to the short-term nature of these items.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investments in marketable debt securities have been classified and accounted for as available-for-sale. The Company classifies its marketable debt securities as short-term due to its availability for use in its current operations. The cost of securities sold is determined using the specific identification method.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considers all available evidence to evaluate if a credit loss exists, and if so, recognizes an allowance for credit loss.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Concentrations of Credit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and equivalents are the primary financial instruments held by the Company that are potentially subject to concentrations of credit risk. The Company’s cash and equivalents are deposited in accounts at large financial institutions, and such amounts may exceed federally insured limits.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Accrued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expenses as presented in the Condensed Consolidated Balance Sheets as of June 30, 2025 and December 31, 2024 consisted of the following (in thousands):</w:t>
      </w:r>
    </w:p>
    <w:p>
      <w:pPr>
        <w:pStyle w:val="TextBody"/>
        <w:bidi w:val="0"/>
        <w:jc w:val="both"/>
        <w:rPr/>
      </w:pPr>
      <w:r>
        <w:rPr/>
        <w:t> </w:t>
      </w:r>
    </w:p>
    <w:tbl>
      <w:tblPr>
        <w:tblW w:w="7034" w:type="dxa"/>
        <w:jc w:val="left"/>
        <w:tblInd w:w="0" w:type="dxa"/>
        <w:tblLayout w:type="fixed"/>
        <w:tblCellMar>
          <w:top w:w="28" w:type="dxa"/>
          <w:left w:w="28" w:type="dxa"/>
          <w:bottom w:w="28" w:type="dxa"/>
          <w:right w:w="28" w:type="dxa"/>
        </w:tblCellMar>
      </w:tblPr>
      <w:tblGrid>
        <w:gridCol w:w="3451"/>
        <w:gridCol w:w="303"/>
        <w:gridCol w:w="972"/>
        <w:gridCol w:w="146"/>
        <w:gridCol w:w="146"/>
        <w:gridCol w:w="409"/>
        <w:gridCol w:w="1316"/>
        <w:gridCol w:w="291"/>
      </w:tblGrid>
      <w:tr>
        <w:trPr/>
        <w:tc>
          <w:tcPr>
            <w:tcW w:w="345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Severance</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study related costs</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Facility related costs</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legal costs</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consulting and professional fees</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expenses</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accrued expenses and other</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31,137</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Research and Development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costs are expensed as incurred. Research and development expenses are comprised of costs incurred in performing research and development activities, including salaries, benefits, third party license fees, and external costs of outside vendors engaged to conduct manufacturing and preclinical development activities and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records accruals based on estimates of services received, efforts expended, and amounts owed pursuant to contracts with numerous contract research organizations. In the normal course of business, the Company contracts with third parties to perform various clinical study activities in the ongoing development of potential products. The financial terms of these agreements are subject to negotiation and variation from contract to contract and may result in uneven payment flows. Payments under the contracts depend on factors such as the achievement of certain events and the completion of portions of the clinical study or similar conditions. The objective of the Company’s accrual policy is to match the recording of expenses in its financial statements to the actual services received and efforts expended. As such, expense accruals related to clinical studies are recognized based on the company’s estimate of the degree of completion of the event or events specified in the specific clinical study.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records nonrefundable advance payments it makes for future research and development activities as prepaid expenses. Prepaid expenses are recognized as expense in the Condensed Consolidated Statement of Operations and Comprehensive Loss as the Company receives the related goods or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incurred in obtaining technology licenses are charged to research and development expense as purchased in-process research and development if the technology licensed has not reached technological feasibility and has no alternative future use.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Fixed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Fixed assets are stated at cost, less accumulated depreciation. Generally, expenditures for maintenance and repairs are charged to expense and major improvements or replacements are capitalized. The Company computes depreciation and amortization using the straight-line method over the estimated useful life of the asset. Leasehold improvements are amortized over the lesser of the life of the lease or the estimated useful life of the leasehold improvement. The estimated useful lives are as follows:</w:t>
      </w:r>
    </w:p>
    <w:p>
      <w:pPr>
        <w:pStyle w:val="TextBody"/>
        <w:bidi w:val="0"/>
        <w:jc w:val="both"/>
        <w:rPr/>
      </w:pPr>
      <w:r>
        <w:rPr/>
        <w:t> </w:t>
      </w:r>
    </w:p>
    <w:tbl>
      <w:tblPr>
        <w:tblW w:w="4937" w:type="dxa"/>
        <w:jc w:val="left"/>
        <w:tblInd w:w="0" w:type="dxa"/>
        <w:tblLayout w:type="fixed"/>
        <w:tblCellMar>
          <w:top w:w="28" w:type="dxa"/>
          <w:left w:w="28" w:type="dxa"/>
          <w:bottom w:w="28" w:type="dxa"/>
          <w:right w:w="28" w:type="dxa"/>
        </w:tblCellMar>
      </w:tblPr>
      <w:tblGrid>
        <w:gridCol w:w="2911"/>
        <w:gridCol w:w="2026"/>
      </w:tblGrid>
      <w:tr>
        <w:trPr/>
        <w:tc>
          <w:tcPr>
            <w:tcW w:w="2911"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Buildings</w:t>
            </w:r>
          </w:p>
        </w:tc>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25-30 years</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software</w:t>
            </w:r>
          </w:p>
        </w:tc>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3-5 years</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equipment</w:t>
            </w:r>
          </w:p>
        </w:tc>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5-7 years</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lease term</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Fixed assets consisted of the following (in thousands):</w:t>
      </w:r>
    </w:p>
    <w:p>
      <w:pPr>
        <w:pStyle w:val="TextBody"/>
        <w:bidi w:val="0"/>
        <w:jc w:val="left"/>
        <w:rPr/>
      </w:pPr>
      <w:r>
        <w:rPr/>
        <w:t> </w:t>
      </w:r>
    </w:p>
    <w:tbl>
      <w:tblPr>
        <w:tblW w:w="6634" w:type="dxa"/>
        <w:jc w:val="left"/>
        <w:tblInd w:w="0" w:type="dxa"/>
        <w:tblLayout w:type="fixed"/>
        <w:tblCellMar>
          <w:top w:w="28" w:type="dxa"/>
          <w:left w:w="28" w:type="dxa"/>
          <w:bottom w:w="28" w:type="dxa"/>
          <w:right w:w="28" w:type="dxa"/>
        </w:tblCellMar>
      </w:tblPr>
      <w:tblGrid>
        <w:gridCol w:w="2911"/>
        <w:gridCol w:w="284"/>
        <w:gridCol w:w="991"/>
        <w:gridCol w:w="166"/>
        <w:gridCol w:w="146"/>
        <w:gridCol w:w="384"/>
        <w:gridCol w:w="1341"/>
        <w:gridCol w:w="411"/>
      </w:tblGrid>
      <w:tr>
        <w:trPr/>
        <w:tc>
          <w:tcPr>
            <w:tcW w:w="291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Buildings</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equipment</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software</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fixed assets, net</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42,222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Depreciation expense for the three months ended June 30, 2025 and 2024 was $1,491,000 and $964,000, respectively. Depreciation expense for the six months ended June 30, 2025 and 2024 was $2,875,000 and $1,797,000, respectively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Impairment of Long-Lived Assets and Assets Held for Sale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Long-lived assets such as fixed assets and intangible assets subject to amortization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for the amount by which the carrying amount of the asset exceeds the fair value of the asset.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real property in Greensboro, North Carolina continues to meet the criteria for held-for-sale accounting. The carrying value of this asset has been reflected as a component of total current assets in the accompanying Condensed Consolidated Balance Sheets as of June 30, 2025 and December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 impairment charges were recorded for the three or six months ended June 30, 2025 or 2024.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uses the liability method in accounting for income taxes as required by ASC Topic 740 — Income Taxes, under which deferred tax assets and liabilities are recorded for the future tax consequences attributable to the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unless it is more likely than not that such assets will be realized. The ultimate realization of deferred tax assets is dependent upon the generation of future taxable income during the periods in which those temporary differences become deductible. Management considers the scheduled reversal of deferred tax liabilities, available taxes in the carryback periods, projected future taxable income and tax planning strategies in making this assessment. Accordingly, the Company has provided a full valuation allowance to offset the net deferred tax assets at June 30, 2025 and December 31,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and penalties related to income taxes are included in the expense for income taxes in the Company’s Condensed Consolidated Statements of Operations and Comprehensive Loss. The Company has not incurred any significant interest or penalties related to income taxes in any of the periods presented.</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Fair value is defined as the price that would be received to sell an asset or paid to transfer a liability in the principal or most advantageous market for the asset or liability in an orderly transaction between market participants at the measurement date. A three-level fair value hierarchy that prioritizes the inputs used to measure fair value is described below. The three levels of inputs used to measure fair value are as follows:</w:t>
      </w:r>
    </w:p>
    <w:p>
      <w:pPr>
        <w:pStyle w:val="TextBody"/>
        <w:bidi w:val="0"/>
        <w:jc w:val="both"/>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Level 1 – Unadjusted quoted prices in active markets for identical assets or liabilities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Level 2 – Inputs other than quoted prices included within Level 1 that are either directly or indirectly observable through correlation with market data</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Level 3 – Unobservable inputs that are supported by little or no market data, which require the reporting entity to develop its own assumptions</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assets and liabilities recorded at fair value, it is the Company’s policy to maximize the use of observable inputs and minimize the use of unobservable inputs when developing fair value measurements, in accordance with the fair value hierarchy. Fair value measurements for assets and liabilities where there exists limited or no observable market data are based primarily upon estimates and are often calculated based on the economic and competitive environment, the characteristics of the asset or liability and other factors. Therefore, fair value measurements cannot be determined with precision and may not be realized in an actual sale or immediate settlement of the asset or liability. Additionally, there may be inherent weaknesses in any calculation technique and changes in the underlying assumptions used, including discount rates and estimates of future cash flows, could significantly affect the calculated current or future fair values. The Company utilizes fair value measurements to record fair value adjustments to certain assets and liabilities and to determine fair value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carrying values of cash equivalents, accounts payable, and accrued liabilities approximate fair value due to the short term nature of these instruments.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determines if an arrangement is a lease at inception. Balances recognized related to the Company’s operating and finance leases are included in right-of-use assets, net and lease liabilities in the Condensed Consolidated Balance Sheets. Right of use assets and lease liabilities are recognized based on the present value of the future minimum lease payments over the lease term at commencement date. Lease terms may include options to extend or terminate the lease if it is reasonably certain that the Company will exercise the option. As most of the Company’s leases do not provide an implicit rate, the Company uses its incremental borrowing rate based on the information available at the commencement date in determining the present value of future payments. The right of use asset also includes any lease payments made and excludes lease incentives and initial direct costs incurred. The Company has elected a practical expedient to not separate its lease and non-lease components and instead account for them as a single lease component. Leases with a term of 12 months or less are not recorded on the balance sheet.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Lease expense for minimum lease payments is recognized on a straight-line basis over the lease term. Lease payments for short-term leases are recorded to operating expense on a straight-line basis and variable lease payments are recorded in the period in which the obligation for those payments is incurred.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Contingent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records reserves for contingent liabilities when it is probable that an asset has been impaired or a liability has been incurred at the date of the financial statements, and the amount of the loss can be reasonably estimated.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Equity-Based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Compensation expense for equity-based compensation awards issued is based on the fair value of the award at the date of grant, and compensation expense is recognized for time-vested awards earned over the service period on a straight-line basis. The Company recognizes equity-based compensation for options containing performance-based vesting conditions over the requisite service period if it is probable that the performance conditions will be satisfied. The Company records forfeitures of equity-based compensation awards as they occur.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grant date fair value of time and performance-based stock option awards is estimated using the Black-Scholes option pricing formula. Due to the lack of sufficient historical trading information with respect to its own shares, the Company estimates expected volatility based on the volatility of its own Class A common stock as well as a portfolio of selected stocks of companies believed to have market and economic characteristics similar to its own. The risk-free rate is based on the U.S. Treasury yield curve in effect at the time of grant. Due to a lack of historical exercise data, the Company estimates the expected life of its outstanding stock options using the simplified method specified under Staff Accounting Bulletin Topic 14.D.2.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Segments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operates in only one segment.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Recently Issued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December 2023, the FASB issued ASU 2023-09, Improvements to Income Tax Disclosures, which requires entities to disclose disaggregated information about their effective tax rate reconciliation and income taxes paid. The disclosure requirements will be applied on a prospective basis, with the option to apply them retrospectively. The standard is effective for annual periods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beginning after December 15, 2024, with early adoption permitted. The Company is currently evaluating the disclosure requirements related to this new standard.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2024, the FASB issued ASU 2024-03, Income Statement-Reporting Comprehensive Income-Expense Disaggregation Disclosures, which requires disclosure of additional information about specific expense categories in the notes to the financial statements on an interim and annual basis. The standard is effective for fiscal years beginning after December 15, 2026, and for interim periods within annual reporting periods beginning after December 15, 2027, with early adoption permitted. The Company is currently evaluating the disclosure requirements related to this new standard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3: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equivalents and marketable securities are measured at fair value and within Level 2 in the fair value hierarchy, because we use quoted market prices to the extent available or alternative pricing sources and models utilizing market observable inputs to determine fair value.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summarize our cash equivalents and marketable securities measured at fair value on a recurring basis (in thousands):</w:t>
      </w:r>
    </w:p>
    <w:p>
      <w:pPr>
        <w:pStyle w:val="TextBody"/>
        <w:bidi w:val="0"/>
        <w:jc w:val="left"/>
        <w:rPr/>
      </w:pPr>
      <w:r>
        <w:rPr/>
        <w:t> </w:t>
      </w:r>
    </w:p>
    <w:tbl>
      <w:tblPr>
        <w:tblW w:w="10311" w:type="dxa"/>
        <w:jc w:val="left"/>
        <w:tblInd w:w="0" w:type="dxa"/>
        <w:tblLayout w:type="fixed"/>
        <w:tblCellMar>
          <w:top w:w="28" w:type="dxa"/>
          <w:left w:w="28" w:type="dxa"/>
          <w:bottom w:w="28" w:type="dxa"/>
          <w:right w:w="28" w:type="dxa"/>
        </w:tblCellMar>
      </w:tblPr>
      <w:tblGrid>
        <w:gridCol w:w="1126"/>
        <w:gridCol w:w="991"/>
        <w:gridCol w:w="146"/>
        <w:gridCol w:w="213"/>
        <w:gridCol w:w="793"/>
        <w:gridCol w:w="146"/>
        <w:gridCol w:w="146"/>
        <w:gridCol w:w="345"/>
        <w:gridCol w:w="691"/>
        <w:gridCol w:w="146"/>
        <w:gridCol w:w="146"/>
        <w:gridCol w:w="372"/>
        <w:gridCol w:w="664"/>
        <w:gridCol w:w="166"/>
        <w:gridCol w:w="146"/>
        <w:gridCol w:w="211"/>
        <w:gridCol w:w="781"/>
        <w:gridCol w:w="146"/>
        <w:gridCol w:w="146"/>
        <w:gridCol w:w="264"/>
        <w:gridCol w:w="847"/>
        <w:gridCol w:w="146"/>
        <w:gridCol w:w="146"/>
        <w:gridCol w:w="233"/>
        <w:gridCol w:w="863"/>
        <w:gridCol w:w="291"/>
      </w:tblGrid>
      <w:tr>
        <w:trPr/>
        <w:tc>
          <w:tcPr>
            <w:tcW w:w="112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0020" w:type="dxa"/>
            <w:gridSpan w:val="2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June 30, 2025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Cash Equivalents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Marketable Securities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 deposits</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backed securities</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 bonds</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38,996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148,302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236,715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236,788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209,788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311" w:type="dxa"/>
        <w:jc w:val="left"/>
        <w:tblInd w:w="0" w:type="dxa"/>
        <w:tblLayout w:type="fixed"/>
        <w:tblCellMar>
          <w:top w:w="28" w:type="dxa"/>
          <w:left w:w="28" w:type="dxa"/>
          <w:bottom w:w="28" w:type="dxa"/>
          <w:right w:w="28" w:type="dxa"/>
        </w:tblCellMar>
      </w:tblPr>
      <w:tblGrid>
        <w:gridCol w:w="1126"/>
        <w:gridCol w:w="991"/>
        <w:gridCol w:w="146"/>
        <w:gridCol w:w="213"/>
        <w:gridCol w:w="793"/>
        <w:gridCol w:w="146"/>
        <w:gridCol w:w="146"/>
        <w:gridCol w:w="345"/>
        <w:gridCol w:w="691"/>
        <w:gridCol w:w="146"/>
        <w:gridCol w:w="146"/>
        <w:gridCol w:w="372"/>
        <w:gridCol w:w="664"/>
        <w:gridCol w:w="166"/>
        <w:gridCol w:w="146"/>
        <w:gridCol w:w="211"/>
        <w:gridCol w:w="781"/>
        <w:gridCol w:w="146"/>
        <w:gridCol w:w="146"/>
        <w:gridCol w:w="264"/>
        <w:gridCol w:w="847"/>
        <w:gridCol w:w="146"/>
        <w:gridCol w:w="146"/>
        <w:gridCol w:w="233"/>
        <w:gridCol w:w="863"/>
        <w:gridCol w:w="291"/>
      </w:tblGrid>
      <w:tr>
        <w:trPr/>
        <w:tc>
          <w:tcPr>
            <w:tcW w:w="112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0020" w:type="dxa"/>
            <w:gridSpan w:val="2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Cash Equivalents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Marketable Securities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 deposits</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31,747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backed securities</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 bonds</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33,723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179,882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180,030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314,850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315,146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259,172</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shows the fair value of the Company’s cash equivalents and marketable securities, by contractual maturity, as of June 30, 2025 (in thousands):</w:t>
      </w:r>
    </w:p>
    <w:p>
      <w:pPr>
        <w:pStyle w:val="TextBody"/>
        <w:bidi w:val="0"/>
        <w:jc w:val="left"/>
        <w:rPr/>
      </w:pPr>
      <w:r>
        <w:rPr/>
        <w:t> </w:t>
      </w:r>
    </w:p>
    <w:tbl>
      <w:tblPr>
        <w:tblW w:w="4072" w:type="dxa"/>
        <w:jc w:val="left"/>
        <w:tblInd w:w="0" w:type="dxa"/>
        <w:tblLayout w:type="fixed"/>
        <w:tblCellMar>
          <w:top w:w="28" w:type="dxa"/>
          <w:left w:w="28" w:type="dxa"/>
          <w:bottom w:w="28" w:type="dxa"/>
          <w:right w:w="28" w:type="dxa"/>
        </w:tblCellMar>
      </w:tblPr>
      <w:tblGrid>
        <w:gridCol w:w="2506"/>
        <w:gridCol w:w="271"/>
        <w:gridCol w:w="1004"/>
        <w:gridCol w:w="291"/>
      </w:tblGrid>
      <w:tr>
        <w:trPr/>
        <w:tc>
          <w:tcPr>
            <w:tcW w:w="25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1 year or less</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228,162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1 year through 5 years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236,788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shows fair values and gross unrealized losses recorded to accumulated other comprehensive income, aggregated by category and the length of time that individual securities have been in a continuous loss position (in thousands):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99"/>
        <w:gridCol w:w="228"/>
        <w:gridCol w:w="733"/>
        <w:gridCol w:w="148"/>
        <w:gridCol w:w="148"/>
        <w:gridCol w:w="459"/>
        <w:gridCol w:w="820"/>
        <w:gridCol w:w="166"/>
        <w:gridCol w:w="146"/>
        <w:gridCol w:w="431"/>
        <w:gridCol w:w="404"/>
        <w:gridCol w:w="201"/>
        <w:gridCol w:w="201"/>
        <w:gridCol w:w="617"/>
        <w:gridCol w:w="662"/>
        <w:gridCol w:w="146"/>
        <w:gridCol w:w="146"/>
        <w:gridCol w:w="228"/>
        <w:gridCol w:w="733"/>
        <w:gridCol w:w="146"/>
        <w:gridCol w:w="146"/>
        <w:gridCol w:w="459"/>
        <w:gridCol w:w="820"/>
        <w:gridCol w:w="318"/>
      </w:tblGrid>
      <w:tr>
        <w:trPr/>
        <w:tc>
          <w:tcPr>
            <w:tcW w:w="169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9887" w:type="dxa"/>
            <w:gridSpan w:val="2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June 30, 2025</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 Months or Greater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6,020</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backed securities</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 bonds</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48,075</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69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55,378</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4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6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4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94"/>
        <w:gridCol w:w="228"/>
        <w:gridCol w:w="733"/>
        <w:gridCol w:w="148"/>
        <w:gridCol w:w="148"/>
        <w:gridCol w:w="460"/>
        <w:gridCol w:w="820"/>
        <w:gridCol w:w="166"/>
        <w:gridCol w:w="146"/>
        <w:gridCol w:w="431"/>
        <w:gridCol w:w="405"/>
        <w:gridCol w:w="201"/>
        <w:gridCol w:w="201"/>
        <w:gridCol w:w="617"/>
        <w:gridCol w:w="662"/>
        <w:gridCol w:w="146"/>
        <w:gridCol w:w="146"/>
        <w:gridCol w:w="228"/>
        <w:gridCol w:w="733"/>
        <w:gridCol w:w="146"/>
        <w:gridCol w:w="146"/>
        <w:gridCol w:w="460"/>
        <w:gridCol w:w="820"/>
        <w:gridCol w:w="320"/>
      </w:tblGrid>
      <w:tr>
        <w:trPr/>
        <w:tc>
          <w:tcPr>
            <w:tcW w:w="169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9885" w:type="dxa"/>
            <w:gridSpan w:val="2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2024</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 Months or Greater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3,869</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32,443</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6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36,312</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4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6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4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holds debt securities of companies with high credit quality and has determined that there was no material change in the credit risk of its debt securities during the three and six months ended June 30, 2025 and 2024. As such, the Company has not recognized an allowance for credit losses related to our marketable debt securities during the three and six months ended June 30, 2025 and 2024. As of June 30, 2025, there were 42 investment positions that were in an unrealized loss position.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4: 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ProKidney is considered to be an exempted Cayman Islands company and is presently not subject to income taxes or income tax filing requirements in the Cayman Islands or the United States.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subsidiary, PKLP, is organized as a limited partnership and is classified as a partnership for U.S. income tax purposes.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difference between the Company’s effective tax rates and the Cayman statutory rate of 0% is primarily attributable to the recording of a tax provision for U.S. federal and state taxes for the Company’s subsidiary, ProKidney-US, which is treated as a C corporation for income tax purposes.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subsidiary, ProKidney-KY, has been granted, by the Government in Council of the Cayman Islands, tax concessions under an undertaking certificate exempting it from any tax levied on profits, income, gains or appreciations in relation to its operations or in the nature of estate duty or inheritance tax for a period of twenty years from January 20, 2016. ProKidney-KY elected to be treated as an entity disregarded from its owner for U.S. tax purposes, and as a result, it has not recorded an income tax provision.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discussed in Note 6, the Company is party to a tax receivable agreement with a related party which provides for the payment by the Company to holders of PKLP prior to the Closing (“Closing ProKidney Unitholders”) of 85% of the amount of cash savings, if any, in U.S. federal, state and local income tax or franchise tax that the Company actually realizes (or, in some circumstances, the Company is deemed to realize) as a result of certain transactions. As no transactions have occurred which would trigger a liability under this agreement, the Company has not recognized any liability related to this agreement as of June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assessing the realizability of deferred tax assets, management considers whether it is more likely than not that some portion of the deferred tax assets will be realized. The ultimate realization of deferred tax assets is dependent upon the generation of future taxable income during the periods in which those temporary differences become deductible. Management considers the scheduled reversal of deferred tax liabilities, available taxes in the carryback periods, projected future taxable income and tax planning strategies in making this assessment.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net unrecognized tax benefits as of June 30, 2025 which, if recognized, would affect our effective tax rate. We expect none of the gross unrecognized tax benefits will decrease within the next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significant changes in the Company’s uncertain tax positions during the three and six months ended June 30, 2025 and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4, 2025, the One Big Beautiful Bill Act was signed into law. This legislation includes changes to U.S. federal tax law, which may be subject to further clarification and the issuance of interpretive guidance. The Company is assessing the legislation and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its effect on its consolidated financial statements, which it expects to begin reflecting in the three month period ended September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discussed further in Note 12, the Company completed a domestication process effective July 1, 2025 through which the Company changed its jurisdiction of incorporation from the Cayman Islands to the State of Delaware. The Company does not expect this domestication to have an adverse impact on its tax positions.</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5: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operating leases for real estate (primarily its operating facilities) and certain equipment with various expiration dates. The Company also has finance leases for certain equipment. During the year ended December 31, 2024, the Company purchased two multi-tenant buildings in Winston-Salem, North Carolina, which it had previously occupied under the terms of a real estate lease. In connection with this purchase, the Company assumed the existing lease agreements held with certain third parties which leased space in these buildings.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Lessee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months ended June 30, 2025 and 2024, the Company’s rent expense was $298,000 and $513,000, respectively. For the six months ended June 30, 2025 and 2024, the Company’s rent expense was $619,000 and $935,000, respectively. Cash paid for operating leases during the six months ended June 30, 2025 was $484,000.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classification of operating and finance lease assets and obligations in the Company's Condensed Consolidated Balance Sheets as of June 30, 2025 and December 31, 2024 (in thousands):</w:t>
      </w:r>
    </w:p>
    <w:p>
      <w:pPr>
        <w:pStyle w:val="TextBody"/>
        <w:bidi w:val="0"/>
        <w:jc w:val="left"/>
        <w:rPr/>
      </w:pPr>
      <w:r>
        <w:rPr/>
        <w:t> </w:t>
      </w:r>
    </w:p>
    <w:tbl>
      <w:tblPr>
        <w:tblW w:w="7010" w:type="dxa"/>
        <w:jc w:val="left"/>
        <w:tblInd w:w="0" w:type="dxa"/>
        <w:tblLayout w:type="fixed"/>
        <w:tblCellMar>
          <w:top w:w="28" w:type="dxa"/>
          <w:left w:w="28" w:type="dxa"/>
          <w:bottom w:w="28" w:type="dxa"/>
          <w:right w:w="28" w:type="dxa"/>
        </w:tblCellMar>
      </w:tblPr>
      <w:tblGrid>
        <w:gridCol w:w="3181"/>
        <w:gridCol w:w="146"/>
        <w:gridCol w:w="344"/>
        <w:gridCol w:w="931"/>
        <w:gridCol w:w="146"/>
        <w:gridCol w:w="146"/>
        <w:gridCol w:w="465"/>
        <w:gridCol w:w="1260"/>
        <w:gridCol w:w="39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of 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of 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finance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Maturities of lease liabilities for the Company’s operating and finance leases are as follows as of June 30, 2025 (in thousands):</w:t>
      </w:r>
    </w:p>
    <w:p>
      <w:pPr>
        <w:pStyle w:val="TextBody"/>
        <w:bidi w:val="0"/>
        <w:jc w:val="both"/>
        <w:rPr/>
      </w:pPr>
      <w:r>
        <w:rPr/>
        <w:t> </w:t>
      </w:r>
    </w:p>
    <w:tbl>
      <w:tblPr>
        <w:tblW w:w="7494" w:type="dxa"/>
        <w:jc w:val="left"/>
        <w:tblInd w:w="0" w:type="dxa"/>
        <w:tblLayout w:type="fixed"/>
        <w:tblCellMar>
          <w:top w:w="28" w:type="dxa"/>
          <w:left w:w="28" w:type="dxa"/>
          <w:bottom w:w="28" w:type="dxa"/>
          <w:right w:w="28" w:type="dxa"/>
        </w:tblCellMar>
      </w:tblPr>
      <w:tblGrid>
        <w:gridCol w:w="2686"/>
        <w:gridCol w:w="146"/>
        <w:gridCol w:w="397"/>
        <w:gridCol w:w="1193"/>
        <w:gridCol w:w="166"/>
        <w:gridCol w:w="146"/>
        <w:gridCol w:w="500"/>
        <w:gridCol w:w="895"/>
        <w:gridCol w:w="166"/>
        <w:gridCol w:w="146"/>
        <w:gridCol w:w="211"/>
        <w:gridCol w:w="631"/>
        <w:gridCol w:w="21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Operating 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Finance 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2025 (remaining six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weighted average remaining lease term for operating leases is 4.3 years and 4.5 years for finance leases. The weighted average discount rate for operating leases is 10.9% and 5.6% for finance leases.</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Lessor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leases a portion of its facilities in Winston-Salem, North Carolina under agreements that are classified as operating leases. In addition to the rental payments, tenants pay a fixed rate for their pro rata share of real estate taxes, insurance and other facility operating expenses. These amounts are recognized as revenues on a straight-line basis over the term of the related leases. For leasing revenues where collectability is not considered probable, lease income is recognized on a cash basis and all previously recognized tenant accounts receivables, including straight-line rent, are fully reserved in the period in which the lease income is determined not to be probable of collection. These lease agreements terminate between 2026 and 2029.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leasing revenue for the three and six months ended June 30, 2025 was $221,000 and $451,000, respectively and there was no such revenue for the three and six months ended June 30, 2024. Future minimum lease payments under non-cancelable operating leases as of June 30, 2025 excluding the effect of straight-line rent and variable rental payments are as follows (in thousands):</w:t>
      </w:r>
    </w:p>
    <w:p>
      <w:pPr>
        <w:pStyle w:val="TextBody"/>
        <w:bidi w:val="0"/>
        <w:jc w:val="left"/>
        <w:rPr/>
      </w:pPr>
      <w:r>
        <w:rPr/>
        <w:t> </w:t>
      </w:r>
    </w:p>
    <w:tbl>
      <w:tblPr>
        <w:tblW w:w="3740" w:type="dxa"/>
        <w:jc w:val="left"/>
        <w:tblInd w:w="0" w:type="dxa"/>
        <w:tblLayout w:type="fixed"/>
        <w:tblCellMar>
          <w:top w:w="28" w:type="dxa"/>
          <w:left w:w="28" w:type="dxa"/>
          <w:bottom w:w="28" w:type="dxa"/>
          <w:right w:w="28" w:type="dxa"/>
        </w:tblCellMar>
      </w:tblPr>
      <w:tblGrid>
        <w:gridCol w:w="2521"/>
        <w:gridCol w:w="146"/>
        <w:gridCol w:w="211"/>
        <w:gridCol w:w="571"/>
        <w:gridCol w:w="2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2025 (remaining six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6: Related Party Transactions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Exchange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the Closing Date, the Company entered into an exchange agreement with PKLP and certain Closing ProKidney Unitholders (the “Exchange Agreement”) pursuant to which, subject to the procedures and restrictions therein, from and after the waiver or expiration of any contractual lock-up period (including pursuant to the Lock-Up Agreement (as defined below)) the holders of Post-Combination ProKidney Common Units as defined in the Exchange Agreement (or certain permitted transferees thereof) have the right from time to time at and after 180 days following the Closing to exchange their Post-Combination ProKidney Common Units and an equal number of shares of Class B common stock of the Company on a one-for-one basis for shares of Class A common stock of the Company (the “Exchange”); provided, that, subject to certain exceptions, the Company, at its sole election, subject to certain restrictions, may, other than in the case of certain secondary offerings, instead settle all or a portion of the Exchange in cash based on a volume weighted average price (“VWAP”) of a share of Class A common stock. The Exchange Agreement provides that, as a general matter, a holder of Post-Combination ProKidney Common Units will not have the right to exchange Post-Combination ProKidney Common Units if the Company determines that such exchange would be prohibited by law or regulation or would violate other agreements with the Company and its subsidiaries to which the holder of Post-Combination ProKidney Common Units may be subject, including the Second Amended and Restated ProKidney Limited Partnership Agreement and the Exchange Agreement.</w:t>
      </w:r>
    </w:p>
    <w:p>
      <w:pPr>
        <w:pStyle w:val="TextBody"/>
        <w:bidi w:val="0"/>
        <w:spacing w:before="360" w:after="283"/>
        <w:jc w:val="both"/>
        <w:rPr>
          <w:rFonts w:ascii="Times New Roman" w:hAnsi="Times New Roman"/>
          <w:sz w:val="20"/>
        </w:rPr>
      </w:pPr>
      <w:r>
        <w:rPr>
          <w:rFonts w:ascii="Times New Roman" w:hAnsi="Times New Roman"/>
          <w:i/>
          <w:color w:val="000000"/>
          <w:sz w:val="20"/>
        </w:rPr>
        <w:t>Lock-Up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the Closing Date, the Company, SCS Sponsor III LLC and certain Closing ProKidney Unitholders entered into a lock-up agreement (the “Lock-Up Agreement”). The Lock-Up Agreement contains certain restrictions on transfer with respect to the SCS Sponsor III LLC and the Closing ProKidney Unitholders party thereto. Such restrictions began at the Closing and end on the earlier of (i) the date that is 180 days after the Closing and (ii)(a) for 33% of the Lock-Up Shares (other than the Earnout Shares and the PIPE Shares), the date on which the last reported sale price of the Class A common stock of the Company equals or exceeds $12.50 per share for any 20 trading days within any 30-trading day period commencing at least 30 days after the Closing and (b) for an additional 50% of the Lock-Up Shares (other than the Earnout Shares and the Private Placement Shares (as each such term is defined in the Lock-Up Agreement)), the date on which the last reported sale price of the Class A common stock of the Company equals or exceeds $15.00 per share for any 20 trading days within any 30-trading day period commencing at least 30 days after the Closing. Notwithstanding the above, (i) the lock-up period for any Earnout Shares will expire not earlier than 180 days after such Earnout Shares are issued; (ii) 50% of the Lock-Up Shares held by certain Closing ProKidney Unitholders and their affiliates will remain locked up until the earlier of four years following the Closing and the date that PKLP receives notice of any regulatory market authorization, including full or conditional authorization, to market its lead product candidate, rilparencel (but, in any event, not earlier than 180 days following the Closing or (in the case of Earnout Shares) the date of issuance); and (iii) the lock-up period for the Private Placement Shares expired 30 days after the Closing. The restrictions on transfer set forth in the Lockup Agreement are subject to customary exceptions.</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January 2023, the lock-up period for 50% of the shares held by the Closing ProKidney Unitholders (other than the Earnout Shares) expired.</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Tax Receivable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the Closing Date, the Company entered into a tax receivable agreement (the “Tax Receivable Agreement”) with the Closing ProKidney Unitholders. Pursuant to the Tax Receivable Agreement, among other things, the Company will be required to pay the Closing ProKidney Unitholders party thereto 85% of certain tax savings recognized by the Company, if any, as a result of the increases in tax basis attributable to exchanges by the Closing ProKidney Unitholders of Post-Combination ProKidney Common Units for Class A common stock of the Company or, subject to certain restrictions, cash, pursuant to the Exchange Agreement and certain other tax attributes of PKLP and tax benefits related to entering into the Tax Receivable Agreement.</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Earnout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the Closing, certain stockholders were issued an aggregate of 17,500,000 Earnout Restricted Common Units and 17,500,000 Earnout Restricted Stock Rights (collectively, the “Earnout Rights”). The Earnout Rights vest in three equal tranches if, during the five-year period after Closing, the VWAP of the Company’s Class A common stock reaches $15.00 per share, $20.00 per share and $25.00 per share. Likewise, the Earnout Rights will vest upon a change of control with a per share price exceeding those same VWAP thresholds within a five-year period immediately following the Closing. Upon vesting, the Earnout Rights will automatically convert into Post Combination ProKidney Common Units and Class B common stock.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Consulting Services Agreement between ProKidney-KY and Nefro Health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1, 2020, ProKidney-KY (formerly known as inRegen) entered into a consulting services agreement with Nefro Health (“Nefro”), an Irish partnership controlled and majority-owned by Mr. Pablo Legorreta, a director of the Company, ProKidney GP Limited, a private limited company incorporated under the laws of Ireland (“Legacy GP”) and a holder of over 5% of Class A Units in PKLP, pursuant to which Nefro provides consulting services for the research and development of the Company’s product candidates, including the conduct of clinical trials in North America and the European Union, the design and manufacturing of ProKidney’s product candidates as well as pre-commercialization activities, which are primarily performed by Mr. Legorreta. Under the agreement, Nefro receives $25,000 per quarter and is reimbursed for any out-of-pocket expenses incurred in connection with activities Nefro conducted under the agreement. ProKidney-KY has paid Nefro an aggregate of $25,000 and $50,000 for each of the three and six months ended June 30, 2025 and 2024, respectively. The initial term of the consulting services agreement continued through December 31, 2020 and was renewed pursuant to the provision allowing for automatic renewals for additional periods of one year each unless terminated by either party by providing written notice to the other party at least ninety (90) days prior to the scheduled termination date. Either party may terminate this agreement upon the occurrence of a material breach by the other party in the performance of its obligations under the agreement or in respect of any provision, representation, warranty or covenant if such breach has not been cured within thirty (30) days after receiving written notice from the non-breaching party. Additionally, either of the parties may terminate the consulting services agreement for any reason upon giving thirty (30) days’ advance notice of such termination to the other party. In the event of such termination, ProKidney-KY will be obligated to pay Nefro any earned but unpaid consulting fee as of the termination date.</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Consulting Services Agreement between ProKidney-US and Nefro Health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1, 2020, ProKidney-US (formerly known as Twin City Bio, LLC) entered into a consulting services agreement with Nefro, pursuant to which Nefro provides consulting services for the research and development of the Company’s product candidates, including the conduct of clinical trials in North America and the European Union, the design and manufacturing of the Company’s product candidates as well as pre-commercialization activities, which are primarily performed by Mr. Legorreta. Under the agreement, Nefro receives $25,000 per quarter and is reimbursed for any out-of-pocket expenses incurred in connection with activities Nefro conducted under the agreement. ProKidney-US has paid Nefro an aggregate of $25,000 and $50,000 for each of the three and six months ended June 30, 2025 and 2024, respectively. The initial term of the consulting services agreement continued through December 31, 2020 and was renewed pursuant to the provision allowing for automatic renewals for additional periods of one year each unless terminated by either party by providing written notice to the other party at least ninety (90) days prior to the scheduled termination date. Either party may terminate this agreement upon the occurrence of a material breach by the other party in the performance of its obligations under the agreement or in respect of any provision, representation, warranty or covenant if such breach has not been cured within thirty (30) days after receiving written notice from the non-breaching party. Additionally, either of the parties may terminate the consulting services agreement for any reason upon giving thirty (30) days’ advance notice of such termination to the other party. In the event of such termination, ProKidney-US will be obligated to pay Nefro any earned but unpaid consulting fee as of the termination date.</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7: Redeemable Noncontrolling Interest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subject to the Exchange Agreement with respect to the Post-Combination ProKidney Common Units representing the outstanding 54.4% noncontrolling interest in PKLP (see Note 1). The Exchange Agreement requires the surrender of an equal number of Post-Combination ProKidney Common Units and shares of Class B common stock for (i) shares of Class A common stock on a one-for-one basis or (ii) cash (based on the fair market value of the Class A common stock as determined pursuant to the Exchange Agreement), at the Company’s option (as the managing member of PKLP), subject to customary conversion rate adjustments for share splits, share dividends and reclassifications. The exchange value is determined based on a five-day VWAP of the Class A common stock as defined in the Exchange Agreement, subject to customary conversion rate adjustments for share splits, share dividends and reclassifications.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redeemable noncontrolling interest is recognized at the higher of (1) its initial fair value plus accumulated earnings/losses associated with the noncontrolling interest or (2) the redemption value as of the balance sheet date. At June 30, 2025, the redeemable noncontrolling interest was recorded based on its initial fair value plus accumulated losses associated with the noncontrolling interest which was higher than the redemption value as of the balance sheet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Company’s ownership interest in PKLP while the Company retains its controlling interest in PKLP are accounted for as equity transactions, and the Company is required to adjust noncontrolling interest and equity for such changes. The following is a summary of net income attributable to the Company and transfers to noncontrolling interest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202"/>
        <w:gridCol w:w="268"/>
        <w:gridCol w:w="936"/>
        <w:gridCol w:w="211"/>
        <w:gridCol w:w="185"/>
        <w:gridCol w:w="268"/>
        <w:gridCol w:w="936"/>
        <w:gridCol w:w="166"/>
        <w:gridCol w:w="146"/>
        <w:gridCol w:w="255"/>
        <w:gridCol w:w="891"/>
        <w:gridCol w:w="201"/>
        <w:gridCol w:w="176"/>
        <w:gridCol w:w="255"/>
        <w:gridCol w:w="891"/>
        <w:gridCol w:w="218"/>
      </w:tblGrid>
      <w:tr>
        <w:trPr/>
        <w:tc>
          <w:tcPr>
            <w:tcW w:w="420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4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available to Class A common stockholders</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(33,286</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(21,998</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(Increase)/Decrease in ProKidney Corp. accumulated deficit for impact of</w:t>
              <w:br/>
              <w:t>   subsidiary equity-based compensation</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3,014</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(Increase)/Decrease in ProKidney Corp. additional paid-in capital for exchange</w:t>
              <w:br/>
              <w:t>   of Common Units in ProKidney LP for Class A common stock</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(5,252</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(14,902</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(Increase)/Decrease in ProKidney Corp. additional paid-in capital for vesting of</w:t>
              <w:br/>
              <w:t>   Restricted Common Units in ProKidney LP</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(9,170</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14,073</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from net loss available to Class A common stockholders and change</w:t>
              <w:br/>
              <w:t>   in ownership interest in ProKidney LP</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(22,661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(46,169</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(19,813</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8: Stockholders’ Equity</w:t>
      </w:r>
    </w:p>
    <w:p>
      <w:pPr>
        <w:pStyle w:val="TextBody"/>
        <w:bidi w:val="0"/>
        <w:spacing w:before="120" w:after="283"/>
        <w:jc w:val="left"/>
        <w:rPr>
          <w:rFonts w:ascii="Times New Roman" w:hAnsi="Times New Roman"/>
          <w:sz w:val="20"/>
        </w:rPr>
      </w:pPr>
      <w:r>
        <w:rPr>
          <w:rFonts w:ascii="Times New Roman" w:hAnsi="Times New Roman"/>
          <w:color w:val="000000"/>
          <w:sz w:val="20"/>
        </w:rPr>
        <w:t>In January 2024, the Company entered into an Open Market Sale Agreement</w:t>
      </w:r>
      <w:r>
        <w:rPr>
          <w:rFonts w:ascii="Times New Roman" w:hAnsi="Times New Roman"/>
          <w:color w:val="000000"/>
          <w:sz w:val="13"/>
        </w:rPr>
        <w:t>SM</w:t>
      </w:r>
      <w:r>
        <w:rPr>
          <w:rFonts w:ascii="Times New Roman" w:hAnsi="Times New Roman"/>
          <w:color w:val="000000"/>
          <w:sz w:val="20"/>
        </w:rPr>
        <w:t xml:space="preserve"> (the “2024 Sales Agreement”) with Jefferies LLC (“Jefferies”) as the sales agent, pursuant to which the Company may offer and sell, from time to time, through Jefferies, shares of its Class A common stock having an aggregate offering price of up to $100.0 million by any method deemed to be an “at the market offering” as defined in Rule 415(a)(4) under the Securities Act of 1933 as amended (the “Securities Act”). The shares are offered and sold pursuant to the Company’s shelf registration statement on Form S-3.</w:t>
      </w:r>
    </w:p>
    <w:p>
      <w:pPr>
        <w:pStyle w:val="TextBody"/>
        <w:bidi w:val="0"/>
        <w:spacing w:before="120" w:after="283"/>
        <w:jc w:val="left"/>
        <w:rPr>
          <w:rFonts w:ascii="Times New Roman" w:hAnsi="Times New Roman"/>
          <w:sz w:val="20"/>
        </w:rPr>
      </w:pPr>
      <w:r>
        <w:rPr>
          <w:rFonts w:ascii="Times New Roman" w:hAnsi="Times New Roman"/>
          <w:color w:val="000000"/>
          <w:sz w:val="20"/>
        </w:rPr>
        <w:t>On July 14, 2025, the Company terminated the 2024 Sales Agreement with Jefferies and entered into an new Open Market Sales Agreement</w:t>
      </w:r>
      <w:r>
        <w:rPr>
          <w:rFonts w:ascii="Times New Roman" w:hAnsi="Times New Roman"/>
          <w:color w:val="000000"/>
          <w:sz w:val="10"/>
        </w:rPr>
        <w:t>SM</w:t>
      </w:r>
      <w:r>
        <w:rPr>
          <w:rFonts w:ascii="Times New Roman" w:hAnsi="Times New Roman"/>
          <w:color w:val="000000"/>
          <w:sz w:val="20"/>
        </w:rPr>
        <w:t xml:space="preserve"> (the “2025 Sales Agreement”) with Jefferies, pursuant to which the Company may offer and sell, from time to time, shares (the “Shares”) of its Class A common stock having an aggregate offering price of up to $200,000,000 through Jefferies, acting as agent.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2025 Sales Agreement, sales of the Shares may be made by any method permitted that is deemed to be an “at the market” offering as defined in Rule 415(a)(4) under the Securities Act, in ordinary brokers’ transactions, to or through a market maker, on or through The Nasdaq Capital Market or any other market venue where the securities may be traded, in the over-the-counter market, in privately negotiated transactions or through a combination of any such methods of sale. Under the 2025 Sales Agreement, Jefferies will be entitled to compensation of up to 3.0% of the gross offering proceeds of all Shares sold through it pursuant to the 2025 Sales Agreement. The Company will also reimburse Jefferies for certain specified expenses in connection with entering into the 2025 Sales Agreement. The Company has no obligation to sell any of the Shares under the 2025 Sales Agreement and may at any time and from time to time suspend the offering of the Shares under the 2025 Sales Agreement.</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and six months ended June 30, 2024, the Company sold 2,301,900 shares of its Class A common stock under the 2024 Sales Agreement for net proceeds of $3,238,000. The Company did not sell any shares under the 2024 Sales Agreement during the three and six months ended June 30, 2025. However, subsequent to June 30, 2025, the Company sold 1,490,748 shares of its Class A common stock under the 2025 Sales Agreement for net proceeds of $5,669,000.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2024, the Company sold 46,886,452 shares of its Class A common stock in an underwritten public offering at a price of $2.42 per share. Additionally, in June 2024, the Company sold 11,030,574 shares of its Class A common stock to certain investment entities at price of $2.42 per share in a concurrent registered direct offering pursuant to share purchase agreements. The net proceeds to the Company from the offerings were approximately $136,618,000, after deducting the underwriting discounts and commissions and offering expenses payable by the Company. The shares were offered and sold pursuant to the Company’s shelf registration statement on Form S-3.</w:t>
      </w:r>
    </w:p>
    <w:p>
      <w:pPr>
        <w:pStyle w:val="TextBody"/>
        <w:bidi w:val="0"/>
        <w:spacing w:before="120" w:after="283"/>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9: Net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net loss per share is calculated by dividing net loss attributable to Class A common stockholders by the weighted-average shares of the Class A common stock outstanding without the consideration for potential dilutive securities. Diluted net loss per share represents basic net loss per share adjusted to include the effects of all potentially dilutive shares. Diluted net loss per share is the same as basic loss per share for all periods as the inclusion of potentially issuable shares would be antidilutive.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the computation of basic and diluted net loss per share for the three months ended June 30, 2025 and 2024 (in thousands, except share and per share amounts):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616"/>
        <w:gridCol w:w="211"/>
        <w:gridCol w:w="1141"/>
        <w:gridCol w:w="166"/>
        <w:gridCol w:w="146"/>
        <w:gridCol w:w="211"/>
        <w:gridCol w:w="1036"/>
        <w:gridCol w:w="166"/>
        <w:gridCol w:w="146"/>
        <w:gridCol w:w="214"/>
        <w:gridCol w:w="1158"/>
        <w:gridCol w:w="168"/>
        <w:gridCol w:w="148"/>
        <w:gridCol w:w="214"/>
        <w:gridCol w:w="1052"/>
        <w:gridCol w:w="412"/>
      </w:tblGrid>
      <w:tr>
        <w:trPr/>
        <w:tc>
          <w:tcPr>
            <w:tcW w:w="36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(74,917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(73,799</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Net loss attributable to noncontrolling interests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(41,631</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(51,801</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Net loss available to Class A common stockholders of ProKidney Corp., </w:t>
              <w:br/>
              <w:t>   basic and diluted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(33,286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(21,998</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 average shares of Class A common stock of ProKidney Corp. outstanding, </w:t>
              <w:br/>
              <w:t>   basic and diluted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130,730,840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75,908,017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129,858,450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68,429,869</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per share attributable to Class A common stock</w:t>
            </w:r>
          </w:p>
        </w:tc>
        <w:tc>
          <w:tcPr>
            <w:tcW w:w="13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per share attributable to Class A common stock of ProKidney Corp., basic and 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Outstanding anti-dilutive securities not included in the diluted net loss per share calculation include the following:</w:t>
      </w:r>
    </w:p>
    <w:p>
      <w:pPr>
        <w:pStyle w:val="TextBody"/>
        <w:bidi w:val="0"/>
        <w:jc w:val="left"/>
        <w:rPr/>
      </w:pPr>
      <w:r>
        <w:rPr/>
        <w:t> </w:t>
      </w:r>
    </w:p>
    <w:tbl>
      <w:tblPr>
        <w:tblW w:w="8453" w:type="dxa"/>
        <w:jc w:val="left"/>
        <w:tblInd w:w="0" w:type="dxa"/>
        <w:tblLayout w:type="fixed"/>
        <w:tblCellMar>
          <w:top w:w="28" w:type="dxa"/>
          <w:left w:w="28" w:type="dxa"/>
          <w:bottom w:w="28" w:type="dxa"/>
          <w:right w:w="28" w:type="dxa"/>
        </w:tblCellMar>
      </w:tblPr>
      <w:tblGrid>
        <w:gridCol w:w="5196"/>
        <w:gridCol w:w="146"/>
        <w:gridCol w:w="1141"/>
        <w:gridCol w:w="146"/>
        <w:gridCol w:w="146"/>
        <w:gridCol w:w="146"/>
        <w:gridCol w:w="1141"/>
        <w:gridCol w:w="391"/>
      </w:tblGrid>
      <w:tr>
        <w:trPr/>
        <w:tc>
          <w:tcPr>
            <w:tcW w:w="5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Antidilutive securities</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ProKidney Corp. Class B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159,288,931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163,817,953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Unvested Restricted Stock Rights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742,684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2,188,728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Earnout Rights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17,500,000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options granted under the 2022 Equity Incentive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30,504,248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21,916,121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10: Equity-Based Compensation</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2022 Incentive Equity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11, 2022, the stockholders of the Company approved the ProKidney Corp. 2022 Incentive Equity Plan (the “2022 Plan”) which provides for the issuance of equity-based awards to the Company’s employees, non-employee directors, individual consultants, advisors and other service providers. The 2022 Plan provides for the issuance of equity awards in the form of incentive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 options, which are intended to satisfy the requirements of Section 422 of the Internal Revenue Code of 1986, as amended, or nonqualified stock options, which are not intended to meet those requirements, stock appreciation rights, restricted stock, restricted stock units, performance awards or other cash or stock-based awards as determined appropriate by the plan administrator. In settlement of its obligations under this plan, the Company will issue new shares of Class A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issued incentive and non-qualified stock option awards under the 2022 Plan to certain employees, individual consultants and non-employee directors of the Company. Given that the Company has established a full valuation allowance against its deferred tax assets, the Company has recognized no tax benefit related to these awards.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Time-Vested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uses the Black-Scholes option pricing model to calculate the fair value of time-vested stock options granted. These awards generally vest ratably over a three or four-year period and the option awards expire after a term of ten years from the date of grant. The fair value of stock options granted was estimated using the following assumptions during the six months ended June 30, 2025:</w:t>
      </w:r>
    </w:p>
    <w:p>
      <w:pPr>
        <w:pStyle w:val="TextBody"/>
        <w:bidi w:val="0"/>
        <w:jc w:val="left"/>
        <w:rPr/>
      </w:pPr>
      <w:r>
        <w:rPr/>
        <w:t> </w:t>
      </w:r>
    </w:p>
    <w:tbl>
      <w:tblPr>
        <w:tblW w:w="5845" w:type="dxa"/>
        <w:jc w:val="left"/>
        <w:tblInd w:w="0" w:type="dxa"/>
        <w:tblLayout w:type="fixed"/>
        <w:tblCellMar>
          <w:top w:w="28" w:type="dxa"/>
          <w:left w:w="28" w:type="dxa"/>
          <w:bottom w:w="28" w:type="dxa"/>
          <w:right w:w="28" w:type="dxa"/>
        </w:tblCellMar>
      </w:tblPr>
      <w:tblGrid>
        <w:gridCol w:w="2791"/>
        <w:gridCol w:w="146"/>
        <w:gridCol w:w="1411"/>
        <w:gridCol w:w="146"/>
        <w:gridCol w:w="1351"/>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99.0% - 103.5%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82.9% - 84.9%</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of options,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5.5 - 6.1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5.5 - 6.1</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 - 4.4%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 - 4.6%</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the activity related to the Company’s time-vested stock option awards granted under the 2022 Plan for the six months ended June 30, 2025:</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023"/>
        <w:gridCol w:w="146"/>
        <w:gridCol w:w="194"/>
        <w:gridCol w:w="1382"/>
        <w:gridCol w:w="166"/>
        <w:gridCol w:w="146"/>
        <w:gridCol w:w="856"/>
        <w:gridCol w:w="1898"/>
        <w:gridCol w:w="394"/>
      </w:tblGrid>
      <w:tr>
        <w:trPr/>
        <w:tc>
          <w:tcPr>
            <w:tcW w:w="50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50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Exercise Price</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Time-vested options outstanding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19,778,670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12,478,509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(3,146,681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Time-vested options outstanding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29,110,498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Time-vested options exercisable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9,274,222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 average remaining contractual life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 years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Time-vested options vested and expected to vest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29,110,498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 average remaining contractual life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 years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2025, the Company had total unrecognized stock-based compensation expense of approximately $37,836,000 related to the time-vested grants under the 2022 Plan, which is expected to be recognized on a straight-line basis over a weighted average period of 2.8 years. The weighted average grant date fair value for the option grants during the six months ended June 30, 2025 and 2024 was $0.95 and $1.33,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aggregate intrinsic value of the in-the-money time-vested awards outstanding and those exercisable as of June 30, 2025 was $0 in each instance.</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Performance-Based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issued stock options to certain of its employees which vest based on the achievement of both operational performance metrics and service rendered over a specific time period. The following table summarizes the activity related to the Company’s performance-based stock option awards granted under the 2022 Plan for the six months ended June 30,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226"/>
        <w:gridCol w:w="146"/>
        <w:gridCol w:w="206"/>
        <w:gridCol w:w="1319"/>
        <w:gridCol w:w="166"/>
        <w:gridCol w:w="146"/>
        <w:gridCol w:w="809"/>
        <w:gridCol w:w="1793"/>
        <w:gridCol w:w="394"/>
      </w:tblGrid>
      <w:tr>
        <w:trPr/>
        <w:tc>
          <w:tcPr>
            <w:tcW w:w="5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Exercise Price</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Performance-based options outstanding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1,671,250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(277,500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Performance-based options outstanding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1,393,750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Performance-based options exercisable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 average remaining contractual life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 years</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Performance-based options vested and expected to vest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 average remaining contractual life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 years</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June 30, 2025, the Company had no remaining unrecognized stock-based compensation expense related to its performance-based awards.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Legacy Profits Interests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Deed for the Establishment of a Limited Partnership of PKLP, dated as of August 5, 2021 (the “Limited Partnership Agreement”) which replaced the Amended and Restated Limited Liability Company Agreement of ProKidney LLC as the governing document of the parent entity in the Company, allowed for the issuance of Profits Interests (as defined in the Limited Partnership Agreement) to employees, directors, other service providers of the Company and others denominated in the form of one or more Class B Units of PKLP (as defined in the Limited Partnership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Limited Partnership Agreement, Legacy GP determined the terms and conditions of the Profits Interests issued. The threshold value assigned to each grant was not to be less than the fair market value of PKLP on the date of grant. Profits Interests awarded would vest at a rate of 25% on the latter of the first anniversary of employment and the first anniversary of the Acquisition Date with the remaining 75% to vest in increments of 25% on each anniversary following the first anniversary date, ratably over a three or four-year period from the date of grant, in annual installments of 33.3% over the three-year period from the date of grant, in increments of 6.25% each calendar quarter following the first anniversary date, or were fully vested upon issuance.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17, 2022, PKLP amended and restated its Limited Partnership Agreement (the “Amended and Restated Limited Partnership Agreement”) which provided that certain qualified distribution events would result in holders of Profits Interests receiving disproportionate distributions from PKLP until each such holder’s valuation threshold had been reduced to zero in order to “catch up” such holder’s distributions to its pro rata share of aggregate cumulative distributions, and once sufficient distributions to a holder of Profits Interests had been made in accordance with the foregoing, the associated Class B Units of PKLP would automatically be converted into Class A Units of PKLP (as defined in the Limited Partnership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consummation of the Business Combination discussed in Note 1, PKLP’s existing Class B and B-1 Units were “caught up” and were converted into Class A Units of PKLP. The resulting vested and unvested Class A Units of PKLP were then recapitalized into Post-Combination ProKidney Common Units or Restricted Common Units of the Company, respectively. This recapitalization resulted in a decrease in the number of awards held by each participant. As such, the number of Profits Interests and related per unit values within these financial statements have been adjusted to reflect this recapitalization. Upon recapitalization, the Restricted Common Units maintained the vesting schedules associated with the original Profits Interest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the activity related to the Profits Interest awards for the six months ended June 30, 2025: </w:t>
      </w:r>
    </w:p>
    <w:p>
      <w:pPr>
        <w:pStyle w:val="TextBody"/>
        <w:bidi w:val="0"/>
        <w:jc w:val="both"/>
        <w:rPr/>
      </w:pPr>
      <w:r>
        <w:rPr/>
        <w:t> </w:t>
      </w:r>
    </w:p>
    <w:tbl>
      <w:tblPr>
        <w:tblW w:w="10135" w:type="dxa"/>
        <w:jc w:val="left"/>
        <w:tblInd w:w="0" w:type="dxa"/>
        <w:tblLayout w:type="fixed"/>
        <w:tblCellMar>
          <w:top w:w="28" w:type="dxa"/>
          <w:left w:w="28" w:type="dxa"/>
          <w:bottom w:w="28" w:type="dxa"/>
          <w:right w:w="28" w:type="dxa"/>
        </w:tblCellMar>
      </w:tblPr>
      <w:tblGrid>
        <w:gridCol w:w="4036"/>
        <w:gridCol w:w="146"/>
        <w:gridCol w:w="219"/>
        <w:gridCol w:w="1401"/>
        <w:gridCol w:w="166"/>
        <w:gridCol w:w="146"/>
        <w:gridCol w:w="1129"/>
        <w:gridCol w:w="2501"/>
        <w:gridCol w:w="391"/>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Grant Date 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awards outstanding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1,755,686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(959,764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awards outstanding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742,684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June 30, 2025, the unrecognized compensation expense related to these awards was $3,042,000. The current weighted average remaining period over which the unrecognized compensation expense is expected to be recognized is 0.6 years.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aggregate intrinsic value of the unvested profits interests outstanding at June 30, 2025 was $440,000. The aggregate fair value of profits interests vested during the six months ended June 30, 2025 and 2024 was $1,582,000 and $1,914,000, respectively.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Equity-Based Compensation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Compensation expense related to equity-based awards is included in research and development and general and administrative expense as follows (in thousands):</w:t>
      </w:r>
    </w:p>
    <w:p>
      <w:pPr>
        <w:pStyle w:val="TextBody"/>
        <w:bidi w:val="0"/>
        <w:jc w:val="both"/>
        <w:rPr/>
      </w:pPr>
      <w:r>
        <w:rPr/>
        <w:t> </w:t>
      </w:r>
    </w:p>
    <w:tbl>
      <w:tblPr>
        <w:tblW w:w="9228" w:type="dxa"/>
        <w:jc w:val="left"/>
        <w:tblInd w:w="0" w:type="dxa"/>
        <w:tblLayout w:type="fixed"/>
        <w:tblCellMar>
          <w:top w:w="28" w:type="dxa"/>
          <w:left w:w="28" w:type="dxa"/>
          <w:bottom w:w="28" w:type="dxa"/>
          <w:right w:w="28" w:type="dxa"/>
        </w:tblCellMar>
      </w:tblPr>
      <w:tblGrid>
        <w:gridCol w:w="3641"/>
        <w:gridCol w:w="298"/>
        <w:gridCol w:w="807"/>
        <w:gridCol w:w="206"/>
        <w:gridCol w:w="206"/>
        <w:gridCol w:w="298"/>
        <w:gridCol w:w="807"/>
        <w:gridCol w:w="146"/>
        <w:gridCol w:w="146"/>
        <w:gridCol w:w="243"/>
        <w:gridCol w:w="780"/>
        <w:gridCol w:w="168"/>
        <w:gridCol w:w="168"/>
        <w:gridCol w:w="243"/>
        <w:gridCol w:w="780"/>
        <w:gridCol w:w="291"/>
      </w:tblGrid>
      <w:tr>
        <w:trPr/>
        <w:tc>
          <w:tcPr>
            <w:tcW w:w="364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2,867</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5,577</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3,673</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7,380</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equity-based compensation expense</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6,540</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12,957</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equity-based compensation by type of award (in thousands):</w:t>
      </w:r>
    </w:p>
    <w:p>
      <w:pPr>
        <w:pStyle w:val="TextBody"/>
        <w:bidi w:val="0"/>
        <w:jc w:val="left"/>
        <w:rPr/>
      </w:pPr>
      <w:r>
        <w:rPr/>
        <w:t> </w:t>
      </w:r>
    </w:p>
    <w:tbl>
      <w:tblPr>
        <w:tblW w:w="9228" w:type="dxa"/>
        <w:jc w:val="left"/>
        <w:tblInd w:w="0" w:type="dxa"/>
        <w:tblLayout w:type="fixed"/>
        <w:tblCellMar>
          <w:top w:w="28" w:type="dxa"/>
          <w:left w:w="28" w:type="dxa"/>
          <w:bottom w:w="28" w:type="dxa"/>
          <w:right w:w="28" w:type="dxa"/>
        </w:tblCellMar>
      </w:tblPr>
      <w:tblGrid>
        <w:gridCol w:w="3641"/>
        <w:gridCol w:w="298"/>
        <w:gridCol w:w="807"/>
        <w:gridCol w:w="206"/>
        <w:gridCol w:w="206"/>
        <w:gridCol w:w="298"/>
        <w:gridCol w:w="807"/>
        <w:gridCol w:w="146"/>
        <w:gridCol w:w="146"/>
        <w:gridCol w:w="243"/>
        <w:gridCol w:w="780"/>
        <w:gridCol w:w="168"/>
        <w:gridCol w:w="168"/>
        <w:gridCol w:w="243"/>
        <w:gridCol w:w="780"/>
        <w:gridCol w:w="291"/>
      </w:tblGrid>
      <w:tr>
        <w:trPr/>
        <w:tc>
          <w:tcPr>
            <w:tcW w:w="364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Time-vested stock options</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5,214</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10,162</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Performance-based stock options</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Legacy profits interests</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2,790</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equity-based compensation expense</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6,540</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12,957</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15,489</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11: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regularly review our operating segments and the approach used by management to evaluate performance and allocate resources. We manage our business as a single operating segment. The Company’s Chief Executive Officer is considered to be the Company’s chief operating decision maker under the requirements of Topic 280 of the ASC “Segments”. The primary measure of profit/loss reviewed by the chief operating decision maker (“CODM”) is net loss before noncontrolling interest.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does not have any product candidates approved for sale and has not generated any revenue from product sales. The Company recognizes lease revenue related to lease agreements held with certain third parties which leased space in the buildings which also house the Company’s manufacturing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manage our assets on a total company basis, not by operating segment. Therefore, our CODM does not regularly review any asset information other than total Company assets. See the Company’s Condensed Consolidated Balance Sheets for total assets. The majority of the Company’s long-lived assets are located in the United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selected income statement information for our single reportable segment (in thousands):</w:t>
      </w:r>
    </w:p>
    <w:p>
      <w:pPr>
        <w:pStyle w:val="TextBody"/>
        <w:bidi w:val="0"/>
        <w:jc w:val="left"/>
        <w:rPr/>
      </w:pPr>
      <w:r>
        <w:rPr/>
        <w:t> </w:t>
      </w:r>
    </w:p>
    <w:tbl>
      <w:tblPr>
        <w:tblW w:w="10092" w:type="dxa"/>
        <w:jc w:val="left"/>
        <w:tblInd w:w="0" w:type="dxa"/>
        <w:tblLayout w:type="fixed"/>
        <w:tblCellMar>
          <w:top w:w="28" w:type="dxa"/>
          <w:left w:w="28" w:type="dxa"/>
          <w:bottom w:w="28" w:type="dxa"/>
          <w:right w:w="28" w:type="dxa"/>
        </w:tblCellMar>
      </w:tblPr>
      <w:tblGrid>
        <w:gridCol w:w="3241"/>
        <w:gridCol w:w="314"/>
        <w:gridCol w:w="1096"/>
        <w:gridCol w:w="247"/>
        <w:gridCol w:w="217"/>
        <w:gridCol w:w="314"/>
        <w:gridCol w:w="1096"/>
        <w:gridCol w:w="166"/>
        <w:gridCol w:w="146"/>
        <w:gridCol w:w="291"/>
        <w:gridCol w:w="1016"/>
        <w:gridCol w:w="229"/>
        <w:gridCol w:w="201"/>
        <w:gridCol w:w="291"/>
        <w:gridCol w:w="1016"/>
        <w:gridCol w:w="211"/>
      </w:tblGrid>
      <w:tr>
        <w:trPr/>
        <w:tc>
          <w:tcPr>
            <w:tcW w:w="324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noncontrolling interest</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(36,965</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(74,917</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(73,799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Rental income</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2,875</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Equity-based compensation</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6,540</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12,957</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3,593</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7,620</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provides significant expense categories that are regularly reported to the CODM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08"/>
        <w:gridCol w:w="306"/>
        <w:gridCol w:w="1070"/>
        <w:gridCol w:w="241"/>
        <w:gridCol w:w="212"/>
        <w:gridCol w:w="306"/>
        <w:gridCol w:w="1070"/>
        <w:gridCol w:w="166"/>
        <w:gridCol w:w="146"/>
        <w:gridCol w:w="285"/>
        <w:gridCol w:w="996"/>
        <w:gridCol w:w="224"/>
        <w:gridCol w:w="197"/>
        <w:gridCol w:w="285"/>
        <w:gridCol w:w="996"/>
        <w:gridCol w:w="397"/>
      </w:tblGrid>
      <w:tr>
        <w:trPr/>
        <w:tc>
          <w:tcPr>
            <w:tcW w:w="330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3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376"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281"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281"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3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trial expense</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14,711</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18,927</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compensation</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27,064</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21,669</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operating expenses</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24,739</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24,701</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segment items (1)</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4,592</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8,854</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8,502</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before noncontrolling interest</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(36,965</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(74,917</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(73,799</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segment items primarily include interest income, equity-based compensation and depreciation.</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12: Subsequent Events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Domestication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July 1, 2025 (the “Domestication Date”), the Company completed a domestication process through which it changed its jurisdiction of incorporation from the Cayman Islands to the State of Delaware (the “Domestication”). In connection with the Domestication, the Company also completed certain other restructuring transactions (such transactions, together with the Domestication, the “Restructuring”) on the Domestication Date. Prior to the Restructuring, ProKidney Corp. conducted its business indirectly through PKLP and its subsidiaries. As part of the Restructuring, (i) PKLP contributed substantially all of its assets to a newly formed subsidiary, ProKidney Holdings, LLC, a Delaware limited liability company (“ProKidney Holdings”) (other than its limited liability company interests in ProKidney Holdings), (ii) PKLP commenced winding-up and made a liquidating distribution of its limited liability company interests in ProKidney Holdings to its partners, including ProKidney Corp., in redemption of their interests in PKLP, and (iii) ProKidney Corp. GP Limited, the general partner of PKLP, sold its nominal economic interest in ProKidney Holdings received in such liquidating distribution to ProKidney Corp. (collectively, the “Substitution”). Immediately following the Domestication, ProKidney-KY, then a wholly owned subsidiary of ProKidney Holdings and a Cayman Islands exempted company, re-registered as a Cayman Islands limited liability company and then deregistered as a limited liability company in the Cayman Islands and registered by way of continuation out for purposes of the Limited Liability Companies Act (as amended) of the Cayman Islands and domesticated and continued for purposes of the Delaware Limited Liability Company Act as a Delaware limited liability company named ProKidney IPCo, LLC (“ProKidney IPCo”). As a result of the consummation of the Domestication and the other transactions involved in the Restructuring, the Company and the other former limited partners of PKLP are now members of ProKidney Holdings, and ProKidney Holdings owns all of the subsidiaries that conduct the Company’s business, including ProKidney IPCo.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Domestication and the other Restructuring transactions, the Company amended and restated certain of its material agreements, each originally dated July 11, 2022, on substantially similar terms in order to reflect updates to the Company’s corporate structure resulting from the Restructuring including (i) an Amended and Restated Tax Receivable Agreement, (ii) an Amended and Restated Lock-Up Agreement, and (iii) an Amended and Restated Exchange Agreement. In addition, on the Domestication Date, the Company, together with the other former limited partners of PKLP, also entered into the Second Amended and Restated Limited Liability Company Agreement of ProKidney Holdings to provide for the governance of ProKidney Holdings and reflect the changes to its capital structure resulting from the Restructuring.</w:t>
      </w:r>
    </w:p>
    <w:p>
      <w:pPr>
        <w:pStyle w:val="TextBody"/>
        <w:bidi w:val="0"/>
        <w:spacing w:before="120" w:after="283"/>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0" w:name="i_item2"/>
      <w:bookmarkEnd w:id="10"/>
      <w:r>
        <w:rPr>
          <w:rFonts w:ascii="Times New Roman" w:hAnsi="Times New Roman"/>
          <w:b/>
          <w:color w:val="000000"/>
          <w:sz w:val="20"/>
        </w:rPr>
        <w:t>Item 2. Management’s Discussion and Analysis of Financial Condition and Results of Operations.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As used in this Quarterly Report on Form 10-Q, the “Company”, the “Registrant”, “we” or “us” refer to ProKidney Corp. The following discussion and analysis of our financial condition and results of operations should be read in conjunction with our unaudited condensed consolidated financial statements and related notes that appear elsewhere in this report. In addition to historical financial information, the following discussion contains forward-looking statements that reflect our plans, estimates, assumptions and beliefs. Our actual results could differ materially from those discussed in the forward-looking statements. Factors that could cause or contribute to these differences include those discussed in the Risk Factors section of the Annual Report on Form 10-K filed with the Securities and Exchange Commission, and elsewhere in this report under “Part II, Other Information—Item 1A, Risk Factors.” Forward-looking statements include information concerning our possible or assumed future results of operations, business strategies and operations, financing plans, potential growth opportunities, potential market opportunities, potential results of our drug development efforts or trials, and the effects of competition. Forward-looking statements include all statements that are not historical facts and can be identified by terms such as “anticipates,” “believes,” “could,” “seeks,” “estimates,” “expects,” “intends,” “may,” “plans,” “potential,” “predicts,” “projects,” “should,” “will,” “would” or similar expressions and the negatives of those terms. Given these uncertainties, you should not place undue reliance on these forward-looking statements. Also, forward-looking statements represent our management’s plans, estimates, assumptions and beliefs only as of the date of this report.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ProKidney, a pioneer in the treatment of chronic kidney disease (“CKD”) through innovations in cell therapy, was founded in 2015 after a decade of research. We are a clinical-stage biotechnology company with a proprietary cell therapy platform that has the potential to treat CKD using a patient’s own cells. Our approach seeks to redefine the treatment of CKD, shifting the emphasis away from management of kidney failure to the preservation of kidney function.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ProKidney’s lead product candidate, rilparencel (also known as REACT®), is a first-in-class, patented, proprietary autologous cell therapy being evaluated in the ongoing Phase 3 REGEN-006 (PROACT 1) trial to demonstrate the therapy’s potential to preserve kidney function in patients with type 2 diabetes and advanced CKD. Rilparencel received Regenerative Medicine Advanced Therapy (“RMAT”) designation from the United States Food &amp; Drug Administration (“FDA”).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we have devoted substantially all of our resources to organizing and staffing our company, business and scientific planning, conducting discovery and research activities, establishing and protecting our intellectual property portfolio, developing and progressing rilparencel, raising capital, sponsoring clinical trials, establishing arrangements with third parties for the manufacture of component materials, and providing general and administrative support for these operations. We do not have any product candidates approved for sale and have not generated any revenue from product sales.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Developments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PROACT 1:</w:t>
      </w:r>
    </w:p>
    <w:p>
      <w:pPr>
        <w:pStyle w:val="TextBody"/>
        <w:bidi w:val="0"/>
        <w:spacing w:before="120" w:after="283"/>
        <w:jc w:val="left"/>
        <w:rPr>
          <w:rFonts w:ascii="Times New Roman" w:hAnsi="Times New Roman"/>
          <w:sz w:val="20"/>
        </w:rPr>
      </w:pPr>
      <w:r>
        <w:rPr>
          <w:rFonts w:ascii="Times New Roman" w:hAnsi="Times New Roman"/>
          <w:color w:val="000000"/>
          <w:sz w:val="20"/>
        </w:rPr>
        <w:t>PROACT 1 is an ongoing Phase 3, randomized, blinded, sham controlled safety and efficacy study of rilparencel in subjects with type 2 diabetes and advanced CKD. The study protocol was amended in 1H 2024 to focus on a subset of patients with Stage 4 CKD (estimated glomerular filtration rate (“eGFR”) 20-30 mL/min/1.73m</w:t>
      </w:r>
      <w:r>
        <w:rPr>
          <w:rFonts w:ascii="Times New Roman" w:hAnsi="Times New Roman"/>
          <w:color w:val="000000"/>
          <w:sz w:val="13"/>
        </w:rPr>
        <w:t>2</w:t>
      </w:r>
      <w:r>
        <w:rPr>
          <w:rFonts w:ascii="Times New Roman" w:hAnsi="Times New Roman"/>
          <w:color w:val="000000"/>
          <w:sz w:val="20"/>
        </w:rPr>
        <w:t>) and late Stage 3b CKD (eGFR 30-35 mL/min/1.73m</w:t>
      </w:r>
      <w:r>
        <w:rPr>
          <w:rFonts w:ascii="Times New Roman" w:hAnsi="Times New Roman"/>
          <w:color w:val="000000"/>
          <w:sz w:val="13"/>
        </w:rPr>
        <w:t>2</w:t>
      </w:r>
      <w:r>
        <w:rPr>
          <w:rFonts w:ascii="Times New Roman" w:hAnsi="Times New Roman"/>
          <w:color w:val="000000"/>
          <w:sz w:val="20"/>
        </w:rPr>
        <w:t>) with accompanying albuminuria (UACR less than 5,000 mg/g for patients with eGFR 20-30 mL/min/1.73m</w:t>
      </w:r>
      <w:r>
        <w:rPr>
          <w:rFonts w:ascii="Times New Roman" w:hAnsi="Times New Roman"/>
          <w:color w:val="000000"/>
          <w:sz w:val="13"/>
        </w:rPr>
        <w:t>2</w:t>
      </w:r>
      <w:r>
        <w:rPr>
          <w:rFonts w:ascii="Times New Roman" w:hAnsi="Times New Roman"/>
          <w:color w:val="000000"/>
          <w:sz w:val="20"/>
        </w:rPr>
        <w:t xml:space="preserve"> and 300-5,000 mg/g for patients with eGFR 30-35 mL/min/1.73m</w:t>
      </w:r>
      <w:r>
        <w:rPr>
          <w:rFonts w:ascii="Times New Roman" w:hAnsi="Times New Roman"/>
          <w:color w:val="000000"/>
          <w:sz w:val="13"/>
        </w:rPr>
        <w:t>2</w:t>
      </w:r>
      <w:r>
        <w:rPr>
          <w:rFonts w:ascii="Times New Roman" w:hAnsi="Times New Roman"/>
          <w:color w:val="000000"/>
          <w:sz w:val="20"/>
        </w:rPr>
        <w:t>). The total planned enrollment is approximately 685 subjects. Subjects are randomized (1:1) to the treatment group and the sham control group prior to kidney biopsy or a sham biopsy procedure, respectively. The primary objective is to assess the efficacy of up to two rilparencel injections (one in each kidney) using a minimally invasive percutaneous approach. The surrogate endpoint for accelerated approval is eGFR slope, and the primary composite endpoint is the time from first injection to the earliest of: at least 40% reduction in eGFR; eGFR &lt;15 mL/min/1.73m², and/or chronic dialysis, and/or kidney transplant; or kidney or cardiovascular death.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 recent Type B meeting, the FDA confirmed that the slope of eGFR in patients from the ongoing Phase 3 PROACT 1 study can serve as the surrogate endpoint and primary basis for a Biologics License Application (“BLA”) submission of rilparencel under the accelerated approval pathway. The FDA agreed that a rilparencel effect size (versus sham controls) of at least 1.5 mL/min/1.73m2/year improvement would be an acceptable demonstration of efficacy in the setting of patients receiving appropriate standard of care therapies. We anticipate topline data readout of eGFR slope as the surrogate endpoint to support an application for accelerated approval in the second quarter of 2027. We have enrolled nearly half of the patients required for the accelerated approval analysis. The FDA also confirmed that the ongoing Phase 3 PROACT 1 study may serve as the confirmatory study to support full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approval of rilparencel based on the primary time-to-event composite endpoint specified in the protocol. Updated guidance on the expected timing of the confirmatory readout will be provided in the first half of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REGEN-007: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recently completed our REGEN-007 trial, a multi-center Phase 2 open-label 1:1 randomized two-arm trial of rilparencel in patients with diabetes, CKD, and an eGFR of 20-50 mL/min/1.73m². At randomization, patients were assigned to one of two treatment groups using different dosing regimens. Group 1 replicated the dosing schedule of our ongoing Phase 3 PROACT 1 study in which patients received two scheduled rilparencel injections (one in each kidney), approximately three months apart. Group 2 tested an exploratory dosing regimen to investigate whether disease progression triggers, rather than a time-based trigger, could optimize multiple administrations of rilparencel. In Group 2, patients received a single rilparencel injection in one kidney and a second injection in the contralateral kidney only if triggered by a sustained eGFR decline from baseline of ≥ 20%, and/or an increase in the urine albumin to creatinine ratio (“UACR”) from baseline of ≥ 30% and ≥ 30 mg/g.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prespecified primary endpoint for REGEN-007 is the difference in annual eGFR slope (calculated using a linear mixed effects model) in the pre-injection period versus the period following the last rilparencel injection. The pre-injection period included all historical eGFR values collected up to 24 months before the screening visit as well as the on-study central laboratory eGFR results prior to first rilparencel injection. The period following the last injection included eGFR values from the last rilparencel injection to the end of study (EOS) visit. Median follow-up after the last injection was approximately 18 months in both Group 1 and Group 2.</w:t>
      </w:r>
    </w:p>
    <w:p>
      <w:pPr>
        <w:pStyle w:val="TextBody"/>
        <w:bidi w:val="0"/>
        <w:spacing w:before="120" w:after="283"/>
        <w:jc w:val="left"/>
        <w:rPr>
          <w:rFonts w:ascii="Times New Roman" w:hAnsi="Times New Roman"/>
          <w:sz w:val="20"/>
        </w:rPr>
      </w:pPr>
      <w:r>
        <w:rPr>
          <w:rFonts w:ascii="Times New Roman" w:hAnsi="Times New Roman"/>
          <w:color w:val="000000"/>
          <w:sz w:val="20"/>
        </w:rPr>
        <w:t>Fifty-three patients were randomized in the study, of whom 49 patients (mITT population) received at least one rilparencel injection. Four patients did not receive any rilparencel injections. The majority of patients were male (69%), and the mean age was 60 years. At baseline, 38 of 49 patients (78%) had type 2 diabetes mellitus and 11 (22%) had type 1 diabetes. Thirty-nine (80%) patients were receiving an angiotensin-converting enzyme inhibitor (ACEi) or an angiotensin II receptor blocker (ARB), and 18 (37%) were receiving a sodium-glucose cotransporter-2 inhibitor (SGLT2i). At baseline, the mean (SD) eGFR was 33±10 mL/min/1.73m</w:t>
      </w:r>
      <w:r>
        <w:rPr>
          <w:rFonts w:ascii="Times New Roman" w:hAnsi="Times New Roman"/>
          <w:color w:val="000000"/>
          <w:sz w:val="13"/>
        </w:rPr>
        <w:t>2</w:t>
      </w:r>
      <w:r>
        <w:rPr>
          <w:rFonts w:ascii="Times New Roman" w:hAnsi="Times New Roman"/>
          <w:color w:val="000000"/>
          <w:sz w:val="20"/>
        </w:rPr>
        <w:t>. Notably, the median UACR was higher in Group 1 (792 mg/g) compared to Group 2 (229 mg/g).</w:t>
      </w:r>
    </w:p>
    <w:p>
      <w:pPr>
        <w:pStyle w:val="TextBody"/>
        <w:bidi w:val="0"/>
        <w:jc w:val="left"/>
        <w:rPr/>
      </w:pPr>
      <w:r>
        <w:rPr/>
        <w:t> </w:t>
      </w:r>
    </w:p>
    <w:tbl>
      <w:tblPr>
        <w:tblW w:w="6276" w:type="dxa"/>
        <w:jc w:val="left"/>
        <w:tblInd w:w="0" w:type="dxa"/>
        <w:tblLayout w:type="fixed"/>
        <w:tblCellMar>
          <w:top w:w="28" w:type="dxa"/>
          <w:left w:w="28" w:type="dxa"/>
          <w:bottom w:w="28" w:type="dxa"/>
          <w:right w:w="28" w:type="dxa"/>
        </w:tblCellMar>
      </w:tblPr>
      <w:tblGrid>
        <w:gridCol w:w="676"/>
        <w:gridCol w:w="916"/>
        <w:gridCol w:w="676"/>
        <w:gridCol w:w="1081"/>
        <w:gridCol w:w="1456"/>
        <w:gridCol w:w="1471"/>
      </w:tblGrid>
      <w:tr>
        <w:trPr/>
        <w:tc>
          <w:tcPr>
            <w:tcW w:w="67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r>
      <w:tr>
        <w:trPr/>
        <w:tc>
          <w:tcPr>
            <w:tcW w:w="676" w:type="dxa"/>
            <w:tcBorders>
              <w:top w:val="single" w:sz="4" w:space="0" w:color="000000"/>
              <w:left w:val="single" w:sz="4" w:space="0" w:color="000000"/>
            </w:tcBorders>
            <w:shd w:fill="CFF0FC" w:val="clear"/>
            <w:tcMar>
              <w:bottom w:w="0" w:type="dxa"/>
              <w:right w:w="0" w:type="dxa"/>
            </w:tcMar>
            <w:vAlign w:val="center"/>
          </w:tcPr>
          <w:p>
            <w:pPr>
              <w:pStyle w:val="TableContents"/>
              <w:bidi w:val="0"/>
              <w:spacing w:before="0" w:after="283"/>
              <w:jc w:val="left"/>
              <w:rPr/>
            </w:pPr>
            <w:r>
              <w:rPr/>
              <w:t> </w:t>
            </w:r>
          </w:p>
        </w:tc>
        <w:tc>
          <w:tcPr>
            <w:tcW w:w="916" w:type="dxa"/>
            <w:tcBorders>
              <w:top w:val="single" w:sz="4" w:space="0" w:color="000000"/>
              <w:right w:val="single" w:sz="4" w:space="0" w:color="000000"/>
            </w:tcBorders>
            <w:shd w:fill="CFF0FC" w:val="clear"/>
            <w:tcMar>
              <w:left w:w="0" w:type="dxa"/>
              <w:bottom w:w="0" w:type="dxa"/>
            </w:tcMar>
            <w:vAlign w:val="center"/>
          </w:tcPr>
          <w:p>
            <w:pPr>
              <w:pStyle w:val="TableContents"/>
              <w:bidi w:val="0"/>
              <w:spacing w:before="0" w:after="283"/>
              <w:jc w:val="left"/>
              <w:rPr/>
            </w:pPr>
            <w:r>
              <w:rPr/>
              <w:t> </w:t>
            </w:r>
          </w:p>
        </w:tc>
        <w:tc>
          <w:tcPr>
            <w:tcW w:w="4684" w:type="dxa"/>
            <w:gridSpan w:val="4"/>
            <w:tcBorders>
              <w:top w:val="single" w:sz="4" w:space="0" w:color="000000"/>
              <w:right w:val="single" w:sz="4" w:space="0" w:color="000000"/>
            </w:tcBorders>
            <w:shd w:fill="CFF0FC" w:val="clear"/>
            <w:tcMar>
              <w:left w:w="0" w:type="dxa"/>
              <w:bottom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Annual eGFR Slope (mL/min/1.73m</w:t>
            </w:r>
            <w:r>
              <w:rPr>
                <w:rFonts w:ascii="Times New Roman" w:hAnsi="Times New Roman"/>
                <w:b/>
                <w:color w:val="000000"/>
                <w:sz w:val="13"/>
              </w:rPr>
              <w:t>2</w:t>
            </w:r>
            <w:r>
              <w:rPr>
                <w:rFonts w:ascii="Times New Roman" w:hAnsi="Times New Roman"/>
                <w:b/>
                <w:color w:val="000000"/>
                <w:sz w:val="20"/>
              </w:rPr>
              <w:t>)</w:t>
            </w:r>
          </w:p>
        </w:tc>
      </w:tr>
      <w:tr>
        <w:trPr/>
        <w:tc>
          <w:tcPr>
            <w:tcW w:w="676" w:type="dxa"/>
            <w:tcBorders>
              <w:left w:val="single" w:sz="4" w:space="0" w:color="000000"/>
              <w:bottom w:val="single" w:sz="4" w:space="0" w:color="000000"/>
            </w:tcBorders>
            <w:shd w:fill="CFF0FC" w:val="clear"/>
            <w:tcMar>
              <w:top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Group</w:t>
            </w:r>
          </w:p>
        </w:tc>
        <w:tc>
          <w:tcPr>
            <w:tcW w:w="91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 (mITT)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 inj</w:t>
            </w:r>
          </w:p>
        </w:tc>
        <w:tc>
          <w:tcPr>
            <w:tcW w:w="10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Post last inj</w:t>
            </w:r>
          </w:p>
        </w:tc>
        <w:tc>
          <w:tcPr>
            <w:tcW w:w="1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Absolute benefit</w:t>
            </w:r>
          </w:p>
        </w:tc>
        <w:tc>
          <w:tcPr>
            <w:tcW w:w="147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Relative benefit</w:t>
            </w:r>
          </w:p>
        </w:tc>
      </w:tr>
      <w:tr>
        <w:trPr/>
        <w:tc>
          <w:tcPr>
            <w:tcW w:w="67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w:t>
            </w:r>
          </w:p>
        </w:tc>
        <w:tc>
          <w:tcPr>
            <w:tcW w:w="9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w:t>
            </w:r>
          </w:p>
        </w:tc>
        <w:tc>
          <w:tcPr>
            <w:tcW w:w="10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4.6</w:t>
            </w:r>
          </w:p>
        </w:tc>
        <w:tc>
          <w:tcPr>
            <w:tcW w:w="14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78%</w:t>
            </w:r>
          </w:p>
        </w:tc>
      </w:tr>
      <w:tr>
        <w:trPr/>
        <w:tc>
          <w:tcPr>
            <w:tcW w:w="676"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w:t>
            </w:r>
          </w:p>
        </w:tc>
        <w:tc>
          <w:tcPr>
            <w:tcW w:w="9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w:t>
            </w:r>
          </w:p>
        </w:tc>
        <w:tc>
          <w:tcPr>
            <w:tcW w:w="10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1.7</w:t>
            </w:r>
          </w:p>
        </w:tc>
        <w:tc>
          <w:tcPr>
            <w:tcW w:w="147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50%</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In Group 1 (n=24), kidney function stabilized after receiving rilparencel. The annual decline in eGFR slope improved by 78% from -5.8 mL/min/1.73m</w:t>
      </w:r>
      <w:r>
        <w:rPr>
          <w:rFonts w:ascii="Times New Roman" w:hAnsi="Times New Roman"/>
          <w:color w:val="000000"/>
          <w:sz w:val="13"/>
        </w:rPr>
        <w:t>2</w:t>
      </w:r>
      <w:r>
        <w:rPr>
          <w:rFonts w:ascii="Times New Roman" w:hAnsi="Times New Roman"/>
          <w:color w:val="000000"/>
          <w:sz w:val="20"/>
        </w:rPr>
        <w:t xml:space="preserve"> in the pre-injection period to -1.3 mL/min/1.73m</w:t>
      </w:r>
      <w:r>
        <w:rPr>
          <w:rFonts w:ascii="Times New Roman" w:hAnsi="Times New Roman"/>
          <w:color w:val="000000"/>
          <w:sz w:val="13"/>
        </w:rPr>
        <w:t>2</w:t>
      </w:r>
      <w:r>
        <w:rPr>
          <w:rFonts w:ascii="Times New Roman" w:hAnsi="Times New Roman"/>
          <w:color w:val="000000"/>
          <w:sz w:val="20"/>
        </w:rPr>
        <w:t xml:space="preserve"> in the period following the last rilparencel injection. This 4.6 mL/min/1.73m</w:t>
      </w:r>
      <w:r>
        <w:rPr>
          <w:rFonts w:ascii="Times New Roman" w:hAnsi="Times New Roman"/>
          <w:color w:val="000000"/>
          <w:sz w:val="13"/>
        </w:rPr>
        <w:t>2</w:t>
      </w:r>
      <w:r>
        <w:rPr>
          <w:rFonts w:ascii="Times New Roman" w:hAnsi="Times New Roman"/>
          <w:color w:val="000000"/>
          <w:sz w:val="20"/>
        </w:rPr>
        <w:t xml:space="preserve"> per year difference was statistically significant (p&lt;0.001) and clinically meaningful. Of the 24 patients in Group 1, 15 (63%) met key Phase 3 PROACT 1 inclusion criteria, and similar efficacy results were observed in this subgroup compared to the full Group 1 results. The Phase 3 PROACT 1 protocol was amended in the first half of 2024 after a similar eGFR efficacy signal was observed in the Phase 2 RMCL-002 study subgroup analysis (n=23) of high-UACR, Stage 4 CKD patients with type 2 diabetes.</w:t>
      </w:r>
    </w:p>
    <w:p>
      <w:pPr>
        <w:pStyle w:val="TextBody"/>
        <w:bidi w:val="0"/>
        <w:spacing w:before="120" w:after="283"/>
        <w:jc w:val="left"/>
        <w:rPr>
          <w:rFonts w:ascii="Times New Roman" w:hAnsi="Times New Roman"/>
          <w:sz w:val="20"/>
        </w:rPr>
      </w:pPr>
      <w:r>
        <w:rPr>
          <w:rFonts w:ascii="Times New Roman" w:hAnsi="Times New Roman"/>
          <w:color w:val="000000"/>
          <w:sz w:val="20"/>
        </w:rPr>
        <w:t>In Group 2 (n=25), the annual change in kidney function as measured by eGFR slope was -3.4 mL/min/1.73m</w:t>
      </w:r>
      <w:r>
        <w:rPr>
          <w:rFonts w:ascii="Times New Roman" w:hAnsi="Times New Roman"/>
          <w:color w:val="000000"/>
          <w:sz w:val="13"/>
        </w:rPr>
        <w:t>2</w:t>
      </w:r>
      <w:r>
        <w:rPr>
          <w:rFonts w:ascii="Times New Roman" w:hAnsi="Times New Roman"/>
          <w:color w:val="000000"/>
          <w:sz w:val="20"/>
        </w:rPr>
        <w:t xml:space="preserve"> in the pre-injection period versus -1.7 mL/min/1.73m</w:t>
      </w:r>
      <w:r>
        <w:rPr>
          <w:rFonts w:ascii="Times New Roman" w:hAnsi="Times New Roman"/>
          <w:color w:val="000000"/>
          <w:sz w:val="13"/>
        </w:rPr>
        <w:t>2</w:t>
      </w:r>
      <w:r>
        <w:rPr>
          <w:rFonts w:ascii="Times New Roman" w:hAnsi="Times New Roman"/>
          <w:color w:val="000000"/>
          <w:sz w:val="20"/>
        </w:rPr>
        <w:t xml:space="preserve"> in the period following the last rilparencel injection, resulting in an improvement of 50%, or 1.7 mL/min/1.73m</w:t>
      </w:r>
      <w:r>
        <w:rPr>
          <w:rFonts w:ascii="Times New Roman" w:hAnsi="Times New Roman"/>
          <w:color w:val="000000"/>
          <w:sz w:val="13"/>
        </w:rPr>
        <w:t>2</w:t>
      </w:r>
      <w:r>
        <w:rPr>
          <w:rFonts w:ascii="Times New Roman" w:hAnsi="Times New Roman"/>
          <w:color w:val="000000"/>
          <w:sz w:val="20"/>
        </w:rPr>
        <w:t xml:space="preserve"> per year. This difference was not statistically significant (p=0.085) but suggests evidence of a dose response. Out of the 25 patients in Group 2, 15 (60%) met the re-dosing trigger and received a second rilparencel injection. The median time between the first and second injections in these 15 patients was approximately 11 months.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rilparencel-related serious adverse events were observed across all patients in the study who received at least one rilparencel injection (n=49). The safety profile was consistent with previously reported study results and comparable to a kidney biopsy.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Full results from REGEN-007 will be submitted to the American Society of Nephrology (ASN) 2025 Kidney Week as a late-breaking clinical trial.</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Completion of Domestication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 July 1, 2025 (the “Domestication Date”), we completed a domestication process through which we changed our jurisdiction of incorporation from the Cayman Islands to the State of Delaware (the “Domestication”). In connection with the Domestication, we also completed certain other restructuring transactions (such transactions, together with the Domestication, the “Restructuring”) on the Domestication Date. Prior to the Restructuring, we conducted our business indirectly through ProKidney LP (“PKLP”), a limited partnership under the laws and regulations of Ireland, and its subsidiaries. As part of the Restructuring, (i) PKLP contributed substantially all of its assets to a newly formed subsidiary, ProKidney Holdings, LLC, a Delaware limited liability company (“ProKidney Holdings”) (other than its limited liability company interests in ProKidney Holdings), (ii) PKLP commenced winding-up and made a liquidating distribution of its limited liability company interests in ProKidney Holdings to its partners,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including the Company, in redemption of their interests in PKLP, and (iii) ProKidney Corp. GP Limited, the general partner of PKLP, sold its nominal economic interest in ProKidney Holdings received in such liquidating distribution to us (collectively, the “Substitution”). Immediately following the Domestication, ProKidney, then a wholly owned subsidiary of ProKidney Holdings and a Cayman Islands exempted company, re-registered as a Cayman Islands limited liability company and then deregistered as a limited liability company in the Cayman Islands and registered by way of continuation out for purposes of the Limited Liability Companies Act (as amended) of the Cayman Islands and domesticated and continued for purposes of the Delaware Limited Liability Company Act as a Delaware limited liability company named ProKidney IPCo, LLC (“ProKidney IPCo”). As a result of the consummation of the Domestication and the other transactions involved in the Restructuring, we and the other former limited partners of PKLP are now members of ProKidney Holdings, and ProKidney Holdings owns all of the subsidiaries that conduct our business, including ProKidney IPCo.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Domestication and the other Restructuring transactions, we amended and restated certain of its material agreements, each originally dated July 11, 2022, on substantially similar terms in order to reflect updates to our corporate structure resulting from the Restructuring including (i) an Amended and Restated Tax Receivable Agreement, (ii) an Amended and Restated Lock-Up Agreement, and (iii) an Amended and Restated Exchange Agreement. In addition, on the Domestication Date, we, together with the other former limited partners of PKLP, also entered into the Second Amended and Restated Limited Liability Company Agreement of ProKidney Holdings to provide for the governance of ProKidney Holdings and reflect the changes to our capital structure resulting from the Restructuring.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presentation purposes, unless otherwise noted, “ordinary shares” before the domestication and “common stock” subsequent to the domestication are referred to herein as common stock.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Financial Operations Overview</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generated any revenue since our inception and do not expect to generate any revenue from the sale of products in the near future, if at all. If our development efforts for rilparencel or any other product candidates are successful and result in marketing approval, or if we enter into collaboration or license agreements with third parties, we may generate revenue in the future from a combination of product sales or payments from such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Beginning in the three months ended December 31, 2024, we recognized revenue related to leasing activities associated with existing lease agreements assumed through the acquisition of two buildings in Winston-Salem, North Carolina where we also conduct our manufacturing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Expenses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consist primarily of costs incurred in connection with our research and development activities, including the development of rilparencel.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costs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external research and development expenses incurred under agreements with CROs and other scientific development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of other outside consultants, including their fees and related travel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related to compliance with quality and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of laboratory supplies and acquiring and developing clinical trial materials;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payments made under third-party licensing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personnel-related expenses, including salaries, bonuses, benefits and stock-based compensation expenses, for individuals involved in research and development activities;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facilities, depreciation and other allocated expenses, which include direct and allocated expenses for rent, insurance and other internal operating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expense research and development costs as incurred. We recognize external development costs based on an evaluation of the progress to completion of specific tasks using information provided to us by our vendors. Payments for these activities are based on the terms of the individual agreements, which may differ from the pattern of costs incurred, and are reflected in our consolidated balance sheets as prepaid clinical or as a component of total accrued expenses and other. Nonrefundable advance payments for goods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or services to be received in the future for use in research and development activities are deferred and capitalized, even when there is no alternative future use for the research and development. The capitalized amounts are recorded as prepaid clinical and are expensed as the related goods are delivered or the services are performed.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activities are central to our business model. We expect that our research and development expenses will increase significantly for the foreseeable future as rilparencel moves into later stages of clinical development.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successful development of rilparencel and any product candidates we may develop in the future is highly uncertain. Therefore, we cannot reasonably estimate or know the nature, timing and estimated costs of the efforts that will be necessary to complete the development and commercialization of any of our product candidates. We are also unable to predict when, if ever, material net cash inflows will commence from the sale of rilparencel or potential future product candidates, if approved. This is due to the numerous risks and uncertainties associated with developing product candidates, many of which are outside of our control, including the uncertainty 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progress of nonclinical and clinical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scope of nonclinical and clinical programs we decide to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our current research and development programs and to establish new ones;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an appropriate safety profile;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sites and patients involved in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countries in which the clinical trials are conducted;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 patient trial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patient enrollment in, and the initiation of, clinical trials, as well as drop out or discontinuation rates;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successful completion of clinical trials with safety, tolerability and efficacy profiles that are satisfactory to the FDA and comparable foreign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trials required for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receipt and terms of any regulatory approvals from applicable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new licensing or collaboration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performance of our future collaborators, if 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commercial manufacturing capabilities or making arrangements with third-party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and changing government regulation and regulatory guidance;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any business interruptions to our operations or to those of the third parties with whom we work;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maintaining, defending and enforcing patient claims or other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benefits of rilparencel over other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launching commercial sales of rilparencel, if approved, whether alone or in collaboration with others;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a continued acceptable safety profile of rilparencel following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changes in the outcome of any of these variables could mean a significant change in the costs and timing associated with the development of our product candidates. For example, if the FDA or another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would be required to expend significant additional financial resources and time on the completion of clinical development. We may never obtain regulatory approval for any of our product candidates.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consist primarily of personnel-related costs, including salaries, bonuses, benefits and equity-based compensation expenses for individuals involved in our executive, finance, corporate and administrative functions, as well as expenses for outside professional services, including legal, audit, accounting and tax-related services and other consulting fees,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facility-related expenses, which include depreciation costs and other allocated expenses for rent and maintenance of facilities, insurance costs, recruiting costs, travel expenses and other general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that our general and administrative expenses will increase for the foreseeable future as our business expands and we hire additional personnel to support our operations. </w:t>
      </w:r>
    </w:p>
    <w:p>
      <w:pPr>
        <w:pStyle w:val="TextBody"/>
        <w:bidi w:val="0"/>
        <w:jc w:val="left"/>
        <w:rPr>
          <w:rFonts w:ascii="Times New Roman" w:hAnsi="Times New Roman"/>
          <w:i/>
          <w:color w:val="000000"/>
          <w:sz w:val="20"/>
        </w:rPr>
      </w:pPr>
      <w:r>
        <w:rPr>
          <w:rFonts w:ascii="Times New Roman" w:hAnsi="Times New Roman"/>
          <w:i/>
          <w:color w:val="000000"/>
          <w:sz w:val="20"/>
        </w:rPr>
        <w:t>Other Income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income consists primarily of interest income earned on cash, cash equivalents and marketable securities.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Income Tax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 expense reflects federal and state taxes on income earned by our subsidiary that is organized as a C corporation for U.S. income tax purposes.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Three Months Ended June 30, 2025 and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three months ended June 30, 2025 and 2024 (in thousands):</w:t>
      </w:r>
    </w:p>
    <w:p>
      <w:pPr>
        <w:pStyle w:val="TextBody"/>
        <w:bidi w:val="0"/>
        <w:jc w:val="left"/>
        <w:rPr/>
      </w:pPr>
      <w:r>
        <w:rPr/>
        <w:t> </w:t>
      </w:r>
    </w:p>
    <w:tbl>
      <w:tblPr>
        <w:tblW w:w="8358" w:type="dxa"/>
        <w:jc w:val="left"/>
        <w:tblInd w:w="0" w:type="dxa"/>
        <w:tblLayout w:type="fixed"/>
        <w:tblCellMar>
          <w:top w:w="28" w:type="dxa"/>
          <w:left w:w="28" w:type="dxa"/>
          <w:bottom w:w="28" w:type="dxa"/>
          <w:right w:w="28" w:type="dxa"/>
        </w:tblCellMar>
      </w:tblPr>
      <w:tblGrid>
        <w:gridCol w:w="4261"/>
        <w:gridCol w:w="146"/>
        <w:gridCol w:w="211"/>
        <w:gridCol w:w="736"/>
        <w:gridCol w:w="166"/>
        <w:gridCol w:w="146"/>
        <w:gridCol w:w="211"/>
        <w:gridCol w:w="736"/>
        <w:gridCol w:w="166"/>
        <w:gridCol w:w="146"/>
        <w:gridCol w:w="211"/>
        <w:gridCol w:w="631"/>
        <w:gridCol w:w="5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available to Class A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decrease in research and development expenses of approximately $3.5 million was primarily due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decreases in clinical study costs of approximately $7.4 million from our clinical trials that have been completed or terminated; </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color w:val="000000"/>
          <w:sz w:val="20"/>
        </w:rPr>
        <w:t>decreases in professional fees of $1.1 million related to the remediation of quality and manufacturing compliance</w:t>
      </w:r>
      <w:r>
        <w:rPr>
          <w:color w:val="000000"/>
        </w:rPr>
        <w:t xml:space="preserve"> </w:t>
      </w:r>
      <w:r>
        <w:rPr>
          <w:rFonts w:ascii="Times New Roman" w:hAnsi="Times New Roman"/>
          <w:color w:val="000000"/>
          <w:sz w:val="20"/>
        </w:rPr>
        <w:t>deficiencies during the 2024 period; and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decreases in equity-based compensation of approximately $0.5 million driven by forfeitures of awards and lower fair value of recent awards; offset by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increases in costs for our ongoing Phase 3 trial (PROACT 1) of $4.3 million driven by continued enrollment and increased activities for the trial;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increases in cash-based compensation costs of approximately $1.5 million due to the hiring of additional personnel.</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general and administrative expenses of approximately $0.4 million was primarily driven by the following:</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increases in cash-based compensation of approximately $0.8 million related to the hiring of new employees; and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increases in other operational expenses of approximately $0.4 million driven by current quarter activities; offset by</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decreases in equity-based compensation of approximately $0.7 million due to forfeitures of awards and lower fair value of recent awards.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decrease in interest income of approximately $0.9 million was driven primarily by lower investment balances and interest rates for the 2025 period.</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Income tax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change in income tax expense was driven by the change in the taxable income associated with the U.S. entities that are treated as corporations for U.S. tax purposes.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Comparison of Six Months Ended June 30, 2025 and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six months ended June 30, 2025 and 2024 (in thousands):</w:t>
      </w:r>
    </w:p>
    <w:p>
      <w:pPr>
        <w:pStyle w:val="TextBody"/>
        <w:bidi w:val="0"/>
        <w:jc w:val="left"/>
        <w:rPr/>
      </w:pPr>
      <w:r>
        <w:rPr/>
        <w:t> </w:t>
      </w:r>
    </w:p>
    <w:tbl>
      <w:tblPr>
        <w:tblW w:w="8463" w:type="dxa"/>
        <w:jc w:val="left"/>
        <w:tblInd w:w="0" w:type="dxa"/>
        <w:tblLayout w:type="fixed"/>
        <w:tblCellMar>
          <w:top w:w="28" w:type="dxa"/>
          <w:left w:w="28" w:type="dxa"/>
          <w:bottom w:w="28" w:type="dxa"/>
          <w:right w:w="28" w:type="dxa"/>
        </w:tblCellMar>
      </w:tblPr>
      <w:tblGrid>
        <w:gridCol w:w="4261"/>
        <w:gridCol w:w="146"/>
        <w:gridCol w:w="211"/>
        <w:gridCol w:w="736"/>
        <w:gridCol w:w="166"/>
        <w:gridCol w:w="146"/>
        <w:gridCol w:w="211"/>
        <w:gridCol w:w="736"/>
        <w:gridCol w:w="166"/>
        <w:gridCol w:w="146"/>
        <w:gridCol w:w="211"/>
        <w:gridCol w:w="736"/>
        <w:gridCol w:w="5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available to Class A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decrease in research and development expenses of $3.5 million was primarily due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decreases in clinical study costs of approximately $9.3 million from our clinical trials that have been completed or termination; and </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color w:val="000000"/>
          <w:sz w:val="20"/>
        </w:rPr>
        <w:t>decreases in professional fees of $1.9 million related to the remediation of quality and manufacturing compliance</w:t>
      </w:r>
      <w:r>
        <w:rPr>
          <w:color w:val="000000"/>
        </w:rPr>
        <w:t xml:space="preserve"> </w:t>
      </w:r>
      <w:r>
        <w:rPr>
          <w:rFonts w:ascii="Times New Roman" w:hAnsi="Times New Roman"/>
          <w:color w:val="000000"/>
          <w:sz w:val="20"/>
        </w:rPr>
        <w:t>deficiencies during the 2024 period; offset by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increases in costs for our ongoing Phase 3 trial (PROACT 1) of $5.3 million driven by continued enrollment and increased activities for the trial;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increases in cash-based compensation costs of approximately $2.6 million due to the hiring of additional personnel.</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general and administrative expenses of approximately $1.9 million was primarily driven by the following:</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increases in cash-based compensation of approximately $2.0 million related to the hiring of new employees; and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increases in professional fees of approximately $1.2 million driven by current quarter activities; offset by</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decreases in equity-based compensation of approximately $1.5 million due to forfeitures of awards and lower fair value of recent awards.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decrease in interest income of approximately $1.8 million was driven primarily by lower investment balances and interest rates for the 2025 period.</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Income tax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change in income tax expense was driven by the change in the taxable income associated with the U.S. entities that are treated as corporations for U.S. tax purposes.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Sources of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we have not recognized any revenue and have incurred operating losses and negative cash flows from our operations. We have not yet commercialized any product and we do not expect to generate revenue from sales of any products for several years, if at all. From our inception through June 30, 2025, we funded our operations primarily through capital contributions from the holders of PKLP, the proceeds obtained through the Business Combination and related private placement financing, and public equity offerings.</w:t>
      </w:r>
    </w:p>
    <w:p>
      <w:pPr>
        <w:pStyle w:val="TextBody"/>
        <w:bidi w:val="0"/>
        <w:spacing w:before="120" w:after="283"/>
        <w:jc w:val="left"/>
        <w:rPr>
          <w:rFonts w:ascii="Times New Roman" w:hAnsi="Times New Roman"/>
          <w:sz w:val="20"/>
        </w:rPr>
      </w:pPr>
      <w:r>
        <w:rPr>
          <w:rFonts w:ascii="Times New Roman" w:hAnsi="Times New Roman"/>
          <w:color w:val="000000"/>
          <w:sz w:val="20"/>
        </w:rPr>
        <w:t>In January 2024, we entered into an Open Market Sale Agreement</w:t>
      </w:r>
      <w:r>
        <w:rPr>
          <w:rFonts w:ascii="Times New Roman" w:hAnsi="Times New Roman"/>
          <w:color w:val="000000"/>
          <w:sz w:val="13"/>
        </w:rPr>
        <w:t>SM</w:t>
      </w:r>
      <w:r>
        <w:rPr>
          <w:rFonts w:ascii="Times New Roman" w:hAnsi="Times New Roman"/>
          <w:color w:val="000000"/>
          <w:sz w:val="20"/>
        </w:rPr>
        <w:t xml:space="preserve"> (“2024 Sales Agreement”) with Jefferies LLC (“Jefferies”) as the sales agent, pursuant to which we could offer and sell, from time to time, through Jefferies, shares of our Class A common stock having an aggregate offering price of up to $100.0 million by any method deemed to be an “at the market offering” as defined in Rule 415(a)(4) under the Securities Act of 1933, as amended (the “Securities Act”). The shares were offered and sold pursuant to our shelf registration statement on Form S-3. As of June 30, 2025, we had sold $7.9 million worth of Class A common stock under the 2024 Sales Agreement for net proceeds of $7.7 million.</w:t>
      </w:r>
    </w:p>
    <w:p>
      <w:pPr>
        <w:pStyle w:val="TextBody"/>
        <w:bidi w:val="0"/>
        <w:spacing w:before="120" w:after="283"/>
        <w:jc w:val="left"/>
        <w:rPr>
          <w:rFonts w:ascii="Times New Roman" w:hAnsi="Times New Roman"/>
          <w:sz w:val="20"/>
        </w:rPr>
      </w:pPr>
      <w:r>
        <w:rPr>
          <w:rFonts w:ascii="Times New Roman" w:hAnsi="Times New Roman"/>
          <w:color w:val="000000"/>
          <w:sz w:val="20"/>
        </w:rPr>
        <w:t>In July 2025, we terminated the 2024 Sales Agreement and entered into a new Open Market Sale Agreement</w:t>
      </w:r>
      <w:r>
        <w:rPr>
          <w:rFonts w:ascii="Times New Roman" w:hAnsi="Times New Roman"/>
          <w:color w:val="000000"/>
          <w:sz w:val="13"/>
        </w:rPr>
        <w:t>SM</w:t>
      </w:r>
      <w:r>
        <w:rPr>
          <w:rFonts w:ascii="Times New Roman" w:hAnsi="Times New Roman"/>
          <w:color w:val="000000"/>
          <w:sz w:val="20"/>
        </w:rPr>
        <w:t xml:space="preserve"> with Jefferies, as the sales agent, pursuant to which we may offer and sell, from time to time, through Jefferies, shares of our Class A common stock having an aggregate offering price of up to $200.0 million by any method deemed to be an “at the market offering” as defined in Rule 415(a)(4) under the Securities Act. The shares are offered and sold pursuant to our shelf registration statement on Form S-3.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2024, we sold 46,886,452 shares of our Class A common stock in an underwritten public offering at a price of $2.42 per share. Additionally, in June 2024, the Company sold 11,030,574 shares of its Class A common stock to certain investors at a price of $2.42 per share in a concurrent registered direct offering pursuant to share purchase agreements. The net proceeds to us from the offerings were approximately $136.7 million, after deducting the underwriting discounts and commissions and offering expenses payable by us. The shares were offered and sold pursuant to our shelf registration statement on Form S-3.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our existing cash, cash equivalents and marketable securities held at June 30, 2025, will enable us to fund our operating expenses and capital expenditure requirements into mid-2027. We have based this estimate on assumptions that may prove to be wrong and we could exhaust our capital resources sooner than we expect.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expenses to increase substantially if, and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initiate and continue research and clinical development of our product candidates, including in particular our clinical trials for rilparencel;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third-party manufacturing costs to support our nonclinical studies and clinical trials of our product candidate and, if approved, its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to identify and develop additional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make investments in developing internal manufacturing capabilities;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regulatory and marketing approvals for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since the closing of the Business Combination we have begun incurring additional costs associated with operating as a public company, including significant legal, audit, accounting, investor and public relations, regulatory, tax-related, director and officer insurance premiums and other expenses. Developing pharmaceutical products, including conducting clinical trials, is a time-consuming, expensive and uncertain process that takes years to complete, and we may never generate the necessary data or results required to obtain marketing approval for any product candidates or generate revenue from the sale of any product candidate for which we may obtain marketing approval. In addition, our product candidates, if approved, may not achieve commercial success. Our commercial revenues, if any, will be derived from sales of product that we do not expect to be commercially available for at least several years, if ever.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result, we will need substantial additional funding to support our continuing operations and pursue our growth strategy. Until such time as we can generate significant revenue from product sales, if ever, we expect to finance our operations through the public or private sale of equity, government or private party grants, debt financings or other capital sources, including potential collaborations with other companies or other strategic transactions.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stockholders. Debt financing and equity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financing, if available, may involve agreements that include covenants limiting or restricting our ability to take specific actions, such as incurring additional debt, making capital expenditures or declaring dividends. If we are unable to obtain additional funding, we could be forced to delay, reduce or eliminate some or all of our research and development programs, product portfolio expansion or any commercialization efforts, which could adversely affect our business prospects, or we may be unable to continue operations. If we raise funds through strategic collaborations or other similar arrangements with third parties, we may have to relinquish valuable rights to our technology, future- revenue streams, research programs or product candidates or may have to grant licenses on terms that may not be favorable to us and/or may reduce the value of our shares. Our ability to raise additional funds may be adversely impacted by potential worsening global economic conditions and disruptions to and volatility in the credit and financial markets in the United States and worldwide. Because of the numerous risks and uncertainties associated with product development, we cannot predict the timing or amount of increased expenses, and there is no assurance that we will ever be profitable or generate positive cash flow from operating activities.</w:t>
      </w:r>
    </w:p>
    <w:p>
      <w:pPr>
        <w:pStyle w:val="TextBody"/>
        <w:bidi w:val="0"/>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Cash Flows for the Six Months Ended June 30, 2025 and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provides information regarding our cash flows for the six months ended June 30, 2025 and 2024 (in thousands): </w:t>
      </w:r>
    </w:p>
    <w:p>
      <w:pPr>
        <w:pStyle w:val="TextBody"/>
        <w:bidi w:val="0"/>
        <w:jc w:val="left"/>
        <w:rPr/>
      </w:pPr>
      <w:r>
        <w:rPr/>
        <w:t> </w:t>
      </w:r>
    </w:p>
    <w:tbl>
      <w:tblPr>
        <w:tblW w:w="7615" w:type="dxa"/>
        <w:jc w:val="left"/>
        <w:tblInd w:w="0" w:type="dxa"/>
        <w:tblLayout w:type="fixed"/>
        <w:tblCellMar>
          <w:top w:w="28" w:type="dxa"/>
          <w:left w:w="28" w:type="dxa"/>
          <w:bottom w:w="28" w:type="dxa"/>
          <w:right w:w="28" w:type="dxa"/>
        </w:tblCellMar>
      </w:tblPr>
      <w:tblGrid>
        <w:gridCol w:w="4696"/>
        <w:gridCol w:w="146"/>
        <w:gridCol w:w="223"/>
        <w:gridCol w:w="780"/>
        <w:gridCol w:w="175"/>
        <w:gridCol w:w="154"/>
        <w:gridCol w:w="223"/>
        <w:gridCol w:w="827"/>
        <w:gridCol w:w="391"/>
      </w:tblGrid>
      <w:tr>
        <w:trPr/>
        <w:tc>
          <w:tcPr>
            <w:tcW w:w="4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(61,008</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(72,939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46,854</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86,969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(used in)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139,829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change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(14,180</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153,859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was approximately $61.0 million for the six months ended June 30, 2025, reflecting a net loss of approximately $74.9 million along with cash used by changes in working capital of approximately $0.8 million. Such uses were partially offset by non-cash charges and gains on investments of $14.1 million. The non-cash charges primarily consisted of equity-based compensation expense of $13.0 million, depreciation and amortization expense of $3.1 million and gains on marketable securities of $1.9 million. The changes in working capital primarily relate to the timing of payments made to our vendors for services performed and the recognition of receivable amounts related to interest on our marketable security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was approximately $72.9 million for the six months ended June 30, 2024, reflecting net loss of $73.8 million, and uses driven by changes in working capital of approximately $13.3 million and non-cash charges and gains on investments of $14.1 million. The non-cash charges primarily consisted of equity-based compensation expense of $15.5 million, depreciation and amortization expense of $2.4 million and gains on marketable securities of $3.8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approximately $11.8 million decrease in cash used in operating activities for the six months ended June 30, 2025 compared to the six months ended June 30, 2024 was primarily driven by a decrease in the use of cash related to the timing of payments to our vendors and receipt of interest due.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investing activities was approximately $46.9 million and $87.0 million for the six months ended June 30, 2025 and 2024, respectively. The cash provided by investing activities during the three months ended June 30, 2025 and 2024 was primarily related to timing of the conversion of investments to cash and cash equivalents or use to fund our operations.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financing activities for the six months ended June 30, 2025 was insignificant. The cash provided by financing activities during the six months ended June 30, 2024 of $139.8 million was primarily related to the sale of our Class A common stock through an underwritten public offering and concurrent registered direct offering in June 2024.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and Significant Judgments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management’s discussion and analysis of financial condition and results of operations is based on our condensed consolidated financial statements. Our condensed consolidated financial statements are prepared in accordance with GAAP. The preparation of our condensed consolidated financial statements and related disclosures requires us to make estimates and judgments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that affect the reported amounts of assets,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significant accounting policies are described in Note 2 to our unaudited condensed consolidated financial statements included elsewhere in this Quarterly Report on Form 10-Q.</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description of recently issued accounting pronouncements that may potentially impact our financial position and results of operations is disclosed in Note 2 to our unaudited condensed consolidated financial statements included elsewhere in this Quarterly Report on Form 10-Q.</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JOBS Act Accounting Election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an emerging growth company, as defined in the Jumpstart Our Business Startups Act of 2012, as amended (the “JOBS Act”). The JOBS Act provides that an emerging growth company can take advantage of an extended transition period for complying with new or revised accounting standards applicable to public companies, allowing them to delay the adoption of those standards until those standards would otherwise apply to private companies. We have elected to use this extended transition period under the JOBS Act. As a result, our consolidated financial statements may not be comparable to the financial statements of companies that are required to comply with the effective dates for new or revised accounting standards that are applicable to public companies, which may make our common stock less attractive to investors. </w:t>
      </w:r>
    </w:p>
    <w:p>
      <w:pPr>
        <w:pStyle w:val="TextBody"/>
        <w:bidi w:val="0"/>
        <w:spacing w:before="360" w:after="283"/>
        <w:jc w:val="left"/>
        <w:rPr>
          <w:rFonts w:ascii="Times New Roman" w:hAnsi="Times New Roman"/>
          <w:b/>
          <w:color w:val="000000"/>
          <w:sz w:val="20"/>
        </w:rPr>
      </w:pPr>
      <w:bookmarkStart w:id="11" w:name="i_item3"/>
      <w:bookmarkEnd w:id="11"/>
      <w:r>
        <w:rPr>
          <w:rFonts w:ascii="Times New Roman" w:hAnsi="Times New Roman"/>
          <w:b/>
          <w:color w:val="000000"/>
          <w:sz w:val="20"/>
        </w:rPr>
        <w:t>Item 3. Quantitative and Qualitative Disclosures About Market Risk.</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are a smaller reporting company as defined by Rule 12b-2 of the Exchange Act and are not required to provide the information otherwise required under this item.</w:t>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2" w:name="i_item4"/>
      <w:bookmarkEnd w:id="12"/>
      <w:r>
        <w:rPr>
          <w:rFonts w:ascii="Times New Roman" w:hAnsi="Times New Roman"/>
          <w:b/>
          <w:color w:val="000000"/>
          <w:sz w:val="20"/>
        </w:rPr>
        <w:t>Item 4. Controls and Procedures.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supervision and with the participation of our Chief Executive Officer and Chief Financial Officer, management has evaluated the effectiveness of the design and operation of our disclosure controls and procedures (as defined in Rules 13a-15(e) or 15d-15(e) of the Securities Exchange Act of 1934, as amended) as of June 30, 2025. Based upon that evaluation, our Chief Executive Officer and Chief Financial Officer concluded that, as of June 30, 2025, our disclosure controls and procedures were effective in causing material information relating to us (including our consolidated subsidiaries) to be recorded, processed, summarized and reported by management on a timely basis and to ensure the quality and timeliness of our public disclosures pursuant to SEC disclosure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Changes to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changes in our internal control over financial reporting during our most recent fiscal quarter that have materially affected, or are reasonably likely to materially affect, our internal control over financial reporting.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Website Availability of Reports and other Corporate Governance Information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maintains a comprehensive corporate governance program, including Corporate Governance Guidelines for its Board of Directors, Board Guidelines for Assessing Director Independence and charters for its Audit Committee, Nominating and Corporate Governance Committee and Talent and Compensation Committee. The Company maintains a corporate investor relations website, </w:t>
      </w:r>
      <w:r>
        <w:rPr>
          <w:rFonts w:ascii="Times New Roman" w:hAnsi="Times New Roman"/>
          <w:sz w:val="20"/>
        </w:rPr>
        <w:t>https://investors.prokidney.com/</w:t>
      </w:r>
      <w:r>
        <w:rPr>
          <w:rFonts w:ascii="Times New Roman" w:hAnsi="Times New Roman"/>
          <w:color w:val="000000"/>
          <w:sz w:val="20"/>
        </w:rPr>
        <w:t>, where stockholders and other interested persons may review, without charge, among other things, corporate governance materials and certain SEC filings, which are generally available on the same business day as the filing date with the SEC on the SEC’s website http://www.sec.gov. The contents of our website are not made a part of this Quarterly Report on Form 10-Q.</w:t>
      </w:r>
    </w:p>
    <w:p>
      <w:pPr>
        <w:pStyle w:val="TextBody"/>
        <w:bidi w:val="0"/>
        <w:spacing w:before="360" w:after="283"/>
        <w:jc w:val="center"/>
        <w:rPr>
          <w:rFonts w:ascii="Times New Roman" w:hAnsi="Times New Roman"/>
          <w:b/>
          <w:color w:val="000000"/>
          <w:sz w:val="20"/>
        </w:rPr>
      </w:pPr>
      <w:bookmarkStart w:id="13" w:name="part_ii_other_information"/>
      <w:bookmarkEnd w:id="13"/>
      <w:r>
        <w:rPr>
          <w:rFonts w:ascii="Times New Roman" w:hAnsi="Times New Roman"/>
          <w:b/>
          <w:color w:val="000000"/>
          <w:sz w:val="20"/>
        </w:rPr>
        <w:t>PART II—OTHER INFORMATION</w:t>
      </w:r>
    </w:p>
    <w:p>
      <w:pPr>
        <w:pStyle w:val="TextBody"/>
        <w:bidi w:val="0"/>
        <w:spacing w:before="360" w:after="283"/>
        <w:jc w:val="left"/>
        <w:rPr>
          <w:rFonts w:ascii="Times New Roman" w:hAnsi="Times New Roman"/>
          <w:b/>
          <w:color w:val="000000"/>
          <w:sz w:val="20"/>
        </w:rPr>
      </w:pPr>
      <w:bookmarkStart w:id="14" w:name="ii_item1"/>
      <w:bookmarkEnd w:id="14"/>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not currently a party to any material legal proceedings.</w:t>
      </w:r>
    </w:p>
    <w:p>
      <w:pPr>
        <w:pStyle w:val="TextBody"/>
        <w:bidi w:val="0"/>
        <w:spacing w:before="360" w:after="283"/>
        <w:jc w:val="left"/>
        <w:rPr>
          <w:rFonts w:ascii="Times New Roman" w:hAnsi="Times New Roman"/>
          <w:b/>
          <w:color w:val="000000"/>
          <w:sz w:val="20"/>
        </w:rPr>
      </w:pPr>
      <w:bookmarkStart w:id="15" w:name="ii_item1a"/>
      <w:bookmarkEnd w:id="15"/>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is subject to a number of risks, including risks that may prevent us from achieving our business objectives or may adversely affect our business, financial condition, results of operations, cash flows, and prospects. These risks are discussed more fully in the section entitled “Risk Factors” in our Annual Report on Form 10-K filed with the SEC on March 17, 2025 (the “2024 Annual Report”), and in our Quarterly Report on Form 10-Q for the quarter ended March 31, 2025, filed with the SEC on May 12, 2025 (“1Q Form 10-Q”). There have been no material changes to the risk factors described in the 2024 Annual Report and 1Q Form 10-Q.</w:t>
      </w:r>
    </w:p>
    <w:p>
      <w:pPr>
        <w:pStyle w:val="TextBody"/>
        <w:bidi w:val="0"/>
        <w:spacing w:before="360" w:after="283"/>
        <w:jc w:val="left"/>
        <w:rPr>
          <w:rFonts w:ascii="Times New Roman" w:hAnsi="Times New Roman"/>
          <w:b/>
          <w:color w:val="000000"/>
          <w:sz w:val="20"/>
        </w:rPr>
      </w:pPr>
      <w:bookmarkStart w:id="16" w:name="ii_item2"/>
      <w:bookmarkEnd w:id="16"/>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were no sales of unregistered equity securities during the three months ended June 30, 2025. </w:t>
      </w:r>
    </w:p>
    <w:p>
      <w:pPr>
        <w:pStyle w:val="TextBody"/>
        <w:bidi w:val="0"/>
        <w:spacing w:before="360" w:after="283"/>
        <w:jc w:val="left"/>
        <w:rPr>
          <w:rFonts w:ascii="Times New Roman" w:hAnsi="Times New Roman"/>
          <w:b/>
          <w:color w:val="000000"/>
          <w:sz w:val="20"/>
        </w:rPr>
      </w:pPr>
      <w:bookmarkStart w:id="17" w:name="ii_item3"/>
      <w:bookmarkEnd w:id="17"/>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8" w:name="ii_item4"/>
      <w:bookmarkEnd w:id="18"/>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9" w:name="ii_item5"/>
      <w:bookmarkEnd w:id="19"/>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quarter ended June 30, 2025, none of the Company’s directors or officers adopted or terminated a “Rule 10b5-1 trading arrangement” or “non-Rule 10b5-1 trading arrangement,” as those terms are defined in Regulation S-K, Item 408, that was intended to satisfy the affirmative defense conditions of Rule 10b5-1(c).</w:t>
      </w:r>
    </w:p>
    <w:p>
      <w:pPr>
        <w:pStyle w:val="TextBody"/>
        <w:bidi w:val="0"/>
        <w:spacing w:before="360" w:after="283"/>
        <w:jc w:val="left"/>
        <w:rPr>
          <w:rFonts w:ascii="Times New Roman" w:hAnsi="Times New Roman"/>
          <w:b/>
          <w:color w:val="000000"/>
          <w:sz w:val="20"/>
        </w:rPr>
      </w:pPr>
      <w:bookmarkStart w:id="20" w:name="ii_item6"/>
      <w:bookmarkEnd w:id="20"/>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9353"/>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3"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Certificate of Incorporation of ProKidney (incorporated by reference to Exhibit 3.1 of the Company's Current Report on Form 8-K12B, filed on July 3, 2025 (File No. 0.001-40560)).</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Bylaws of ProKidney (incorporated by reference to Exhibit 3.2 of the Company's Current Report on Form 8-K12B, filed on July 3, 2025 (File No. 0.001-40560)).</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Certificate of Corporate Domestication of ProKidney (incorporated by reference to Exhibit 3.3 of the Company's Current Report on Form 8-K12B, filed on July 3, 2025 (File No. 0.001-40560)).</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01"/>
        <w:gridCol w:w="146"/>
        <w:gridCol w:w="9458"/>
      </w:tblGrid>
      <w:tr>
        <w:trPr/>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58" w:type="dxa"/>
            <w:tcBorders/>
            <w:vAlign w:val="center"/>
          </w:tcPr>
          <w:p>
            <w:pPr>
              <w:pStyle w:val="TableContents"/>
              <w:bidi w:val="0"/>
              <w:spacing w:before="0" w:after="283"/>
              <w:jc w:val="left"/>
              <w:rPr>
                <w:sz w:val="4"/>
                <w:szCs w:val="4"/>
              </w:rPr>
            </w:pPr>
            <w:r>
              <w:rPr>
                <w:sz w:val="4"/>
                <w:szCs w:val="4"/>
              </w:rPr>
            </w:r>
          </w:p>
        </w:tc>
      </w:tr>
      <w:tr>
        <w:trPr/>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Stock Certificate for Class A Common Stock ProKidney (incorporated by reference to Exhibit 4.1 of the Company's Current Report on Form 8-K12B, filed on July 3, 2025 (File No. 0.001-40560)).</w:t>
              </w:r>
            </w:hyperlink>
          </w:p>
        </w:tc>
      </w:tr>
      <w:tr>
        <w:trPr/>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Stock Certificate for Class B Common Stock ProKidney (incorporated by reference to Exhibit 4.2 of the Company's Current Report on Form 8-K12B, filed on July 3, 2025 (File No. 0.001-40560)).</w:t>
              </w:r>
            </w:hyperlink>
          </w:p>
        </w:tc>
      </w:tr>
      <w:tr>
        <w:trPr/>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Amended and Restated Tax Receivable Agreement, dated July 1, 2025, by and among ProKidney and the TRA Parties (as defined therein) (incorporated by reference to Exhibit 10.1 of the Company's Current Report on Form 8-K12B, filed on July 3, 2025 (File No. 0.001-40560)).</w:t>
              </w:r>
            </w:hyperlink>
          </w:p>
        </w:tc>
      </w:tr>
      <w:tr>
        <w:trPr/>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Amended and Restated Lock-Up Agreement, dated July 1, 2025, by and among ProKidney and certain of the ProKidney Holders (as defined therein) (incorporated by reference to Exhibit 10.2 of the Company's Current Report on Form 8-K12B, filed on July 3, 2025 (File No. 0.001-40560)).</w:t>
              </w:r>
            </w:hyperlink>
          </w:p>
        </w:tc>
      </w:tr>
      <w:tr>
        <w:trPr/>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Amended and Restated Exchange Agreement, dated July 1, 2025, by and among ProKidney, ProKidney Holdings, LLC and the other members of ProKidney Holdings, LLC party thereto (incorporated by reference to Exhibit 10.3 of the Company's Current Report on Form 8-K12B, filed on July 3, 2025 (File No. 0.001-40560)).</w:t>
              </w:r>
            </w:hyperlink>
          </w:p>
        </w:tc>
      </w:tr>
      <w:tr>
        <w:trPr/>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First Amendment to the ProKidney Corp. Employee Stock Purchase Plan (incorporated by reference to Exhibit 10.4 of the Company's Current Report on Form 8-K12B, filed on July 3, 2025 (File No. 0.001-40560)).</w:t>
              </w:r>
            </w:hyperlink>
          </w:p>
        </w:tc>
      </w:tr>
      <w:tr>
        <w:trPr/>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First Amendment to the ProKidney Corp. 2022 Incentive Equity Plan (incorporated by reference to Exhibit 10.5 of the Company's Current Report on Form 8-K12B, filed on July 3, 2025 (File No. 0.001-40560)).</w:t>
              </w:r>
            </w:hyperlink>
          </w:p>
        </w:tc>
      </w:tr>
      <w:tr>
        <w:trPr/>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Form of Indemnification Agreement, dated July 1, 2025, by and among ProKidney and its directors and officers (incorporated by reference to Exhibit 10.6 of the Company's Current Report on Form 8-K12B, filed on July 3, 2025 (File No. 0.001-40560)).</w:t>
              </w:r>
            </w:hyperlink>
          </w:p>
        </w:tc>
      </w:tr>
      <w:tr>
        <w:trPr/>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Second Amended and Restated Limited Liability Company Agreement of ProKidney Holdings, dated July 1, 2025, by and among the members and managers party thereto (incorporated by reference to Exhibit 10.7 of the Company's Current Report on Form 8-K12B, filed on July 3, 2025 (File No. 0.001-40560)).</w:t>
              </w:r>
            </w:hyperlink>
          </w:p>
        </w:tc>
      </w:tr>
      <w:tr>
        <w:trPr/>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rok-ex10_8.htm">
              <w:r>
                <w:rPr>
                  <w:rStyle w:val="InternetLink"/>
                  <w:rFonts w:ascii="Times New Roman" w:hAnsi="Times New Roman"/>
                  <w:color w:val="0000FF"/>
                  <w:sz w:val="20"/>
                  <w:u w:val="single"/>
                </w:rPr>
                <w:t>Employment Agreement, dated as of May 12, 2025 by and between Bruce Culleton, M.D. and ProKidney, LLC.</w:t>
              </w:r>
            </w:hyperlink>
          </w:p>
        </w:tc>
      </w:tr>
      <w:tr>
        <w:trPr/>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rok-ex10_9.htm">
              <w:r>
                <w:rPr>
                  <w:rStyle w:val="InternetLink"/>
                  <w:rFonts w:ascii="Times New Roman" w:hAnsi="Times New Roman"/>
                  <w:color w:val="0000FF"/>
                  <w:sz w:val="20"/>
                  <w:u w:val="single"/>
                </w:rPr>
                <w:t>Employment Agreement, dated as of May 12, 2025 by and between James Coulston and ProKidney, LLC.</w:t>
              </w:r>
            </w:hyperlink>
          </w:p>
        </w:tc>
      </w:tr>
      <w:tr>
        <w:trPr/>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rok-ex10_10.htm">
              <w:r>
                <w:rPr>
                  <w:rStyle w:val="InternetLink"/>
                  <w:rFonts w:ascii="Times New Roman" w:hAnsi="Times New Roman"/>
                  <w:color w:val="0000FF"/>
                  <w:sz w:val="20"/>
                  <w:u w:val="single"/>
                </w:rPr>
                <w:t>Employment Agreement, dated as of May 9, 2025 by and between Todd Girolamo and ProKidney, LLC.</w:t>
              </w:r>
            </w:hyperlink>
          </w:p>
        </w:tc>
      </w:tr>
      <w:tr>
        <w:trPr/>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rok-ex10_11.htm">
              <w:r>
                <w:rPr>
                  <w:rStyle w:val="InternetLink"/>
                  <w:rFonts w:ascii="Times New Roman" w:hAnsi="Times New Roman"/>
                  <w:color w:val="0000FF"/>
                  <w:sz w:val="20"/>
                  <w:u w:val="single"/>
                </w:rPr>
                <w:t>Employment Agreement, dated as of June 11, 2025 by and between Darin Weber and ProKidney, LLC.</w:t>
              </w:r>
            </w:hyperlink>
          </w:p>
        </w:tc>
      </w:tr>
      <w:tr>
        <w:trPr/>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rok-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rok-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rok-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rok-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following materials from the Company’s Quarterly Report on Form 10-Q for the quarter ended June 30, 2025, formatted in iXBRL (Inline Extensible Business Reporting Language): (i) Condensed Consolidated Balance Sheets (unaudited), (ii) Condensed Consolidated Statements of Operations (unaudited), (iii) Condensed Consolidated Statements of Comprehensive Loss (unaudited), (iv) Condensed Consolidated Statements of Changes in Redeemable Noncontrolling Interest and Stockholders’ Deficit (unaudited), (v) Consolidated Statements of Cash Flows (unaudited) and (vi) Notes to Condensed Consolidated Financial Statements (unaudited), tagged as blocks of text and including detailed tags.</w:t>
            </w:r>
          </w:p>
        </w:tc>
      </w:tr>
      <w:tr>
        <w:trPr/>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cover page from this Quarterly Report on Form 10-Q for the quarter ended June 30, 2025, formatted in Inline XBRL.</w:t>
            </w:r>
          </w:p>
        </w:tc>
      </w:tr>
      <w:tr>
        <w:trPr/>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Management contract or compensatory plan or arrangement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w:t>
      </w:r>
    </w:p>
    <w:p>
      <w:pPr>
        <w:pStyle w:val="TextBody"/>
        <w:bidi w:val="0"/>
        <w:jc w:val="left"/>
        <w:rPr>
          <w:rFonts w:ascii="Times New Roman" w:hAnsi="Times New Roman"/>
          <w:color w:val="000000"/>
          <w:sz w:val="20"/>
        </w:rPr>
      </w:pPr>
      <w:r>
        <w:rPr>
          <w:rFonts w:ascii="Times New Roman" w:hAnsi="Times New Roman"/>
          <w:color w:val="000000"/>
          <w:sz w:val="20"/>
        </w:rPr>
        <w:t>its behalf by the undersigned thereunto duly authorized.</w:t>
      </w:r>
    </w:p>
    <w:p>
      <w:pPr>
        <w:pStyle w:val="TextBody"/>
        <w:bidi w:val="0"/>
        <w:jc w:val="left"/>
        <w:rPr/>
      </w:pPr>
      <w:r>
        <w:rPr/>
        <w:t> </w:t>
      </w:r>
    </w:p>
    <w:tbl>
      <w:tblPr>
        <w:tblW w:w="6269" w:type="dxa"/>
        <w:jc w:val="left"/>
        <w:tblInd w:w="0" w:type="dxa"/>
        <w:tblLayout w:type="fixed"/>
        <w:tblCellMar>
          <w:top w:w="28" w:type="dxa"/>
          <w:left w:w="28" w:type="dxa"/>
          <w:bottom w:w="28" w:type="dxa"/>
          <w:right w:w="28" w:type="dxa"/>
        </w:tblCellMar>
      </w:tblPr>
      <w:tblGrid>
        <w:gridCol w:w="1951"/>
        <w:gridCol w:w="146"/>
        <w:gridCol w:w="406"/>
        <w:gridCol w:w="376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 Name</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Bruce Culleton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Bruce Culleton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Executive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James Coulston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James Coulston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Financial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2" w:name="prok-ex10_8.htm"/>
      <w:bookmarkStart w:id="23" w:name="ksprokex10_8"/>
      <w:bookmarkEnd w:id="22"/>
      <w:bookmarkEnd w:id="23"/>
      <w:r>
        <w:rPr>
          <w:rFonts w:ascii="Times New Roman" w:hAnsi="Times New Roman"/>
          <w:b/>
          <w:color w:val="000000"/>
          <w:sz w:val="20"/>
        </w:rPr>
        <w:t>Exhibit 10.8</w:t>
      </w:r>
      <w:r>
        <w:br w:type="page"/>
      </w:r>
    </w:p>
    <w:p>
      <w:pPr>
        <w:pStyle w:val="TextBody"/>
        <w:bidi w:val="0"/>
        <w:jc w:val="left"/>
        <w:rPr>
          <w:rFonts w:ascii="Times New Roman" w:hAnsi="Times New Roman"/>
          <w:color w:val="000000"/>
          <w:sz w:val="24"/>
        </w:rPr>
      </w:pPr>
      <w:r>
        <w:rPr>
          <w:rFonts w:ascii="Times New Roman" w:hAnsi="Times New Roman"/>
          <w:color w:val="000000"/>
          <w:sz w:val="24"/>
        </w:rPr>
        <w:t>May 12, 2025</w:t>
      </w:r>
    </w:p>
    <w:p>
      <w:pPr>
        <w:pStyle w:val="TextBody"/>
        <w:bidi w:val="0"/>
        <w:spacing w:before="87" w:after="283"/>
        <w:jc w:val="left"/>
        <w:rPr/>
      </w:pPr>
      <w:r>
        <w:rPr/>
        <w:t> </w:t>
      </w:r>
    </w:p>
    <w:p>
      <w:pPr>
        <w:pStyle w:val="TextBody"/>
        <w:bidi w:val="0"/>
        <w:jc w:val="left"/>
        <w:rPr>
          <w:rFonts w:ascii="Times New Roman" w:hAnsi="Times New Roman"/>
          <w:sz w:val="20"/>
        </w:rPr>
      </w:pPr>
      <w:r>
        <w:rPr>
          <w:rFonts w:ascii="Times New Roman" w:hAnsi="Times New Roman"/>
          <w:color w:val="000000"/>
          <w:sz w:val="22"/>
        </w:rPr>
        <w:t>Bruce Culleton, MD</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22 Edmunds Rd</w:t>
      </w:r>
    </w:p>
    <w:p>
      <w:pPr>
        <w:pStyle w:val="TextBody"/>
        <w:bidi w:val="0"/>
        <w:jc w:val="left"/>
        <w:rPr>
          <w:rFonts w:ascii="Times New Roman" w:hAnsi="Times New Roman"/>
          <w:sz w:val="20"/>
        </w:rPr>
      </w:pPr>
      <w:r>
        <w:rPr>
          <w:rFonts w:ascii="Times New Roman" w:hAnsi="Times New Roman"/>
          <w:color w:val="000000"/>
          <w:sz w:val="24"/>
        </w:rPr>
        <w:t>Wellesley, MA 02481</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Dear Bruce:</w:t>
      </w:r>
    </w:p>
    <w:p>
      <w:pPr>
        <w:pStyle w:val="TextBody"/>
        <w:bidi w:val="0"/>
        <w:jc w:val="left"/>
        <w:rPr/>
      </w:pPr>
      <w:r>
        <w:rPr/>
        <w:t> </w:t>
      </w:r>
    </w:p>
    <w:p>
      <w:pPr>
        <w:pStyle w:val="TextBody"/>
        <w:bidi w:val="0"/>
        <w:jc w:val="both"/>
        <w:rPr>
          <w:rFonts w:ascii="Times New Roman" w:hAnsi="Times New Roman"/>
          <w:sz w:val="20"/>
        </w:rPr>
      </w:pPr>
      <w:bookmarkStart w:id="24" w:name="this_letter_agreement__this__agreement__"/>
      <w:bookmarkEnd w:id="24"/>
      <w:r>
        <w:rPr>
          <w:rFonts w:ascii="Times New Roman" w:hAnsi="Times New Roman"/>
          <w:color w:val="000000"/>
          <w:sz w:val="24"/>
        </w:rPr>
        <w:t>This letter agreement (this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sets forth the terms and conditions of your</w:t>
      </w:r>
    </w:p>
    <w:p>
      <w:pPr>
        <w:pStyle w:val="TextBody"/>
        <w:bidi w:val="0"/>
        <w:jc w:val="both"/>
        <w:rPr>
          <w:rFonts w:ascii="Times New Roman" w:hAnsi="Times New Roman"/>
          <w:sz w:val="20"/>
        </w:rPr>
      </w:pPr>
      <w:r>
        <w:rPr>
          <w:rFonts w:ascii="Times New Roman" w:hAnsi="Times New Roman"/>
          <w:color w:val="000000"/>
          <w:sz w:val="24"/>
        </w:rPr>
        <w:t>continued employment with ProKidney, LLC, a Delaware limited liability company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as of May 12, 2025 (the “</w:t>
      </w:r>
      <w:r>
        <w:rPr>
          <w:rFonts w:ascii="Times New Roman" w:hAnsi="Times New Roman"/>
          <w:color w:val="000000"/>
          <w:sz w:val="24"/>
          <w:u w:val="single"/>
        </w:rPr>
        <w:t>Effective Date</w:t>
      </w:r>
      <w:r>
        <w:rPr>
          <w:rFonts w:ascii="Times New Roman" w:hAnsi="Times New Roman"/>
          <w:color w:val="000000"/>
          <w:sz w:val="20"/>
        </w:rPr>
        <w:t>”</w:t>
      </w:r>
      <w:r>
        <w:rPr>
          <w:rFonts w:ascii="Times New Roman" w:hAnsi="Times New Roman"/>
          <w:color w:val="000000"/>
          <w:sz w:val="24"/>
        </w:rPr>
        <w:t>). The period during which you are employed by the Company pursuant to this Agreement shall be referred to as the “Term.”</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This Agreement will govern your employment with the Company following the Effective Date on the following terms and conditions:</w:t>
      </w:r>
    </w:p>
    <w:p>
      <w:pPr>
        <w:pStyle w:val="TextBody"/>
        <w:bidi w:val="0"/>
        <w:spacing w:before="1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789"/>
        <w:gridCol w:w="8416"/>
      </w:tblGrid>
      <w:tr>
        <w:trPr/>
        <w:tc>
          <w:tcPr>
            <w:tcW w:w="1789" w:type="dxa"/>
            <w:tcBorders/>
            <w:vAlign w:val="center"/>
          </w:tcPr>
          <w:p>
            <w:pPr>
              <w:pStyle w:val="TableContents"/>
              <w:bidi w:val="0"/>
              <w:spacing w:before="0" w:after="283"/>
              <w:jc w:val="left"/>
              <w:rPr>
                <w:sz w:val="4"/>
                <w:szCs w:val="4"/>
              </w:rPr>
            </w:pPr>
            <w:r>
              <w:rPr>
                <w:sz w:val="4"/>
                <w:szCs w:val="4"/>
              </w:rPr>
            </w:r>
          </w:p>
        </w:tc>
        <w:tc>
          <w:tcPr>
            <w:tcW w:w="8416" w:type="dxa"/>
            <w:tcBorders/>
            <w:vAlign w:val="center"/>
          </w:tcPr>
          <w:p>
            <w:pPr>
              <w:pStyle w:val="TableContents"/>
              <w:bidi w:val="0"/>
              <w:spacing w:before="0" w:after="283"/>
              <w:ind w:left="0" w:right="0" w:firstLine="50"/>
              <w:jc w:val="left"/>
              <w:rPr>
                <w:sz w:val="4"/>
                <w:szCs w:val="4"/>
              </w:rPr>
            </w:pPr>
            <w:r>
              <w:rPr>
                <w:sz w:val="4"/>
                <w:szCs w:val="4"/>
              </w:rPr>
            </w:r>
          </w:p>
        </w:tc>
      </w:tr>
      <w:tr>
        <w:trPr/>
        <w:tc>
          <w:tcPr>
            <w:tcW w:w="1789" w:type="dxa"/>
            <w:tcBorders/>
            <w:tcMar>
              <w:top w:w="0" w:type="dxa"/>
              <w:left w:w="0" w:type="dxa"/>
              <w:bottom w:w="0" w:type="dxa"/>
              <w:right w:w="0" w:type="dxa"/>
            </w:tcMar>
            <w:vAlign w:val="center"/>
          </w:tcPr>
          <w:p>
            <w:pPr>
              <w:pStyle w:val="TableContents"/>
              <w:bidi w:val="0"/>
              <w:spacing w:before="120" w:after="120"/>
              <w:ind w:left="0" w:right="0" w:firstLine="188"/>
              <w:jc w:val="left"/>
              <w:rPr>
                <w:rFonts w:ascii="Times New Roman" w:hAnsi="Times New Roman"/>
                <w:b/>
                <w:color w:val="000000"/>
                <w:sz w:val="24"/>
              </w:rPr>
            </w:pPr>
            <w:r>
              <w:rPr>
                <w:rFonts w:ascii="Times New Roman" w:hAnsi="Times New Roman"/>
                <w:b/>
                <w:color w:val="000000"/>
                <w:sz w:val="24"/>
              </w:rPr>
              <w:t>Position:</w:t>
            </w:r>
          </w:p>
        </w:tc>
        <w:tc>
          <w:tcPr>
            <w:tcW w:w="8416" w:type="dxa"/>
            <w:tcBorders/>
            <w:tcMar>
              <w:top w:w="0" w:type="dxa"/>
              <w:left w:w="0" w:type="dxa"/>
              <w:bottom w:w="0" w:type="dxa"/>
              <w:right w:w="0" w:type="dxa"/>
            </w:tcMar>
            <w:vAlign w:val="center"/>
          </w:tcPr>
          <w:p>
            <w:pPr>
              <w:pStyle w:val="TableContents"/>
              <w:bidi w:val="0"/>
              <w:spacing w:before="120" w:after="120"/>
              <w:ind w:left="0" w:right="0" w:firstLine="50"/>
              <w:jc w:val="left"/>
              <w:rPr>
                <w:rFonts w:ascii="Times New Roman" w:hAnsi="Times New Roman"/>
                <w:color w:val="000000"/>
                <w:sz w:val="24"/>
              </w:rPr>
            </w:pPr>
            <w:r>
              <w:rPr>
                <w:rFonts w:ascii="Times New Roman" w:hAnsi="Times New Roman"/>
                <w:color w:val="000000"/>
                <w:sz w:val="24"/>
              </w:rPr>
              <w:t>Chief Executive Officer</w:t>
            </w:r>
          </w:p>
        </w:tc>
      </w:tr>
      <w:tr>
        <w:trPr/>
        <w:tc>
          <w:tcPr>
            <w:tcW w:w="1789" w:type="dxa"/>
            <w:tcBorders/>
            <w:tcMar>
              <w:top w:w="0" w:type="dxa"/>
              <w:left w:w="0" w:type="dxa"/>
              <w:bottom w:w="0" w:type="dxa"/>
              <w:right w:w="0" w:type="dxa"/>
            </w:tcMar>
            <w:vAlign w:val="center"/>
          </w:tcPr>
          <w:p>
            <w:pPr>
              <w:pStyle w:val="TableContents"/>
              <w:bidi w:val="0"/>
              <w:spacing w:before="120" w:after="120"/>
              <w:ind w:left="0" w:right="0" w:firstLine="188"/>
              <w:jc w:val="left"/>
              <w:rPr>
                <w:rFonts w:ascii="Times New Roman" w:hAnsi="Times New Roman"/>
                <w:b/>
                <w:color w:val="000000"/>
                <w:sz w:val="24"/>
              </w:rPr>
            </w:pPr>
            <w:r>
              <w:rPr>
                <w:rFonts w:ascii="Times New Roman" w:hAnsi="Times New Roman"/>
                <w:b/>
                <w:color w:val="000000"/>
                <w:sz w:val="24"/>
              </w:rPr>
              <w:t>Reporting:</w:t>
            </w:r>
          </w:p>
        </w:tc>
        <w:tc>
          <w:tcPr>
            <w:tcW w:w="8416" w:type="dxa"/>
            <w:tcBorders/>
            <w:tcMar>
              <w:top w:w="0" w:type="dxa"/>
              <w:left w:w="0" w:type="dxa"/>
              <w:bottom w:w="0" w:type="dxa"/>
              <w:right w:w="0" w:type="dxa"/>
            </w:tcMar>
            <w:vAlign w:val="center"/>
          </w:tcPr>
          <w:p>
            <w:pPr>
              <w:pStyle w:val="TableContents"/>
              <w:bidi w:val="0"/>
              <w:spacing w:before="120" w:after="120"/>
              <w:ind w:left="0" w:right="0" w:firstLine="50"/>
              <w:jc w:val="left"/>
              <w:rPr>
                <w:rFonts w:ascii="Times New Roman" w:hAnsi="Times New Roman"/>
                <w:sz w:val="24"/>
              </w:rPr>
            </w:pPr>
            <w:r>
              <w:rPr>
                <w:rFonts w:ascii="Times New Roman" w:hAnsi="Times New Roman"/>
                <w:color w:val="000000"/>
                <w:sz w:val="24"/>
              </w:rPr>
              <w:t>You will report directly to Board of Directors (the “</w:t>
            </w:r>
            <w:r>
              <w:rPr>
                <w:rFonts w:ascii="Times New Roman" w:hAnsi="Times New Roman"/>
                <w:color w:val="000000"/>
                <w:sz w:val="24"/>
                <w:u w:val="single"/>
              </w:rPr>
              <w:t>Board</w:t>
            </w:r>
            <w:r>
              <w:rPr>
                <w:rFonts w:ascii="Times New Roman" w:hAnsi="Times New Roman"/>
                <w:color w:val="000000"/>
                <w:sz w:val="24"/>
              </w:rPr>
              <w:t>”) of ProKidney Corp. (“</w:t>
            </w:r>
            <w:r>
              <w:rPr>
                <w:rFonts w:ascii="Times New Roman" w:hAnsi="Times New Roman"/>
                <w:color w:val="000000"/>
                <w:sz w:val="24"/>
                <w:u w:val="single"/>
              </w:rPr>
              <w:t>Parent</w:t>
            </w:r>
            <w:r>
              <w:rPr>
                <w:rFonts w:ascii="Times New Roman" w:hAnsi="Times New Roman"/>
                <w:color w:val="000000"/>
                <w:sz w:val="24"/>
              </w:rPr>
              <w:t>”).</w:t>
            </w:r>
          </w:p>
        </w:tc>
      </w:tr>
      <w:tr>
        <w:trPr/>
        <w:tc>
          <w:tcPr>
            <w:tcW w:w="1789" w:type="dxa"/>
            <w:tcBorders/>
            <w:tcMar>
              <w:top w:w="0" w:type="dxa"/>
              <w:left w:w="0" w:type="dxa"/>
              <w:bottom w:w="0" w:type="dxa"/>
              <w:right w:w="0" w:type="dxa"/>
            </w:tcMar>
            <w:vAlign w:val="center"/>
          </w:tcPr>
          <w:p>
            <w:pPr>
              <w:pStyle w:val="TableContents"/>
              <w:bidi w:val="0"/>
              <w:spacing w:before="120" w:after="120"/>
              <w:ind w:left="0" w:right="0" w:firstLine="187"/>
              <w:jc w:val="left"/>
              <w:rPr>
                <w:rFonts w:ascii="Times New Roman" w:hAnsi="Times New Roman"/>
                <w:b/>
                <w:color w:val="000000"/>
                <w:sz w:val="24"/>
              </w:rPr>
            </w:pPr>
            <w:r>
              <w:rPr>
                <w:rFonts w:ascii="Times New Roman" w:hAnsi="Times New Roman"/>
                <w:b/>
                <w:color w:val="000000"/>
                <w:sz w:val="24"/>
              </w:rPr>
              <w:t>Duties and Commitment:</w:t>
            </w:r>
          </w:p>
        </w:tc>
        <w:tc>
          <w:tcPr>
            <w:tcW w:w="8416" w:type="dxa"/>
            <w:tcBorders/>
            <w:tcMar>
              <w:top w:w="0" w:type="dxa"/>
              <w:left w:w="0" w:type="dxa"/>
              <w:bottom w:w="0" w:type="dxa"/>
              <w:right w:w="0" w:type="dxa"/>
            </w:tcMar>
            <w:vAlign w:val="center"/>
          </w:tcPr>
          <w:p>
            <w:pPr>
              <w:pStyle w:val="TableContents"/>
              <w:bidi w:val="0"/>
              <w:spacing w:before="120" w:after="120"/>
              <w:ind w:left="0" w:right="0" w:firstLine="187"/>
              <w:jc w:val="left"/>
              <w:rPr>
                <w:rFonts w:ascii="Times New Roman" w:hAnsi="Times New Roman"/>
                <w:sz w:val="24"/>
              </w:rPr>
            </w:pPr>
            <w:r>
              <w:rPr>
                <w:rFonts w:ascii="Times New Roman" w:hAnsi="Times New Roman"/>
                <w:color w:val="000000"/>
                <w:sz w:val="24"/>
              </w:rPr>
              <w:t>You shall be employed by the Company on a full-time basis and shall perform such duties and responsibilities on behalf of the Company and its subsidiaries and affiliates (collectively, the “</w:t>
            </w:r>
            <w:r>
              <w:rPr>
                <w:rFonts w:ascii="Times New Roman" w:hAnsi="Times New Roman"/>
                <w:color w:val="000000"/>
                <w:sz w:val="24"/>
                <w:u w:val="single"/>
              </w:rPr>
              <w:t>Company Group</w:t>
            </w:r>
            <w:r>
              <w:rPr>
                <w:rFonts w:ascii="Times New Roman" w:hAnsi="Times New Roman"/>
                <w:color w:val="000000"/>
                <w:sz w:val="24"/>
              </w:rPr>
              <w:t>”) as are consistent with your position, and such additional duties and responsibilities on behalf of the Company Group, as may be designated from time to time by the Board.</w:t>
            </w:r>
          </w:p>
          <w:p>
            <w:pPr>
              <w:pStyle w:val="TableContents"/>
              <w:bidi w:val="0"/>
              <w:spacing w:before="0" w:after="120"/>
              <w:ind w:left="0" w:right="0" w:firstLine="50"/>
              <w:jc w:val="left"/>
              <w:rPr>
                <w:rFonts w:ascii="Times New Roman" w:hAnsi="Times New Roman"/>
                <w:color w:val="000000"/>
                <w:sz w:val="24"/>
              </w:rPr>
            </w:pPr>
            <w:r>
              <w:rPr>
                <w:rFonts w:ascii="Times New Roman" w:hAnsi="Times New Roman"/>
                <w:color w:val="000000"/>
                <w:sz w:val="24"/>
              </w:rPr>
              <w:t>You will be required to devote all of your business time to the business and affairs of the Company Group and to the promotion of its interests. Notwithstanding the foregoing, you may engage in other activities, such as personal investments and civic and charitable activities, so long as: (i) such activities do not interfere with your duties and obligations hereunder and (ii) such activities are disclosed in advance to the Board. In addition, you shall be permitted to serve as a director on one other company’s board of directors subject to the prior consent of the Board (which will not be unreasonably withheld).</w:t>
            </w:r>
          </w:p>
        </w:tc>
      </w:tr>
      <w:tr>
        <w:trPr/>
        <w:tc>
          <w:tcPr>
            <w:tcW w:w="1789" w:type="dxa"/>
            <w:tcBorders/>
            <w:tcMar>
              <w:top w:w="0" w:type="dxa"/>
              <w:left w:w="0" w:type="dxa"/>
              <w:bottom w:w="0" w:type="dxa"/>
              <w:right w:w="0" w:type="dxa"/>
            </w:tcMar>
            <w:vAlign w:val="center"/>
          </w:tcPr>
          <w:p>
            <w:pPr>
              <w:pStyle w:val="TableContents"/>
              <w:bidi w:val="0"/>
              <w:spacing w:before="120" w:after="120"/>
              <w:ind w:left="0" w:right="0" w:firstLine="259"/>
              <w:jc w:val="left"/>
              <w:rPr>
                <w:rFonts w:ascii="Times New Roman" w:hAnsi="Times New Roman"/>
                <w:b/>
                <w:color w:val="000000"/>
                <w:sz w:val="24"/>
              </w:rPr>
            </w:pPr>
            <w:r>
              <w:rPr>
                <w:rFonts w:ascii="Times New Roman" w:hAnsi="Times New Roman"/>
                <w:b/>
                <w:color w:val="000000"/>
                <w:sz w:val="24"/>
              </w:rPr>
              <w:t>Base Salary:</w:t>
            </w:r>
          </w:p>
        </w:tc>
        <w:tc>
          <w:tcPr>
            <w:tcW w:w="8416" w:type="dxa"/>
            <w:tcBorders/>
            <w:tcMar>
              <w:top w:w="0" w:type="dxa"/>
              <w:left w:w="0" w:type="dxa"/>
              <w:bottom w:w="0" w:type="dxa"/>
              <w:right w:w="0" w:type="dxa"/>
            </w:tcMar>
            <w:vAlign w:val="center"/>
          </w:tcPr>
          <w:p>
            <w:pPr>
              <w:pStyle w:val="TableContents"/>
              <w:bidi w:val="0"/>
              <w:spacing w:before="120" w:after="120"/>
              <w:ind w:left="0" w:right="0" w:firstLine="259"/>
              <w:jc w:val="left"/>
              <w:rPr>
                <w:rFonts w:ascii="Times New Roman" w:hAnsi="Times New Roman"/>
                <w:sz w:val="24"/>
              </w:rPr>
            </w:pPr>
            <w:r>
              <w:rPr>
                <w:rFonts w:ascii="Times New Roman" w:hAnsi="Times New Roman"/>
                <w:color w:val="000000"/>
                <w:sz w:val="24"/>
              </w:rPr>
              <w:t>During the Term, your annual base salary will be $664,000.00 per year and will be payable in accordance with the Company’s normal payroll practices, less the applicable taxes and elective withholdings. Your base salary may be increased, but not decreased, as determined by the Board or the Compensation Committee of the Board (the “</w:t>
            </w:r>
            <w:r>
              <w:rPr>
                <w:rFonts w:ascii="Times New Roman" w:hAnsi="Times New Roman"/>
                <w:color w:val="000000"/>
                <w:sz w:val="24"/>
                <w:u w:val="single"/>
              </w:rPr>
              <w:t>Compensation Committee</w:t>
            </w:r>
            <w:r>
              <w:rPr>
                <w:rFonts w:ascii="Times New Roman" w:hAnsi="Times New Roman"/>
                <w:color w:val="000000"/>
                <w:sz w:val="24"/>
              </w:rPr>
              <w: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74"/>
        <w:gridCol w:w="8431"/>
      </w:tblGrid>
      <w:tr>
        <w:trPr/>
        <w:tc>
          <w:tcPr>
            <w:tcW w:w="1774" w:type="dxa"/>
            <w:tcBorders/>
            <w:vAlign w:val="center"/>
          </w:tcPr>
          <w:p>
            <w:pPr>
              <w:pStyle w:val="TableContents"/>
              <w:bidi w:val="0"/>
              <w:spacing w:before="0" w:after="283"/>
              <w:jc w:val="left"/>
              <w:rPr>
                <w:sz w:val="4"/>
                <w:szCs w:val="4"/>
              </w:rPr>
            </w:pPr>
            <w:r>
              <w:rPr>
                <w:sz w:val="4"/>
                <w:szCs w:val="4"/>
              </w:rPr>
            </w:r>
          </w:p>
        </w:tc>
        <w:tc>
          <w:tcPr>
            <w:tcW w:w="8431" w:type="dxa"/>
            <w:tcBorders/>
            <w:vAlign w:val="center"/>
          </w:tcPr>
          <w:p>
            <w:pPr>
              <w:pStyle w:val="TableContents"/>
              <w:bidi w:val="0"/>
              <w:spacing w:before="0" w:after="283"/>
              <w:ind w:left="0" w:right="0" w:firstLine="50"/>
              <w:jc w:val="left"/>
              <w:rPr>
                <w:sz w:val="4"/>
                <w:szCs w:val="4"/>
              </w:rPr>
            </w:pPr>
            <w:r>
              <w:rPr>
                <w:sz w:val="4"/>
                <w:szCs w:val="4"/>
              </w:rPr>
            </w:r>
          </w:p>
        </w:tc>
      </w:tr>
      <w:tr>
        <w:trPr/>
        <w:tc>
          <w:tcPr>
            <w:tcW w:w="1774" w:type="dxa"/>
            <w:tcBorders/>
            <w:tcMar>
              <w:top w:w="0" w:type="dxa"/>
              <w:left w:w="0" w:type="dxa"/>
              <w:bottom w:w="0" w:type="dxa"/>
              <w:right w:w="0" w:type="dxa"/>
            </w:tcMar>
            <w:vAlign w:val="center"/>
          </w:tcPr>
          <w:p>
            <w:pPr>
              <w:pStyle w:val="TableContents"/>
              <w:bidi w:val="0"/>
              <w:spacing w:before="120" w:after="120"/>
              <w:ind w:left="0" w:right="0" w:firstLine="259"/>
              <w:jc w:val="left"/>
              <w:rPr/>
            </w:pPr>
            <w:r>
              <w:rPr/>
              <w:t> </w:t>
            </w:r>
          </w:p>
        </w:tc>
        <w:tc>
          <w:tcPr>
            <w:tcW w:w="8431" w:type="dxa"/>
            <w:tcBorders/>
            <w:tcMar>
              <w:top w:w="0" w:type="dxa"/>
              <w:left w:w="0" w:type="dxa"/>
              <w:bottom w:w="0" w:type="dxa"/>
              <w:right w:w="0" w:type="dxa"/>
            </w:tcMar>
            <w:vAlign w:val="center"/>
          </w:tcPr>
          <w:p>
            <w:pPr>
              <w:pStyle w:val="TableContents"/>
              <w:bidi w:val="0"/>
              <w:spacing w:before="120" w:after="120"/>
              <w:ind w:left="0" w:right="0" w:firstLine="50"/>
              <w:jc w:val="left"/>
              <w:rPr/>
            </w:pPr>
            <w:r>
              <w:rPr/>
              <w:t> </w:t>
            </w:r>
          </w:p>
        </w:tc>
      </w:tr>
      <w:tr>
        <w:trPr/>
        <w:tc>
          <w:tcPr>
            <w:tcW w:w="1774" w:type="dxa"/>
            <w:tcBorders/>
            <w:tcMar>
              <w:top w:w="0" w:type="dxa"/>
              <w:left w:w="0" w:type="dxa"/>
              <w:bottom w:w="0" w:type="dxa"/>
              <w:right w:w="0" w:type="dxa"/>
            </w:tcMar>
            <w:vAlign w:val="center"/>
          </w:tcPr>
          <w:p>
            <w:pPr>
              <w:pStyle w:val="TableContents"/>
              <w:bidi w:val="0"/>
              <w:spacing w:before="120" w:after="120"/>
              <w:ind w:left="0" w:right="0" w:firstLine="259"/>
              <w:jc w:val="left"/>
              <w:rPr>
                <w:rFonts w:ascii="Times New Roman" w:hAnsi="Times New Roman"/>
                <w:b/>
                <w:color w:val="000000"/>
                <w:sz w:val="24"/>
              </w:rPr>
            </w:pPr>
            <w:r>
              <w:rPr>
                <w:rFonts w:ascii="Times New Roman" w:hAnsi="Times New Roman"/>
                <w:b/>
                <w:color w:val="000000"/>
                <w:sz w:val="24"/>
              </w:rPr>
              <w:t>Incentive Bonus Eligibility:</w:t>
            </w:r>
          </w:p>
        </w:tc>
        <w:tc>
          <w:tcPr>
            <w:tcW w:w="8431" w:type="dxa"/>
            <w:tcBorders/>
            <w:tcMar>
              <w:top w:w="0" w:type="dxa"/>
              <w:left w:w="0" w:type="dxa"/>
              <w:bottom w:w="0" w:type="dxa"/>
              <w:right w:w="0" w:type="dxa"/>
            </w:tcMar>
            <w:vAlign w:val="center"/>
          </w:tcPr>
          <w:p>
            <w:pPr>
              <w:pStyle w:val="TableContents"/>
              <w:bidi w:val="0"/>
              <w:spacing w:before="120" w:after="120"/>
              <w:ind w:left="0" w:right="0" w:firstLine="259"/>
              <w:jc w:val="left"/>
              <w:rPr>
                <w:rFonts w:ascii="Times New Roman" w:hAnsi="Times New Roman"/>
                <w:sz w:val="24"/>
              </w:rPr>
            </w:pPr>
            <w:r>
              <w:rPr>
                <w:rFonts w:ascii="Times New Roman" w:hAnsi="Times New Roman"/>
                <w:color w:val="000000"/>
                <w:sz w:val="24"/>
              </w:rPr>
              <w:t>During the Term, you will be eligible for an annual cash bonus pursuant to the Company’s annual cash bonus program based on the achievement of performance criteria established by the Compensation Committee for the applicable fiscal year, which may be corporate goals and/or individual criteria. Your initial target bonus will be in an amount equal to 60% of your base salary (“</w:t>
            </w:r>
            <w:r>
              <w:rPr>
                <w:rFonts w:ascii="Times New Roman" w:hAnsi="Times New Roman"/>
                <w:color w:val="000000"/>
                <w:sz w:val="24"/>
                <w:u w:val="single"/>
              </w:rPr>
              <w:t>Target Bonus</w:t>
            </w:r>
            <w:r>
              <w:rPr>
                <w:rFonts w:ascii="Times New Roman" w:hAnsi="Times New Roman"/>
                <w:color w:val="000000"/>
                <w:sz w:val="24"/>
              </w:rPr>
              <w:t xml:space="preserve">”). The actual amount of any bonus earned shall be determined by the Compensation Committee in its sole discretion after the end of the applicable fiscal year. </w:t>
            </w:r>
          </w:p>
        </w:tc>
      </w:tr>
      <w:tr>
        <w:trPr/>
        <w:tc>
          <w:tcPr>
            <w:tcW w:w="1774" w:type="dxa"/>
            <w:tcBorders/>
            <w:tcMar>
              <w:top w:w="0" w:type="dxa"/>
              <w:left w:w="0" w:type="dxa"/>
              <w:bottom w:w="0" w:type="dxa"/>
              <w:right w:w="0" w:type="dxa"/>
            </w:tcMar>
            <w:vAlign w:val="center"/>
          </w:tcPr>
          <w:p>
            <w:pPr>
              <w:pStyle w:val="TableContents"/>
              <w:bidi w:val="0"/>
              <w:spacing w:before="120" w:after="120"/>
              <w:ind w:left="0" w:right="0" w:firstLine="266"/>
              <w:jc w:val="left"/>
              <w:rPr/>
            </w:pPr>
            <w:r>
              <w:rPr/>
              <w:t> </w:t>
            </w:r>
          </w:p>
        </w:tc>
        <w:tc>
          <w:tcPr>
            <w:tcW w:w="8431" w:type="dxa"/>
            <w:tcBorders/>
            <w:tcMar>
              <w:top w:w="0" w:type="dxa"/>
              <w:left w:w="0" w:type="dxa"/>
              <w:bottom w:w="0" w:type="dxa"/>
              <w:right w:w="0" w:type="dxa"/>
            </w:tcMar>
            <w:vAlign w:val="center"/>
          </w:tcPr>
          <w:p>
            <w:pPr>
              <w:pStyle w:val="TableContents"/>
              <w:bidi w:val="0"/>
              <w:spacing w:before="120" w:after="120"/>
              <w:ind w:left="0" w:right="0" w:firstLine="50"/>
              <w:jc w:val="left"/>
              <w:rPr>
                <w:rFonts w:ascii="Times New Roman" w:hAnsi="Times New Roman"/>
                <w:color w:val="000000"/>
                <w:sz w:val="24"/>
              </w:rPr>
            </w:pPr>
            <w:r>
              <w:rPr>
                <w:rFonts w:ascii="Times New Roman" w:hAnsi="Times New Roman"/>
                <w:color w:val="000000"/>
                <w:sz w:val="24"/>
              </w:rPr>
              <w:t>Except as otherwise provided herein, the Company will pay any bonus earned for a fiscal year in the year following the year to which the bonus relates, and generally before the end of the first quarter of that year. You will be entitled to receive any earned bonus for a fiscal year of the Company if you are employed on the payment date for such bonus.</w:t>
            </w:r>
          </w:p>
        </w:tc>
      </w:tr>
      <w:tr>
        <w:trPr/>
        <w:tc>
          <w:tcPr>
            <w:tcW w:w="1774" w:type="dxa"/>
            <w:tcBorders/>
            <w:tcMar>
              <w:top w:w="0" w:type="dxa"/>
              <w:left w:w="0" w:type="dxa"/>
              <w:bottom w:w="0" w:type="dxa"/>
              <w:right w:w="0" w:type="dxa"/>
            </w:tcMar>
            <w:vAlign w:val="center"/>
          </w:tcPr>
          <w:p>
            <w:pPr>
              <w:pStyle w:val="TableContents"/>
              <w:bidi w:val="0"/>
              <w:spacing w:before="120" w:after="120"/>
              <w:ind w:left="0" w:right="0" w:firstLine="266"/>
              <w:jc w:val="left"/>
              <w:rPr>
                <w:rFonts w:ascii="Times New Roman" w:hAnsi="Times New Roman"/>
                <w:b/>
                <w:color w:val="000000"/>
                <w:sz w:val="24"/>
              </w:rPr>
            </w:pPr>
            <w:r>
              <w:rPr>
                <w:rFonts w:ascii="Times New Roman" w:hAnsi="Times New Roman"/>
                <w:b/>
                <w:color w:val="000000"/>
                <w:sz w:val="24"/>
              </w:rPr>
              <w:t>Long-Term Incentive:</w:t>
            </w:r>
          </w:p>
        </w:tc>
        <w:tc>
          <w:tcPr>
            <w:tcW w:w="8431" w:type="dxa"/>
            <w:tcBorders/>
            <w:tcMar>
              <w:top w:w="0" w:type="dxa"/>
              <w:left w:w="0" w:type="dxa"/>
              <w:bottom w:w="0" w:type="dxa"/>
              <w:right w:w="0" w:type="dxa"/>
            </w:tcMar>
            <w:vAlign w:val="center"/>
          </w:tcPr>
          <w:p>
            <w:pPr>
              <w:pStyle w:val="TableContents"/>
              <w:bidi w:val="0"/>
              <w:spacing w:before="120" w:after="120"/>
              <w:ind w:left="0" w:right="0" w:firstLine="50"/>
              <w:jc w:val="left"/>
              <w:rPr>
                <w:rFonts w:ascii="Times New Roman" w:hAnsi="Times New Roman"/>
                <w:color w:val="000000"/>
                <w:sz w:val="24"/>
              </w:rPr>
            </w:pPr>
            <w:r>
              <w:rPr>
                <w:rFonts w:ascii="Times New Roman" w:hAnsi="Times New Roman"/>
                <w:color w:val="000000"/>
                <w:sz w:val="24"/>
              </w:rPr>
              <w:t xml:space="preserve">You will be eligible to receive long-term incentive awards pursuant to the terms of the ProKidney Corp. 2022 Incentive Equity Plan (the “Incentive Equity Plan”) (or any successor plan thereto). Long-term incentive awards will be granted at the discretion of the Compensation Committee and in accordance with market guidelines for your role as approved by the Compensation Committee. </w:t>
            </w:r>
          </w:p>
        </w:tc>
      </w:tr>
      <w:tr>
        <w:trPr/>
        <w:tc>
          <w:tcPr>
            <w:tcW w:w="1774" w:type="dxa"/>
            <w:tcBorders/>
            <w:tcMar>
              <w:top w:w="0" w:type="dxa"/>
              <w:left w:w="0" w:type="dxa"/>
              <w:bottom w:w="0" w:type="dxa"/>
              <w:right w:w="0" w:type="dxa"/>
            </w:tcMar>
            <w:vAlign w:val="center"/>
          </w:tcPr>
          <w:p>
            <w:pPr>
              <w:pStyle w:val="TableContents"/>
              <w:bidi w:val="0"/>
              <w:spacing w:before="120" w:after="120"/>
              <w:ind w:left="0" w:right="0" w:firstLine="266"/>
              <w:jc w:val="left"/>
              <w:rPr>
                <w:rFonts w:ascii="Times New Roman" w:hAnsi="Times New Roman"/>
                <w:b/>
                <w:color w:val="000000"/>
                <w:sz w:val="24"/>
              </w:rPr>
            </w:pPr>
            <w:r>
              <w:rPr>
                <w:rFonts w:ascii="Times New Roman" w:hAnsi="Times New Roman"/>
                <w:b/>
                <w:color w:val="000000"/>
                <w:sz w:val="24"/>
              </w:rPr>
              <w:t>Benefits:</w:t>
            </w:r>
          </w:p>
        </w:tc>
        <w:tc>
          <w:tcPr>
            <w:tcW w:w="8431" w:type="dxa"/>
            <w:tcBorders/>
            <w:tcMar>
              <w:top w:w="0" w:type="dxa"/>
              <w:left w:w="0" w:type="dxa"/>
              <w:bottom w:w="0" w:type="dxa"/>
              <w:right w:w="0" w:type="dxa"/>
            </w:tcMar>
            <w:vAlign w:val="center"/>
          </w:tcPr>
          <w:p>
            <w:pPr>
              <w:pStyle w:val="TableContents"/>
              <w:bidi w:val="0"/>
              <w:spacing w:before="120" w:after="120"/>
              <w:ind w:left="0" w:right="0" w:firstLine="266"/>
              <w:jc w:val="left"/>
              <w:rPr>
                <w:rFonts w:ascii="Times New Roman" w:hAnsi="Times New Roman"/>
                <w:color w:val="000000"/>
                <w:sz w:val="24"/>
              </w:rPr>
            </w:pPr>
            <w:r>
              <w:rPr>
                <w:rFonts w:ascii="Times New Roman" w:hAnsi="Times New Roman"/>
                <w:color w:val="000000"/>
                <w:sz w:val="24"/>
              </w:rPr>
              <w:t>During your employment with the Company, you will be eligible for participation in employee health and welfare benefits programs, retirement programs, and other fringe benefits maintained by the Company, to the extent consistent with applicable law and the terms of the applicable plans and programs, which may include certain plans and programs available to similarly situated executives of the Company or otherwise applicable to</w:t>
            </w:r>
          </w:p>
          <w:p>
            <w:pPr>
              <w:pStyle w:val="TableContents"/>
              <w:bidi w:val="0"/>
              <w:spacing w:before="0" w:after="120"/>
              <w:ind w:left="0" w:right="0" w:firstLine="266"/>
              <w:jc w:val="left"/>
              <w:rPr>
                <w:rFonts w:ascii="Times New Roman" w:hAnsi="Times New Roman"/>
                <w:color w:val="000000"/>
                <w:sz w:val="24"/>
              </w:rPr>
            </w:pPr>
            <w:r>
              <w:rPr>
                <w:rFonts w:ascii="Times New Roman" w:hAnsi="Times New Roman"/>
                <w:color w:val="000000"/>
                <w:sz w:val="24"/>
              </w:rPr>
              <w:t>your position from time to time, subject to all plan terms and eligibility requirements. The benefit plans and programs for which you may be eligible are more fully described in the applicable plan summaries and related documents. The Company retains all rights to amend or terminate any such benefit plans and programs, subject to the terms of such employee benefit plans and programs and applicable law, and nothing contained herein shall obligate the Company to continue any benefit plans or programs in the future.</w:t>
            </w:r>
          </w:p>
        </w:tc>
      </w:tr>
      <w:tr>
        <w:trPr/>
        <w:tc>
          <w:tcPr>
            <w:tcW w:w="1774" w:type="dxa"/>
            <w:tcBorders/>
            <w:tcMar>
              <w:top w:w="0" w:type="dxa"/>
              <w:left w:w="0" w:type="dxa"/>
              <w:bottom w:w="0" w:type="dxa"/>
              <w:right w:w="0" w:type="dxa"/>
            </w:tcMar>
            <w:vAlign w:val="center"/>
          </w:tcPr>
          <w:p>
            <w:pPr>
              <w:pStyle w:val="TableContents"/>
              <w:bidi w:val="0"/>
              <w:spacing w:before="120" w:after="120"/>
              <w:ind w:left="0" w:right="0" w:firstLine="223"/>
              <w:jc w:val="left"/>
              <w:rPr/>
            </w:pPr>
            <w:r>
              <w:rPr/>
              <w:t> </w:t>
            </w:r>
          </w:p>
        </w:tc>
        <w:tc>
          <w:tcPr>
            <w:tcW w:w="8431" w:type="dxa"/>
            <w:tcBorders/>
            <w:tcMar>
              <w:top w:w="0" w:type="dxa"/>
              <w:left w:w="0" w:type="dxa"/>
              <w:bottom w:w="0" w:type="dxa"/>
              <w:right w:w="0" w:type="dxa"/>
            </w:tcMar>
            <w:vAlign w:val="center"/>
          </w:tcPr>
          <w:p>
            <w:pPr>
              <w:pStyle w:val="TableContents"/>
              <w:bidi w:val="0"/>
              <w:spacing w:before="120" w:after="120"/>
              <w:ind w:left="0" w:right="0" w:firstLine="223"/>
              <w:jc w:val="left"/>
              <w:rPr>
                <w:rFonts w:ascii="Times New Roman" w:hAnsi="Times New Roman"/>
                <w:color w:val="000000"/>
                <w:sz w:val="24"/>
              </w:rPr>
            </w:pPr>
            <w:r>
              <w:rPr>
                <w:rFonts w:ascii="Times New Roman" w:hAnsi="Times New Roman"/>
                <w:color w:val="000000"/>
                <w:sz w:val="24"/>
              </w:rPr>
              <w:t>You will be eligible to receive vacation in accordance with the terms of the Company’s vacation/Paid Time Off “PTO” policy.</w:t>
            </w:r>
          </w:p>
        </w:tc>
      </w:tr>
    </w:tbl>
    <w:p>
      <w:pPr>
        <w:pStyle w:val="TextBody"/>
        <w:bidi w:val="0"/>
        <w:jc w:val="left"/>
        <w:rPr/>
      </w:pPr>
      <w:r>
        <w:rPr/>
        <w:t> </w:t>
      </w:r>
    </w:p>
    <w:p>
      <w:pPr>
        <w:pStyle w:val="TextBody"/>
        <w:bidi w:val="0"/>
        <w:spacing w:before="10" w:after="283"/>
        <w:jc w:val="left"/>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61"/>
        <w:gridCol w:w="8544"/>
      </w:tblGrid>
      <w:tr>
        <w:trPr/>
        <w:tc>
          <w:tcPr>
            <w:tcW w:w="1661" w:type="dxa"/>
            <w:tcBorders/>
            <w:vAlign w:val="center"/>
          </w:tcPr>
          <w:p>
            <w:pPr>
              <w:pStyle w:val="TableContents"/>
              <w:bidi w:val="0"/>
              <w:spacing w:before="0" w:after="283"/>
              <w:jc w:val="left"/>
              <w:rPr>
                <w:sz w:val="4"/>
                <w:szCs w:val="4"/>
              </w:rPr>
            </w:pPr>
            <w:r>
              <w:rPr>
                <w:sz w:val="4"/>
                <w:szCs w:val="4"/>
              </w:rPr>
            </w:r>
          </w:p>
        </w:tc>
        <w:tc>
          <w:tcPr>
            <w:tcW w:w="8544" w:type="dxa"/>
            <w:tcBorders/>
            <w:vAlign w:val="center"/>
          </w:tcPr>
          <w:p>
            <w:pPr>
              <w:pStyle w:val="TableContents"/>
              <w:bidi w:val="0"/>
              <w:spacing w:before="0" w:after="283"/>
              <w:ind w:left="0" w:right="0" w:firstLine="50"/>
              <w:jc w:val="left"/>
              <w:rPr>
                <w:sz w:val="4"/>
                <w:szCs w:val="4"/>
              </w:rPr>
            </w:pPr>
            <w:r>
              <w:rPr>
                <w:sz w:val="4"/>
                <w:szCs w:val="4"/>
              </w:rPr>
            </w:r>
          </w:p>
        </w:tc>
      </w:tr>
      <w:tr>
        <w:trPr/>
        <w:tc>
          <w:tcPr>
            <w:tcW w:w="1661" w:type="dxa"/>
            <w:tcBorders/>
            <w:tcMar>
              <w:top w:w="0" w:type="dxa"/>
              <w:left w:w="0" w:type="dxa"/>
              <w:bottom w:w="0" w:type="dxa"/>
              <w:right w:w="0" w:type="dxa"/>
            </w:tcMar>
            <w:vAlign w:val="center"/>
          </w:tcPr>
          <w:p>
            <w:pPr>
              <w:pStyle w:val="TableContents"/>
              <w:bidi w:val="0"/>
              <w:spacing w:before="120" w:after="120"/>
              <w:ind w:left="0" w:right="0" w:firstLine="223"/>
              <w:jc w:val="left"/>
              <w:rPr>
                <w:rFonts w:ascii="Times New Roman" w:hAnsi="Times New Roman"/>
                <w:b/>
                <w:color w:val="000000"/>
                <w:sz w:val="24"/>
              </w:rPr>
            </w:pPr>
            <w:r>
              <w:rPr>
                <w:rFonts w:ascii="Times New Roman" w:hAnsi="Times New Roman"/>
                <w:b/>
                <w:color w:val="000000"/>
                <w:sz w:val="24"/>
              </w:rPr>
              <w:t>Business Expenses:</w:t>
            </w:r>
          </w:p>
        </w:tc>
        <w:tc>
          <w:tcPr>
            <w:tcW w:w="8544" w:type="dxa"/>
            <w:tcBorders/>
            <w:tcMar>
              <w:top w:w="0" w:type="dxa"/>
              <w:left w:w="0" w:type="dxa"/>
              <w:bottom w:w="0" w:type="dxa"/>
              <w:right w:w="0" w:type="dxa"/>
            </w:tcMar>
            <w:vAlign w:val="center"/>
          </w:tcPr>
          <w:p>
            <w:pPr>
              <w:pStyle w:val="TableContents"/>
              <w:bidi w:val="0"/>
              <w:spacing w:before="120" w:after="120"/>
              <w:ind w:left="0" w:right="0" w:firstLine="50"/>
              <w:jc w:val="left"/>
              <w:rPr>
                <w:rFonts w:ascii="Times New Roman" w:hAnsi="Times New Roman"/>
                <w:color w:val="000000"/>
                <w:sz w:val="24"/>
              </w:rPr>
            </w:pPr>
            <w:r>
              <w:rPr>
                <w:rFonts w:ascii="Times New Roman" w:hAnsi="Times New Roman"/>
                <w:color w:val="000000"/>
                <w:sz w:val="24"/>
              </w:rPr>
              <w:t>During the Term, the Company will reimburse you for reasonable business expenses, including travel, entertainment, and other expenses (including a mobile phone and data service) incurred by you in the furtherance of the performance of your duties hereunder, in accordance with the Company’s Travel and Entertainment policy as in effect from time to time.</w:t>
            </w:r>
          </w:p>
        </w:tc>
      </w:tr>
      <w:tr>
        <w:trPr/>
        <w:tc>
          <w:tcPr>
            <w:tcW w:w="1661" w:type="dxa"/>
            <w:tcBorders/>
            <w:tcMar>
              <w:top w:w="0" w:type="dxa"/>
              <w:left w:w="0" w:type="dxa"/>
              <w:bottom w:w="0" w:type="dxa"/>
              <w:right w:w="0" w:type="dxa"/>
            </w:tcMar>
            <w:vAlign w:val="center"/>
          </w:tcPr>
          <w:p>
            <w:pPr>
              <w:pStyle w:val="TableContents"/>
              <w:bidi w:val="0"/>
              <w:spacing w:before="120" w:after="120"/>
              <w:ind w:left="0" w:right="0" w:firstLine="223"/>
              <w:jc w:val="left"/>
              <w:rPr>
                <w:rFonts w:ascii="Times New Roman" w:hAnsi="Times New Roman"/>
                <w:b/>
                <w:color w:val="000000"/>
                <w:sz w:val="24"/>
              </w:rPr>
            </w:pPr>
            <w:r>
              <w:rPr>
                <w:rFonts w:ascii="Times New Roman" w:hAnsi="Times New Roman"/>
                <w:b/>
                <w:color w:val="000000"/>
                <w:sz w:val="24"/>
              </w:rPr>
              <w:t>Term:</w:t>
            </w:r>
          </w:p>
        </w:tc>
        <w:tc>
          <w:tcPr>
            <w:tcW w:w="8544" w:type="dxa"/>
            <w:tcBorders/>
            <w:tcMar>
              <w:top w:w="0" w:type="dxa"/>
              <w:left w:w="0" w:type="dxa"/>
              <w:bottom w:w="0" w:type="dxa"/>
              <w:right w:w="0" w:type="dxa"/>
            </w:tcMar>
            <w:vAlign w:val="center"/>
          </w:tcPr>
          <w:p>
            <w:pPr>
              <w:pStyle w:val="TableContents"/>
              <w:bidi w:val="0"/>
              <w:spacing w:before="120" w:after="120"/>
              <w:ind w:left="0" w:right="0" w:firstLine="50"/>
              <w:jc w:val="left"/>
              <w:rPr>
                <w:rFonts w:ascii="Times New Roman" w:hAnsi="Times New Roman"/>
                <w:color w:val="000000"/>
                <w:sz w:val="24"/>
              </w:rPr>
            </w:pPr>
            <w:r>
              <w:rPr>
                <w:rFonts w:ascii="Times New Roman" w:hAnsi="Times New Roman"/>
                <w:color w:val="000000"/>
                <w:sz w:val="24"/>
              </w:rPr>
              <w:t xml:space="preserve">The term of your employment with the Company will terminate upon delivery to you of notice to such effect, which notice may be given for any or no reason, or upon your earlier resignation, death or disability (as customarily defined by the Company). You acknowledge that no provision contained in this Agreement will entitle you to remain in the employment of the Company or any of its subsidiaries or affiliates or affect the right of the Company to terminate your employment hereunder at any time for any reason, subject to compliance with the termination provisions set forth herein. </w:t>
            </w:r>
          </w:p>
        </w:tc>
      </w:tr>
      <w:tr>
        <w:trPr/>
        <w:tc>
          <w:tcPr>
            <w:tcW w:w="1661" w:type="dxa"/>
            <w:tcBorders/>
            <w:tcMar>
              <w:top w:w="0" w:type="dxa"/>
              <w:left w:w="0" w:type="dxa"/>
              <w:bottom w:w="0" w:type="dxa"/>
              <w:right w:w="0" w:type="dxa"/>
            </w:tcMar>
            <w:vAlign w:val="center"/>
          </w:tcPr>
          <w:p>
            <w:pPr>
              <w:pStyle w:val="TableContents"/>
              <w:bidi w:val="0"/>
              <w:spacing w:before="120" w:after="120"/>
              <w:ind w:left="0" w:right="0" w:firstLine="223"/>
              <w:jc w:val="left"/>
              <w:rPr>
                <w:rFonts w:ascii="Times New Roman" w:hAnsi="Times New Roman"/>
                <w:b/>
                <w:color w:val="000000"/>
                <w:sz w:val="24"/>
              </w:rPr>
            </w:pPr>
            <w:r>
              <w:rPr>
                <w:rFonts w:ascii="Times New Roman" w:hAnsi="Times New Roman"/>
                <w:b/>
                <w:color w:val="000000"/>
                <w:sz w:val="24"/>
              </w:rPr>
              <w:t>Termination:</w:t>
            </w:r>
          </w:p>
        </w:tc>
        <w:tc>
          <w:tcPr>
            <w:tcW w:w="8544" w:type="dxa"/>
            <w:tcBorders/>
            <w:tcMar>
              <w:top w:w="0" w:type="dxa"/>
              <w:left w:w="0" w:type="dxa"/>
              <w:bottom w:w="0" w:type="dxa"/>
              <w:right w:w="0" w:type="dxa"/>
            </w:tcMar>
            <w:vAlign w:val="center"/>
          </w:tcPr>
          <w:p>
            <w:pPr>
              <w:pStyle w:val="TableContents"/>
              <w:bidi w:val="0"/>
              <w:spacing w:before="120" w:after="120"/>
              <w:ind w:left="0" w:right="0" w:firstLine="223"/>
              <w:jc w:val="left"/>
              <w:rPr>
                <w:rFonts w:ascii="Times New Roman" w:hAnsi="Times New Roman"/>
                <w:sz w:val="24"/>
              </w:rPr>
            </w:pPr>
            <w:r>
              <w:rPr>
                <w:rFonts w:ascii="Times New Roman" w:hAnsi="Times New Roman"/>
                <w:color w:val="000000"/>
                <w:sz w:val="24"/>
              </w:rPr>
              <w:t>(a) Upon your termination of employment for any reason, the Company shall pay to you (i) your base salary earned through the date of such termination, (ii) amounts for accrued but unused vacation days in the year of termination and (iii) any unreimbursed business expenses in accordance with the Company’s reimbursement policy, not later than thirty (30) business days after the customary documentation regarding such expenses has been received and only to the extent that such expenses are submitted within ninety (90) days following the date of your termination (collectively, “</w:t>
            </w:r>
            <w:r>
              <w:rPr>
                <w:rFonts w:ascii="Times New Roman" w:hAnsi="Times New Roman"/>
                <w:color w:val="000000"/>
                <w:sz w:val="24"/>
                <w:u w:val="single"/>
              </w:rPr>
              <w:t>Accrued Amounts</w:t>
            </w:r>
            <w:r>
              <w:rPr>
                <w:rFonts w:ascii="Times New Roman" w:hAnsi="Times New Roman"/>
                <w:color w:val="000000"/>
                <w:sz w:val="24"/>
              </w:rPr>
              <w:t>”).</w:t>
            </w:r>
          </w:p>
        </w:tc>
      </w:tr>
      <w:tr>
        <w:trPr/>
        <w:tc>
          <w:tcPr>
            <w:tcW w:w="1661" w:type="dxa"/>
            <w:tcBorders/>
            <w:tcMar>
              <w:top w:w="0" w:type="dxa"/>
              <w:left w:w="0" w:type="dxa"/>
              <w:bottom w:w="0" w:type="dxa"/>
              <w:right w:w="0" w:type="dxa"/>
            </w:tcMar>
            <w:vAlign w:val="center"/>
          </w:tcPr>
          <w:p>
            <w:pPr>
              <w:pStyle w:val="TableContents"/>
              <w:bidi w:val="0"/>
              <w:spacing w:before="120" w:after="120"/>
              <w:ind w:left="0" w:right="0" w:firstLine="223"/>
              <w:jc w:val="left"/>
              <w:rPr/>
            </w:pPr>
            <w:r>
              <w:rPr/>
              <w:t> </w:t>
            </w:r>
          </w:p>
        </w:tc>
        <w:tc>
          <w:tcPr>
            <w:tcW w:w="8544" w:type="dxa"/>
            <w:tcBorders/>
            <w:tcMar>
              <w:top w:w="0" w:type="dxa"/>
              <w:left w:w="0" w:type="dxa"/>
              <w:bottom w:w="0" w:type="dxa"/>
              <w:right w:w="0" w:type="dxa"/>
            </w:tcMar>
            <w:vAlign w:val="center"/>
          </w:tcPr>
          <w:p>
            <w:pPr>
              <w:pStyle w:val="TableContents"/>
              <w:bidi w:val="0"/>
              <w:spacing w:before="120" w:after="120"/>
              <w:ind w:left="0" w:right="0" w:firstLine="223"/>
              <w:jc w:val="left"/>
              <w:rPr>
                <w:rFonts w:ascii="Times New Roman" w:hAnsi="Times New Roman"/>
                <w:color w:val="000000"/>
                <w:sz w:val="24"/>
              </w:rPr>
            </w:pPr>
            <w:r>
              <w:rPr>
                <w:rFonts w:ascii="Times New Roman" w:hAnsi="Times New Roman"/>
                <w:color w:val="000000"/>
                <w:sz w:val="24"/>
              </w:rPr>
              <w:t>(b) In the event your employment is terminated during the Term by the Company without Cause (as defined below) or by you for Good Reason (as defined below), in addition to the Accrued Amounts, you will be entitled to receive, subject to your timely execution and non-revocation of a Release (as defined below) (i) any earned but unpaid bonus for any prior completed fiscal year, payable when such payments would otherwise be paid, (ii) salary continuation for a period of twelve (12) months following your termination date, payable in accordance with the Company’s normal payroll cycle and (iii) provided you timely elect to continue your and your eligible dependents’ continued coverage under the Company’s group health plan, reimbursement of 100% of the monthly premium to continue such coverage for the lesser of twelve (12) calendar months following the month in which the termination of your employment occurs, the month in which you are no longer eligible for continued coverage under COBRA and the month in which you are eligible to participate in a subsequent employer’s group health plans.</w:t>
            </w:r>
          </w:p>
        </w:tc>
      </w:tr>
      <w:tr>
        <w:trPr/>
        <w:tc>
          <w:tcPr>
            <w:tcW w:w="1661" w:type="dxa"/>
            <w:tcBorders/>
            <w:tcMar>
              <w:top w:w="0" w:type="dxa"/>
              <w:left w:w="0" w:type="dxa"/>
              <w:bottom w:w="0" w:type="dxa"/>
              <w:right w:w="0" w:type="dxa"/>
            </w:tcMar>
            <w:vAlign w:val="center"/>
          </w:tcPr>
          <w:p>
            <w:pPr>
              <w:pStyle w:val="TableContents"/>
              <w:bidi w:val="0"/>
              <w:spacing w:before="120" w:after="120"/>
              <w:ind w:left="0" w:right="0" w:firstLine="223"/>
              <w:jc w:val="left"/>
              <w:rPr/>
            </w:pPr>
            <w:r>
              <w:rPr/>
              <w:t> </w:t>
            </w:r>
          </w:p>
        </w:tc>
        <w:tc>
          <w:tcPr>
            <w:tcW w:w="8544" w:type="dxa"/>
            <w:tcBorders/>
            <w:tcMar>
              <w:top w:w="0" w:type="dxa"/>
              <w:left w:w="0" w:type="dxa"/>
              <w:bottom w:w="0" w:type="dxa"/>
              <w:right w:w="0" w:type="dxa"/>
            </w:tcMar>
            <w:vAlign w:val="center"/>
          </w:tcPr>
          <w:p>
            <w:pPr>
              <w:pStyle w:val="TableContents"/>
              <w:bidi w:val="0"/>
              <w:spacing w:before="120" w:after="283"/>
              <w:ind w:left="0" w:right="0" w:firstLine="223"/>
              <w:jc w:val="left"/>
              <w:rPr>
                <w:rFonts w:ascii="Times New Roman" w:hAnsi="Times New Roman"/>
                <w:color w:val="000000"/>
                <w:sz w:val="24"/>
              </w:rPr>
            </w:pPr>
            <w:r>
              <w:rPr>
                <w:rFonts w:ascii="Times New Roman" w:hAnsi="Times New Roman"/>
                <w:color w:val="000000"/>
                <w:sz w:val="24"/>
              </w:rPr>
              <w:t xml:space="preserve">Notwithstanding the foregoing, upon a termination of your employment by the Company without Cause or by you for Good Reason within eighteen (18) months following a Change in Control (as defined in the Incentive Equity Plan), in addition to the Accrued Amounts, you will be entitled to receive, subject to your timely execution and non-revocation of a Release </w:t>
            </w:r>
          </w:p>
        </w:tc>
      </w:tr>
    </w:tbl>
    <w:p>
      <w:pPr>
        <w:pStyle w:val="TextBody"/>
        <w:bidi w:val="0"/>
        <w:jc w:val="left"/>
        <w:rPr/>
      </w:pPr>
      <w:r>
        <w:rPr/>
        <w:t> </w:t>
      </w:r>
    </w:p>
    <w:p>
      <w:pPr>
        <w:pStyle w:val="TextBody"/>
        <w:bidi w:val="0"/>
        <w:spacing w:before="10" w:after="283"/>
        <w:jc w:val="left"/>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4"/>
        <w:gridCol w:w="9821"/>
      </w:tblGrid>
      <w:tr>
        <w:trPr/>
        <w:tc>
          <w:tcPr>
            <w:tcW w:w="384" w:type="dxa"/>
            <w:tcBorders/>
            <w:vAlign w:val="center"/>
          </w:tcPr>
          <w:p>
            <w:pPr>
              <w:pStyle w:val="TableContents"/>
              <w:bidi w:val="0"/>
              <w:spacing w:before="0" w:after="283"/>
              <w:jc w:val="left"/>
              <w:rPr>
                <w:sz w:val="4"/>
                <w:szCs w:val="4"/>
              </w:rPr>
            </w:pPr>
            <w:r>
              <w:rPr>
                <w:sz w:val="4"/>
                <w:szCs w:val="4"/>
              </w:rPr>
            </w:r>
          </w:p>
        </w:tc>
        <w:tc>
          <w:tcPr>
            <w:tcW w:w="9821" w:type="dxa"/>
            <w:tcBorders/>
            <w:vAlign w:val="center"/>
          </w:tcPr>
          <w:p>
            <w:pPr>
              <w:pStyle w:val="TableContents"/>
              <w:bidi w:val="0"/>
              <w:spacing w:before="0" w:after="283"/>
              <w:jc w:val="left"/>
              <w:rPr>
                <w:sz w:val="4"/>
                <w:szCs w:val="4"/>
              </w:rPr>
            </w:pPr>
            <w:r>
              <w:rPr>
                <w:sz w:val="4"/>
                <w:szCs w:val="4"/>
              </w:rPr>
            </w:r>
          </w:p>
        </w:tc>
      </w:tr>
      <w:tr>
        <w:trPr/>
        <w:tc>
          <w:tcPr>
            <w:tcW w:w="384" w:type="dxa"/>
            <w:tcBorders/>
            <w:tcMar>
              <w:top w:w="0" w:type="dxa"/>
              <w:left w:w="0" w:type="dxa"/>
              <w:bottom w:w="0" w:type="dxa"/>
              <w:right w:w="0" w:type="dxa"/>
            </w:tcMar>
            <w:vAlign w:val="center"/>
          </w:tcPr>
          <w:p>
            <w:pPr>
              <w:pStyle w:val="TableContents"/>
              <w:bidi w:val="0"/>
              <w:spacing w:before="0" w:after="283"/>
              <w:ind w:left="0" w:right="0" w:firstLine="223"/>
              <w:jc w:val="left"/>
              <w:rPr/>
            </w:pPr>
            <w:r>
              <w:rPr/>
              <w:t> </w:t>
            </w:r>
          </w:p>
        </w:tc>
        <w:tc>
          <w:tcPr>
            <w:tcW w:w="9821" w:type="dxa"/>
            <w:tcBorders/>
            <w:tcMar>
              <w:top w:w="0" w:type="dxa"/>
              <w:left w:w="0" w:type="dxa"/>
              <w:bottom w:w="0" w:type="dxa"/>
              <w:right w:w="0" w:type="dxa"/>
            </w:tcMar>
            <w:vAlign w:val="center"/>
          </w:tcPr>
          <w:p>
            <w:pPr>
              <w:pStyle w:val="TableContents"/>
              <w:bidi w:val="0"/>
              <w:spacing w:before="0" w:after="120"/>
              <w:ind w:left="0" w:right="0" w:firstLine="223"/>
              <w:jc w:val="left"/>
              <w:rPr>
                <w:rFonts w:ascii="Times New Roman" w:hAnsi="Times New Roman"/>
                <w:color w:val="000000"/>
                <w:sz w:val="24"/>
              </w:rPr>
            </w:pPr>
            <w:r>
              <w:rPr>
                <w:rFonts w:ascii="Times New Roman" w:hAnsi="Times New Roman"/>
                <w:color w:val="000000"/>
                <w:sz w:val="24"/>
              </w:rPr>
              <w:t>(i) a lump sum payment equal to 1.5 times the sum of your then-current base salary as of immediately prior to the Change in Control and 100% of your then-current Target Bonus, (ii) provided you timely elect to continue your and your eligible dependents’ continued coverage under the Company’s group health plan, reimbursement of 100% of the monthly premium to continue such coverage for the lesser of eighteen (18) calendar months following the month in which the termination of your employment occurs, the month in which you are no longer eligible for continued coverage under COBRA and the month in which you are eligible to participate in a subsequent employer’s group health plans; and (iii) full vesting of any equity awards then outstanding held by you (with any performance-based equity awards vesting at “target” levels). Notwithstanding anything to the contrary set forth in this Agreement and any terms set forth in an award agreement relating to the grant of equity awards to you, the terms of the applicable award agreement shall prevail.</w:t>
            </w:r>
          </w:p>
        </w:tc>
      </w:tr>
      <w:tr>
        <w:trPr/>
        <w:tc>
          <w:tcPr>
            <w:tcW w:w="384" w:type="dxa"/>
            <w:tcBorders/>
            <w:tcMar>
              <w:top w:w="0" w:type="dxa"/>
              <w:left w:w="0" w:type="dxa"/>
              <w:bottom w:w="0" w:type="dxa"/>
              <w:right w:w="0" w:type="dxa"/>
            </w:tcMar>
            <w:vAlign w:val="center"/>
          </w:tcPr>
          <w:p>
            <w:pPr>
              <w:pStyle w:val="TableContents"/>
              <w:bidi w:val="0"/>
              <w:spacing w:before="120" w:after="120"/>
              <w:ind w:left="0" w:right="0" w:firstLine="223"/>
              <w:jc w:val="left"/>
              <w:rPr/>
            </w:pPr>
            <w:r>
              <w:rPr/>
              <w:t> </w:t>
            </w:r>
          </w:p>
        </w:tc>
        <w:tc>
          <w:tcPr>
            <w:tcW w:w="9821" w:type="dxa"/>
            <w:tcBorders/>
            <w:tcMar>
              <w:top w:w="0" w:type="dxa"/>
              <w:left w:w="0" w:type="dxa"/>
              <w:bottom w:w="0" w:type="dxa"/>
              <w:right w:w="0" w:type="dxa"/>
            </w:tcMar>
            <w:vAlign w:val="center"/>
          </w:tcPr>
          <w:p>
            <w:pPr>
              <w:pStyle w:val="TableContents"/>
              <w:bidi w:val="0"/>
              <w:spacing w:before="120" w:after="120"/>
              <w:ind w:left="0" w:right="0" w:firstLine="223"/>
              <w:jc w:val="left"/>
              <w:rPr>
                <w:rFonts w:ascii="Times New Roman" w:hAnsi="Times New Roman"/>
                <w:color w:val="000000"/>
                <w:sz w:val="24"/>
              </w:rPr>
            </w:pPr>
            <w:r>
              <w:rPr>
                <w:rFonts w:ascii="Times New Roman" w:hAnsi="Times New Roman"/>
                <w:color w:val="000000"/>
                <w:sz w:val="24"/>
              </w:rPr>
              <w:t>(c) In the event that your employment is terminated other than for reasons described in subsection (b) above, other than the amounts specified in subsection (a) above, you will not be entitled to receive any payments under this Agreement.</w:t>
            </w:r>
          </w:p>
        </w:tc>
      </w:tr>
      <w:tr>
        <w:trPr/>
        <w:tc>
          <w:tcPr>
            <w:tcW w:w="384" w:type="dxa"/>
            <w:tcBorders/>
            <w:tcMar>
              <w:top w:w="0" w:type="dxa"/>
              <w:left w:w="0" w:type="dxa"/>
              <w:bottom w:w="0" w:type="dxa"/>
              <w:right w:w="0" w:type="dxa"/>
            </w:tcMar>
            <w:vAlign w:val="center"/>
          </w:tcPr>
          <w:p>
            <w:pPr>
              <w:pStyle w:val="TableContents"/>
              <w:bidi w:val="0"/>
              <w:spacing w:before="120" w:after="120"/>
              <w:ind w:left="0" w:right="0" w:firstLine="223"/>
              <w:jc w:val="left"/>
              <w:rPr/>
            </w:pPr>
            <w:r>
              <w:rPr/>
              <w:t> </w:t>
            </w:r>
          </w:p>
        </w:tc>
        <w:tc>
          <w:tcPr>
            <w:tcW w:w="9821" w:type="dxa"/>
            <w:tcBorders/>
            <w:tcMar>
              <w:top w:w="0" w:type="dxa"/>
              <w:left w:w="0" w:type="dxa"/>
              <w:bottom w:w="0" w:type="dxa"/>
              <w:right w:w="0" w:type="dxa"/>
            </w:tcMar>
            <w:vAlign w:val="center"/>
          </w:tcPr>
          <w:p>
            <w:pPr>
              <w:pStyle w:val="TableContents"/>
              <w:bidi w:val="0"/>
              <w:spacing w:before="120" w:after="120"/>
              <w:ind w:left="0" w:right="0" w:firstLine="223"/>
              <w:jc w:val="left"/>
              <w:rPr>
                <w:rFonts w:ascii="Times New Roman" w:hAnsi="Times New Roman"/>
                <w:sz w:val="24"/>
              </w:rPr>
            </w:pPr>
            <w:r>
              <w:rPr>
                <w:rFonts w:ascii="Times New Roman" w:hAnsi="Times New Roman"/>
                <w:color w:val="000000"/>
                <w:sz w:val="24"/>
              </w:rPr>
              <w:t xml:space="preserve">(d) Payment of any severance payments or benefits pursuant to subsection (b) above is expressly conditioned upon your (i) execution of a general waiver and release of claims substantially in the form attached hereto as </w:t>
            </w:r>
            <w:r>
              <w:rPr>
                <w:rFonts w:ascii="Times New Roman" w:hAnsi="Times New Roman"/>
                <w:color w:val="000000"/>
                <w:sz w:val="24"/>
                <w:u w:val="single"/>
              </w:rPr>
              <w:t>Exhibit A</w:t>
            </w:r>
            <w:r>
              <w:rPr>
                <w:rFonts w:ascii="Times New Roman" w:hAnsi="Times New Roman"/>
                <w:color w:val="000000"/>
                <w:sz w:val="24"/>
              </w:rPr>
              <w:t> (the “</w:t>
            </w:r>
            <w:r>
              <w:rPr>
                <w:rFonts w:ascii="Times New Roman" w:hAnsi="Times New Roman"/>
                <w:color w:val="000000"/>
                <w:sz w:val="24"/>
                <w:u w:val="single"/>
              </w:rPr>
              <w:t>Release</w:t>
            </w:r>
            <w:r>
              <w:rPr>
                <w:rFonts w:ascii="Times New Roman" w:hAnsi="Times New Roman"/>
                <w:color w:val="000000"/>
                <w:sz w:val="24"/>
              </w:rPr>
              <w:t>”), within fifty (50) days of your termination, and the Release becoming effective upon the expiration of the revocation period (which is 7 days after the Release is executed and returned to the Company) and (ii) continued compliance with this Agreement and the Covenant Agreement (as defined below), provided that in the event your employment is terminated by the Company without Cause, and in accordance with applicable law, the Release shall contain a non-competition covenant in a form substantially similar to the non-competition covenant contained in the Covenant Agreement. If an executed Release is not returned to the Company within fifty (50) days of termination or the Release is revoked by you, the Company shall be relieved of all obligations to pay you severance under this Agreement. The payment described in subsection (b)(ii) will commence on the sixtieth (60th) day following your termination of employment with any payments described in subsection (b)(ii) that would have been paid from the termination date through the sixtieth (60</w:t>
            </w:r>
            <w:r>
              <w:rPr>
                <w:rFonts w:ascii="Times New Roman" w:hAnsi="Times New Roman"/>
                <w:color w:val="000000"/>
                <w:sz w:val="16"/>
              </w:rPr>
              <w:t>th</w:t>
            </w:r>
            <w:r>
              <w:rPr>
                <w:rFonts w:ascii="Times New Roman" w:hAnsi="Times New Roman"/>
                <w:color w:val="000000"/>
                <w:sz w:val="24"/>
              </w:rPr>
              <w:t>) day following your termination of employment paid in a lump sum on the first payroll date following the sixtieth (60</w:t>
            </w:r>
            <w:r>
              <w:rPr>
                <w:rFonts w:ascii="Times New Roman" w:hAnsi="Times New Roman"/>
                <w:color w:val="000000"/>
                <w:sz w:val="16"/>
              </w:rPr>
              <w:t>th</w:t>
            </w:r>
            <w:r>
              <w:rPr>
                <w:rFonts w:ascii="Times New Roman" w:hAnsi="Times New Roman"/>
                <w:color w:val="000000"/>
                <w:sz w:val="24"/>
              </w:rPr>
              <w:t>) day following your termination and the remaining installments will commence with the next payroll period. All severance payments shall be subject to legally required tax withholdings and any elective withholdings.</w:t>
            </w:r>
          </w:p>
        </w:tc>
      </w:tr>
    </w:tbl>
    <w:p>
      <w:pPr>
        <w:pStyle w:val="TextBody"/>
        <w:bidi w:val="0"/>
        <w:jc w:val="left"/>
        <w:rPr/>
      </w:pPr>
      <w:r>
        <w:rPr/>
        <w:t> </w:t>
      </w:r>
    </w:p>
    <w:p>
      <w:pPr>
        <w:pStyle w:val="TextBody"/>
        <w:bidi w:val="0"/>
        <w:spacing w:before="10" w:after="283"/>
        <w:jc w:val="left"/>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4"/>
        <w:gridCol w:w="9821"/>
      </w:tblGrid>
      <w:tr>
        <w:trPr/>
        <w:tc>
          <w:tcPr>
            <w:tcW w:w="384" w:type="dxa"/>
            <w:tcBorders/>
            <w:vAlign w:val="center"/>
          </w:tcPr>
          <w:p>
            <w:pPr>
              <w:pStyle w:val="TableContents"/>
              <w:bidi w:val="0"/>
              <w:spacing w:before="0" w:after="283"/>
              <w:jc w:val="left"/>
              <w:rPr>
                <w:sz w:val="4"/>
                <w:szCs w:val="4"/>
              </w:rPr>
            </w:pPr>
            <w:r>
              <w:rPr>
                <w:sz w:val="4"/>
                <w:szCs w:val="4"/>
              </w:rPr>
            </w:r>
          </w:p>
        </w:tc>
        <w:tc>
          <w:tcPr>
            <w:tcW w:w="9821" w:type="dxa"/>
            <w:tcBorders/>
            <w:vAlign w:val="center"/>
          </w:tcPr>
          <w:p>
            <w:pPr>
              <w:pStyle w:val="TableContents"/>
              <w:bidi w:val="0"/>
              <w:spacing w:before="0" w:after="283"/>
              <w:jc w:val="left"/>
              <w:rPr>
                <w:sz w:val="4"/>
                <w:szCs w:val="4"/>
              </w:rPr>
            </w:pPr>
            <w:r>
              <w:rPr>
                <w:sz w:val="4"/>
                <w:szCs w:val="4"/>
              </w:rPr>
            </w:r>
          </w:p>
        </w:tc>
      </w:tr>
      <w:tr>
        <w:trPr/>
        <w:tc>
          <w:tcPr>
            <w:tcW w:w="384" w:type="dxa"/>
            <w:tcBorders/>
            <w:tcMar>
              <w:top w:w="0" w:type="dxa"/>
              <w:left w:w="0" w:type="dxa"/>
              <w:bottom w:w="0" w:type="dxa"/>
              <w:right w:w="0" w:type="dxa"/>
            </w:tcMar>
            <w:vAlign w:val="center"/>
          </w:tcPr>
          <w:p>
            <w:pPr>
              <w:pStyle w:val="TableContents"/>
              <w:bidi w:val="0"/>
              <w:spacing w:before="120" w:after="120"/>
              <w:ind w:left="0" w:right="0" w:firstLine="223"/>
              <w:jc w:val="left"/>
              <w:rPr/>
            </w:pPr>
            <w:r>
              <w:rPr/>
              <w:t> </w:t>
            </w:r>
          </w:p>
        </w:tc>
        <w:tc>
          <w:tcPr>
            <w:tcW w:w="9821" w:type="dxa"/>
            <w:tcBorders/>
            <w:tcMar>
              <w:top w:w="0" w:type="dxa"/>
              <w:left w:w="0" w:type="dxa"/>
              <w:bottom w:w="0" w:type="dxa"/>
              <w:right w:w="0" w:type="dxa"/>
            </w:tcMar>
            <w:vAlign w:val="center"/>
          </w:tcPr>
          <w:p>
            <w:pPr>
              <w:pStyle w:val="TableContents"/>
              <w:bidi w:val="0"/>
              <w:spacing w:before="120" w:after="120"/>
              <w:ind w:left="0" w:right="0" w:firstLine="223"/>
              <w:jc w:val="left"/>
              <w:rPr>
                <w:rFonts w:ascii="Times New Roman" w:hAnsi="Times New Roman"/>
                <w:color w:val="000000"/>
                <w:sz w:val="24"/>
              </w:rPr>
            </w:pPr>
            <w:r>
              <w:rPr>
                <w:rFonts w:ascii="Times New Roman" w:hAnsi="Times New Roman"/>
                <w:color w:val="000000"/>
                <w:sz w:val="24"/>
              </w:rPr>
              <w:t>(e) For purposes of this Agreement:</w:t>
            </w:r>
          </w:p>
          <w:p>
            <w:pPr>
              <w:pStyle w:val="TableContents"/>
              <w:bidi w:val="0"/>
              <w:spacing w:before="0" w:after="120"/>
              <w:ind w:left="0" w:right="0" w:firstLine="223"/>
              <w:jc w:val="left"/>
              <w:rPr/>
            </w:pPr>
            <w:r>
              <w:rPr>
                <w:color w:val="000000"/>
              </w:rPr>
              <w:t>“</w:t>
            </w:r>
            <w:r>
              <w:rPr>
                <w:rFonts w:ascii="Times New Roman" w:hAnsi="Times New Roman"/>
                <w:color w:val="000000"/>
                <w:sz w:val="24"/>
                <w:u w:val="single"/>
              </w:rPr>
              <w:t>Cause</w:t>
            </w:r>
            <w:r>
              <w:rPr>
                <w:rFonts w:ascii="Times New Roman" w:hAnsi="Times New Roman"/>
                <w:color w:val="000000"/>
                <w:sz w:val="24"/>
              </w:rPr>
              <w:t>” means (i) any theft, fraud, embezzlement, dishonesty, willful misconduct, breach of fiduciary duty for personal profit, falsification of any documents or records of the Company or any member of the Company Group, felony or similar act by you (whether or not related to your relationship with the Company); (ii) an act of moral turpitude by you, or any act that causes significant injury to, or is otherwise adversely affecting, the reputation, business, assets, operations or business relationship of the Company (or any member of the Company Group); (iii) any breach by you of any material agreement with or of any material duty of yours to the Company or any member of the Company Group (including breach of confidentiality, non-disclosure, non-use non-competition or non-solicitation covenants towards the Company or any member of the Company Group) or failure to abide by code of conduct or other policies (including, without limitation, policies relating to confidentiality and reasonable workplace conduct); or (iv) any act which constitutes a breach of your fiduciary duty towards the Company or any member of the Company Group including disclosure of confidential or proprietary information thereof or acceptance or solicitation to receive unauthorized or undisclosed benefits, irrespective of their nature, or funds, or promises to receive either, from individuals, consultants or corporate entities that the Company or a Subsidiary does business with; (v) your unauthorized use, misappropriation, destruction, or diversion of any tangible or intangible asset or corporate opportunity of the Company or any member of the Company Group (including, without limitation, the improper use or disclosure of confidential or proprietary information). For the avoidance of doubt, the determination as to whether a termination is for Cause for purposes of this Agreement shall be made in good faith by the Compensation Committee and shall be final and binding on you.</w:t>
            </w:r>
          </w:p>
        </w:tc>
      </w:tr>
      <w:tr>
        <w:trPr/>
        <w:tc>
          <w:tcPr>
            <w:tcW w:w="384" w:type="dxa"/>
            <w:tcBorders/>
            <w:tcMar>
              <w:top w:w="0" w:type="dxa"/>
              <w:left w:w="0" w:type="dxa"/>
              <w:bottom w:w="0" w:type="dxa"/>
              <w:right w:w="0" w:type="dxa"/>
            </w:tcMar>
            <w:vAlign w:val="center"/>
          </w:tcPr>
          <w:p>
            <w:pPr>
              <w:pStyle w:val="TableContents"/>
              <w:bidi w:val="0"/>
              <w:spacing w:before="120" w:after="120"/>
              <w:ind w:left="0" w:right="0" w:firstLine="223"/>
              <w:jc w:val="left"/>
              <w:rPr/>
            </w:pPr>
            <w:r>
              <w:rPr/>
              <w:t> </w:t>
            </w:r>
          </w:p>
        </w:tc>
        <w:tc>
          <w:tcPr>
            <w:tcW w:w="9821" w:type="dxa"/>
            <w:tcBorders/>
            <w:tcMar>
              <w:top w:w="0" w:type="dxa"/>
              <w:left w:w="0" w:type="dxa"/>
              <w:bottom w:w="0" w:type="dxa"/>
              <w:right w:w="0" w:type="dxa"/>
            </w:tcMar>
            <w:vAlign w:val="center"/>
          </w:tcPr>
          <w:p>
            <w:pPr>
              <w:pStyle w:val="TableContents"/>
              <w:bidi w:val="0"/>
              <w:spacing w:before="120" w:after="283"/>
              <w:ind w:left="0" w:right="0" w:firstLine="223"/>
              <w:jc w:val="left"/>
              <w:rPr/>
            </w:pPr>
            <w:r>
              <w:rPr>
                <w:color w:val="000000"/>
              </w:rPr>
              <w:t>“</w:t>
            </w:r>
            <w:r>
              <w:rPr>
                <w:rFonts w:ascii="Times New Roman" w:hAnsi="Times New Roman"/>
                <w:color w:val="000000"/>
                <w:sz w:val="24"/>
                <w:u w:val="single"/>
              </w:rPr>
              <w:t>Good Reason</w:t>
            </w:r>
            <w:r>
              <w:rPr>
                <w:rFonts w:ascii="Times New Roman" w:hAnsi="Times New Roman"/>
                <w:color w:val="000000"/>
                <w:sz w:val="24"/>
              </w:rPr>
              <w:t xml:space="preserve">” means the occurrence of any of the following without your consent: (i) a material reduction in your then-current base salary, other than any such reduction that applies generally to similarly situated employees of the Company; (ii) a material diminution in your authority, duties or responsibilities under this Agreement; </w:t>
            </w:r>
            <w:r>
              <w:rPr>
                <w:rFonts w:ascii="Times New Roman" w:hAnsi="Times New Roman"/>
                <w:i/>
                <w:color w:val="000000"/>
                <w:sz w:val="24"/>
              </w:rPr>
              <w:t>provided</w:t>
            </w:r>
            <w:r>
              <w:rPr>
                <w:rFonts w:ascii="Times New Roman" w:hAnsi="Times New Roman"/>
                <w:color w:val="000000"/>
                <w:sz w:val="24"/>
              </w:rPr>
              <w:t xml:space="preserve">, that you will not have the right to resign for Good Reason pursuant to this provision of the Good Reason definition due to a change in authority, duties or responsibilities solely as a result of Parent or the Company no longer being a publicly traded company; or (iii) a relocation of your principal place of employment by more than 50 miles from its location as of the date hereof. Notwithstanding the foregoing, you will not be deemed to have resigned for Good Reason unless (x) you have provided written notice to the Company of the existence of the circumstances providing grounds for termination for Good Reason within 60 days of the initial existence of such grounds, (y) the Company has not cured such circumstances within 30 days from the date on which such notice is provided and (z) you resign from your employment effective no later than 60 days after the initial existence </w:t>
            </w:r>
          </w:p>
        </w:tc>
      </w:tr>
    </w:tbl>
    <w:p>
      <w:pPr>
        <w:pStyle w:val="TextBody"/>
        <w:bidi w:val="0"/>
        <w:jc w:val="left"/>
        <w:rPr/>
      </w:pPr>
      <w:r>
        <w:rPr/>
        <w:t> </w:t>
      </w:r>
    </w:p>
    <w:p>
      <w:pPr>
        <w:pStyle w:val="TextBody"/>
        <w:bidi w:val="0"/>
        <w:spacing w:before="10" w:after="283"/>
        <w:jc w:val="left"/>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00"/>
        <w:gridCol w:w="8605"/>
      </w:tblGrid>
      <w:tr>
        <w:trPr/>
        <w:tc>
          <w:tcPr>
            <w:tcW w:w="1600" w:type="dxa"/>
            <w:tcBorders/>
            <w:vAlign w:val="center"/>
          </w:tcPr>
          <w:p>
            <w:pPr>
              <w:pStyle w:val="TableContents"/>
              <w:bidi w:val="0"/>
              <w:spacing w:before="0" w:after="283"/>
              <w:jc w:val="left"/>
              <w:rPr>
                <w:sz w:val="4"/>
                <w:szCs w:val="4"/>
              </w:rPr>
            </w:pPr>
            <w:r>
              <w:rPr>
                <w:sz w:val="4"/>
                <w:szCs w:val="4"/>
              </w:rPr>
            </w:r>
          </w:p>
        </w:tc>
        <w:tc>
          <w:tcPr>
            <w:tcW w:w="8605" w:type="dxa"/>
            <w:tcBorders/>
            <w:vAlign w:val="center"/>
          </w:tcPr>
          <w:p>
            <w:pPr>
              <w:pStyle w:val="TableContents"/>
              <w:bidi w:val="0"/>
              <w:spacing w:before="0" w:after="283"/>
              <w:jc w:val="left"/>
              <w:rPr>
                <w:sz w:val="4"/>
                <w:szCs w:val="4"/>
              </w:rPr>
            </w:pPr>
            <w:r>
              <w:rPr>
                <w:sz w:val="4"/>
                <w:szCs w:val="4"/>
              </w:rPr>
            </w:r>
          </w:p>
        </w:tc>
      </w:tr>
      <w:tr>
        <w:trPr/>
        <w:tc>
          <w:tcPr>
            <w:tcW w:w="1600" w:type="dxa"/>
            <w:tcBorders/>
            <w:tcMar>
              <w:top w:w="0" w:type="dxa"/>
              <w:left w:w="0" w:type="dxa"/>
              <w:bottom w:w="0" w:type="dxa"/>
              <w:right w:w="0" w:type="dxa"/>
            </w:tcMar>
            <w:vAlign w:val="center"/>
          </w:tcPr>
          <w:p>
            <w:pPr>
              <w:pStyle w:val="TableContents"/>
              <w:bidi w:val="0"/>
              <w:spacing w:before="0" w:after="283"/>
              <w:ind w:left="0" w:right="0" w:firstLine="223"/>
              <w:jc w:val="left"/>
              <w:rPr/>
            </w:pPr>
            <w:r>
              <w:rPr/>
              <w:t> </w:t>
            </w:r>
          </w:p>
        </w:tc>
        <w:tc>
          <w:tcPr>
            <w:tcW w:w="8605" w:type="dxa"/>
            <w:tcBorders/>
            <w:tcMar>
              <w:top w:w="0" w:type="dxa"/>
              <w:left w:w="0" w:type="dxa"/>
              <w:bottom w:w="0" w:type="dxa"/>
              <w:right w:w="0" w:type="dxa"/>
            </w:tcMar>
            <w:vAlign w:val="center"/>
          </w:tcPr>
          <w:p>
            <w:pPr>
              <w:pStyle w:val="TableContents"/>
              <w:bidi w:val="0"/>
              <w:spacing w:before="0" w:after="120"/>
              <w:ind w:left="0" w:right="0" w:firstLine="50"/>
              <w:jc w:val="left"/>
              <w:rPr>
                <w:rFonts w:ascii="Times New Roman" w:hAnsi="Times New Roman"/>
                <w:color w:val="000000"/>
                <w:sz w:val="24"/>
              </w:rPr>
            </w:pPr>
            <w:r>
              <w:rPr>
                <w:rFonts w:ascii="Times New Roman" w:hAnsi="Times New Roman"/>
                <w:color w:val="000000"/>
                <w:sz w:val="24"/>
              </w:rPr>
              <w:t>of such grounds.</w:t>
            </w:r>
          </w:p>
        </w:tc>
      </w:tr>
      <w:tr>
        <w:trPr/>
        <w:tc>
          <w:tcPr>
            <w:tcW w:w="1600" w:type="dxa"/>
            <w:tcBorders/>
            <w:tcMar>
              <w:top w:w="0" w:type="dxa"/>
              <w:left w:w="0" w:type="dxa"/>
              <w:bottom w:w="0" w:type="dxa"/>
              <w:right w:w="0" w:type="dxa"/>
            </w:tcMar>
            <w:vAlign w:val="center"/>
          </w:tcPr>
          <w:p>
            <w:pPr>
              <w:pStyle w:val="TableContents"/>
              <w:bidi w:val="0"/>
              <w:spacing w:before="120" w:after="120"/>
              <w:ind w:left="0" w:right="0" w:firstLine="198"/>
              <w:jc w:val="left"/>
              <w:rPr>
                <w:rFonts w:ascii="Times New Roman" w:hAnsi="Times New Roman"/>
                <w:b/>
                <w:color w:val="000000"/>
                <w:sz w:val="24"/>
              </w:rPr>
            </w:pPr>
            <w:r>
              <w:rPr>
                <w:rFonts w:ascii="Times New Roman" w:hAnsi="Times New Roman"/>
                <w:b/>
                <w:color w:val="000000"/>
                <w:sz w:val="24"/>
              </w:rPr>
              <w:t>Resignation:</w:t>
            </w:r>
          </w:p>
        </w:tc>
        <w:tc>
          <w:tcPr>
            <w:tcW w:w="8605" w:type="dxa"/>
            <w:tcBorders/>
            <w:tcMar>
              <w:top w:w="0" w:type="dxa"/>
              <w:left w:w="0" w:type="dxa"/>
              <w:bottom w:w="0" w:type="dxa"/>
              <w:right w:w="0" w:type="dxa"/>
            </w:tcMar>
            <w:vAlign w:val="center"/>
          </w:tcPr>
          <w:p>
            <w:pPr>
              <w:pStyle w:val="TableContents"/>
              <w:bidi w:val="0"/>
              <w:spacing w:before="120" w:after="120"/>
              <w:ind w:left="0" w:right="0" w:firstLine="50"/>
              <w:jc w:val="left"/>
              <w:rPr>
                <w:rFonts w:ascii="Times New Roman" w:hAnsi="Times New Roman"/>
                <w:color w:val="000000"/>
                <w:sz w:val="24"/>
              </w:rPr>
            </w:pPr>
            <w:r>
              <w:rPr>
                <w:rFonts w:ascii="Times New Roman" w:hAnsi="Times New Roman"/>
                <w:color w:val="000000"/>
                <w:sz w:val="24"/>
              </w:rPr>
              <w:t>Effective as of the date of your termination of employment, unless otherwise requested by the Company in writing, you will, automatically and without further action on your part or any other person or entity, resign from all offices, boards of directors (or similar governing bodies) and committees of each member of the Company Group. You agree that you will, at the request of the Company, execute and deliver such documentation as may be required to effect such resignations, and authorize any member of the Company Group to file (or cause to be filed) such documentation, as necessary, with any applicable governmental authority.</w:t>
            </w:r>
          </w:p>
        </w:tc>
      </w:tr>
      <w:tr>
        <w:trPr/>
        <w:tc>
          <w:tcPr>
            <w:tcW w:w="1600" w:type="dxa"/>
            <w:tcBorders/>
            <w:tcMar>
              <w:top w:w="0" w:type="dxa"/>
              <w:left w:w="0" w:type="dxa"/>
              <w:bottom w:w="0" w:type="dxa"/>
              <w:right w:w="0" w:type="dxa"/>
            </w:tcMar>
            <w:vAlign w:val="center"/>
          </w:tcPr>
          <w:p>
            <w:pPr>
              <w:pStyle w:val="TableContents"/>
              <w:bidi w:val="0"/>
              <w:spacing w:before="120" w:after="120"/>
              <w:ind w:left="0" w:right="0" w:firstLine="198"/>
              <w:jc w:val="left"/>
              <w:rPr>
                <w:rFonts w:ascii="Times New Roman" w:hAnsi="Times New Roman"/>
                <w:b/>
                <w:color w:val="000000"/>
                <w:sz w:val="24"/>
              </w:rPr>
            </w:pPr>
            <w:r>
              <w:rPr>
                <w:rFonts w:ascii="Times New Roman" w:hAnsi="Times New Roman"/>
                <w:b/>
                <w:color w:val="000000"/>
                <w:sz w:val="24"/>
              </w:rPr>
              <w:t>Cooperation:</w:t>
            </w:r>
          </w:p>
        </w:tc>
        <w:tc>
          <w:tcPr>
            <w:tcW w:w="8605" w:type="dxa"/>
            <w:tcBorders/>
            <w:tcMar>
              <w:top w:w="0" w:type="dxa"/>
              <w:left w:w="0" w:type="dxa"/>
              <w:bottom w:w="0" w:type="dxa"/>
              <w:right w:w="0" w:type="dxa"/>
            </w:tcMar>
            <w:vAlign w:val="center"/>
          </w:tcPr>
          <w:p>
            <w:pPr>
              <w:pStyle w:val="TableContents"/>
              <w:bidi w:val="0"/>
              <w:spacing w:before="120" w:after="120"/>
              <w:ind w:left="0" w:right="0" w:firstLine="50"/>
              <w:jc w:val="left"/>
              <w:rPr>
                <w:rFonts w:ascii="Times New Roman" w:hAnsi="Times New Roman"/>
                <w:sz w:val="24"/>
              </w:rPr>
            </w:pPr>
            <w:r>
              <w:rPr>
                <w:rFonts w:ascii="Times New Roman" w:hAnsi="Times New Roman"/>
                <w:color w:val="000000"/>
                <w:sz w:val="24"/>
              </w:rPr>
              <w:t xml:space="preserve">In consideration for the promises and payments by the Company pursuant to this Agreement, at the request of the Company, for a one-year period following your termination of employment for any reason, you agree to cooperate to the fullest extent possible with respect to matters involving any member of the Company Group about which you have or may have knowledge, including any such matters which may arise before or after the Term; </w:t>
            </w:r>
            <w:r>
              <w:rPr>
                <w:rFonts w:ascii="Times New Roman" w:hAnsi="Times New Roman"/>
                <w:i/>
                <w:color w:val="000000"/>
                <w:sz w:val="24"/>
              </w:rPr>
              <w:t xml:space="preserve">provided </w:t>
            </w:r>
            <w:r>
              <w:rPr>
                <w:rFonts w:ascii="Times New Roman" w:hAnsi="Times New Roman"/>
                <w:color w:val="000000"/>
                <w:sz w:val="24"/>
              </w:rPr>
              <w:t>such cooperation shall not unreasonably interfere with any obligations you may have to your current employer at the time. The Company will reimburse you for any reasonable, properly documented out- of-pocket expenses, including your travel expenses and attorneys’ fees that you actually incur in connection with such cooperation.</w:t>
            </w:r>
          </w:p>
        </w:tc>
      </w:tr>
      <w:tr>
        <w:trPr/>
        <w:tc>
          <w:tcPr>
            <w:tcW w:w="1600" w:type="dxa"/>
            <w:tcBorders/>
            <w:tcMar>
              <w:top w:w="0" w:type="dxa"/>
              <w:left w:w="0" w:type="dxa"/>
              <w:bottom w:w="0" w:type="dxa"/>
              <w:right w:w="0" w:type="dxa"/>
            </w:tcMar>
            <w:vAlign w:val="center"/>
          </w:tcPr>
          <w:p>
            <w:pPr>
              <w:pStyle w:val="TableContents"/>
              <w:bidi w:val="0"/>
              <w:spacing w:before="120" w:after="120"/>
              <w:ind w:left="0" w:right="0" w:firstLine="198"/>
              <w:jc w:val="left"/>
              <w:rPr>
                <w:rFonts w:ascii="Times New Roman" w:hAnsi="Times New Roman"/>
                <w:b/>
                <w:color w:val="000000"/>
                <w:sz w:val="24"/>
              </w:rPr>
            </w:pPr>
            <w:r>
              <w:rPr>
                <w:rFonts w:ascii="Times New Roman" w:hAnsi="Times New Roman"/>
                <w:b/>
                <w:color w:val="000000"/>
                <w:sz w:val="24"/>
              </w:rPr>
              <w:t>Section 409A:</w:t>
            </w:r>
          </w:p>
        </w:tc>
        <w:tc>
          <w:tcPr>
            <w:tcW w:w="8605" w:type="dxa"/>
            <w:tcBorders/>
            <w:tcMar>
              <w:top w:w="0" w:type="dxa"/>
              <w:left w:w="0" w:type="dxa"/>
              <w:bottom w:w="0" w:type="dxa"/>
              <w:right w:w="0" w:type="dxa"/>
            </w:tcMar>
            <w:vAlign w:val="center"/>
          </w:tcPr>
          <w:p>
            <w:pPr>
              <w:pStyle w:val="TableContents"/>
              <w:bidi w:val="0"/>
              <w:spacing w:before="120" w:after="283"/>
              <w:ind w:left="0" w:right="0" w:firstLine="198"/>
              <w:jc w:val="left"/>
              <w:rPr>
                <w:rFonts w:ascii="Times New Roman" w:hAnsi="Times New Roman"/>
                <w:sz w:val="24"/>
              </w:rPr>
            </w:pPr>
            <w:r>
              <w:rPr>
                <w:rFonts w:ascii="Times New Roman" w:hAnsi="Times New Roman"/>
                <w:color w:val="000000"/>
                <w:sz w:val="24"/>
              </w:rPr>
              <w:t>All references in this Agreement to your termination of employment shall mean your “separation from service” within the meaning of Section 409A of the Code and Treasury regulations promulgated thereunder. This Agreement is intended to comply with Section 409A of the Code or an exemption thereunder and shall be construed and administered in accordance with Section 409A. Any payments under this Agreement that may be excluded from Section 409A either as separation pay due to an involuntary separation from service or as a short-term deferral shall be excluded from Section 409A to the maximum extent possible. In the event the terms of this Agreement would subject you to the imposition of taxes and penalties under Section 409A (“</w:t>
            </w:r>
            <w:r>
              <w:rPr>
                <w:rFonts w:ascii="Times New Roman" w:hAnsi="Times New Roman"/>
                <w:color w:val="000000"/>
                <w:sz w:val="24"/>
                <w:u w:val="single"/>
              </w:rPr>
              <w:t>409A Penalties</w:t>
            </w:r>
            <w:r>
              <w:rPr>
                <w:rFonts w:ascii="Times New Roman" w:hAnsi="Times New Roman"/>
                <w:color w:val="000000"/>
                <w:sz w:val="24"/>
              </w:rPr>
              <w:t xml:space="preserve">”), the Company and you shall cooperate diligently to amend the terms of this Agreement to avoid such 409A Penalties, to the extent possible; </w:t>
            </w:r>
            <w:r>
              <w:rPr>
                <w:rFonts w:ascii="Times New Roman" w:hAnsi="Times New Roman"/>
                <w:i/>
                <w:color w:val="000000"/>
                <w:sz w:val="24"/>
              </w:rPr>
              <w:t xml:space="preserve">provided </w:t>
            </w:r>
            <w:r>
              <w:rPr>
                <w:rFonts w:ascii="Times New Roman" w:hAnsi="Times New Roman"/>
                <w:color w:val="000000"/>
                <w:sz w:val="24"/>
              </w:rPr>
              <w:t xml:space="preserve">that, for the avoidance of doubt, you shall be solely liable for any 409A Penalties incurred by you. To the extent that any amounts payable in installments under this Agreement are reasonably determined to be “nonqualified deferred compensation” within the meaning of Section 409A of the Code, then each such installment shall be treated as a right to receive a series of separate payments and, accordingly, each such installment payment shall at all times be considered a separate and distinct payment as permitted under </w:t>
            </w:r>
          </w:p>
        </w:tc>
      </w:tr>
    </w:tbl>
    <w:p>
      <w:pPr>
        <w:pStyle w:val="TextBody"/>
        <w:bidi w:val="0"/>
        <w:jc w:val="left"/>
        <w:rPr/>
      </w:pPr>
      <w:r>
        <w:rPr/>
        <w:t> </w:t>
      </w:r>
    </w:p>
    <w:p>
      <w:pPr>
        <w:pStyle w:val="TextBody"/>
        <w:bidi w:val="0"/>
        <w:spacing w:before="10" w:after="283"/>
        <w:jc w:val="left"/>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12"/>
        <w:gridCol w:w="9093"/>
      </w:tblGrid>
      <w:tr>
        <w:trPr/>
        <w:tc>
          <w:tcPr>
            <w:tcW w:w="1112" w:type="dxa"/>
            <w:tcBorders/>
            <w:vAlign w:val="center"/>
          </w:tcPr>
          <w:p>
            <w:pPr>
              <w:pStyle w:val="TableContents"/>
              <w:bidi w:val="0"/>
              <w:spacing w:before="0" w:after="283"/>
              <w:jc w:val="left"/>
              <w:rPr>
                <w:sz w:val="4"/>
                <w:szCs w:val="4"/>
              </w:rPr>
            </w:pPr>
            <w:r>
              <w:rPr>
                <w:sz w:val="4"/>
                <w:szCs w:val="4"/>
              </w:rPr>
            </w:r>
          </w:p>
        </w:tc>
        <w:tc>
          <w:tcPr>
            <w:tcW w:w="9093" w:type="dxa"/>
            <w:tcBorders/>
            <w:vAlign w:val="center"/>
          </w:tcPr>
          <w:p>
            <w:pPr>
              <w:pStyle w:val="TableContents"/>
              <w:bidi w:val="0"/>
              <w:spacing w:before="0" w:after="283"/>
              <w:jc w:val="left"/>
              <w:rPr>
                <w:sz w:val="4"/>
                <w:szCs w:val="4"/>
              </w:rPr>
            </w:pPr>
            <w:r>
              <w:rPr>
                <w:sz w:val="4"/>
                <w:szCs w:val="4"/>
              </w:rPr>
            </w:r>
          </w:p>
        </w:tc>
      </w:tr>
      <w:tr>
        <w:trPr/>
        <w:tc>
          <w:tcPr>
            <w:tcW w:w="1112" w:type="dxa"/>
            <w:tcBorders/>
            <w:tcMar>
              <w:top w:w="0" w:type="dxa"/>
              <w:left w:w="0" w:type="dxa"/>
              <w:bottom w:w="0" w:type="dxa"/>
              <w:right w:w="0" w:type="dxa"/>
            </w:tcMar>
            <w:vAlign w:val="center"/>
          </w:tcPr>
          <w:p>
            <w:pPr>
              <w:pStyle w:val="TableContents"/>
              <w:bidi w:val="0"/>
              <w:spacing w:before="0" w:after="283"/>
              <w:ind w:left="0" w:right="0" w:firstLine="198"/>
              <w:jc w:val="left"/>
              <w:rPr/>
            </w:pPr>
            <w:r>
              <w:rPr/>
              <w:t> </w:t>
            </w:r>
          </w:p>
        </w:tc>
        <w:tc>
          <w:tcPr>
            <w:tcW w:w="9093" w:type="dxa"/>
            <w:tcBorders/>
            <w:tcMar>
              <w:top w:w="0" w:type="dxa"/>
              <w:left w:w="0" w:type="dxa"/>
              <w:bottom w:w="0" w:type="dxa"/>
              <w:right w:w="0" w:type="dxa"/>
            </w:tcMar>
            <w:vAlign w:val="center"/>
          </w:tcPr>
          <w:p>
            <w:pPr>
              <w:pStyle w:val="TableContents"/>
              <w:bidi w:val="0"/>
              <w:spacing w:before="0" w:after="120"/>
              <w:ind w:left="0" w:right="0" w:firstLine="198"/>
              <w:jc w:val="left"/>
              <w:rPr>
                <w:rFonts w:ascii="Times New Roman" w:hAnsi="Times New Roman"/>
                <w:color w:val="000000"/>
                <w:sz w:val="24"/>
              </w:rPr>
            </w:pPr>
            <w:r>
              <w:rPr>
                <w:rFonts w:ascii="Times New Roman" w:hAnsi="Times New Roman"/>
                <w:color w:val="000000"/>
                <w:sz w:val="24"/>
              </w:rPr>
              <w:t>Section 409A of the Code.</w:t>
            </w:r>
          </w:p>
          <w:p>
            <w:pPr>
              <w:pStyle w:val="TableContents"/>
              <w:bidi w:val="0"/>
              <w:spacing w:before="0" w:after="120"/>
              <w:ind w:left="0" w:right="0" w:firstLine="198"/>
              <w:jc w:val="left"/>
              <w:rPr>
                <w:rFonts w:ascii="Times New Roman" w:hAnsi="Times New Roman"/>
                <w:color w:val="000000"/>
                <w:sz w:val="24"/>
              </w:rPr>
            </w:pPr>
            <w:r>
              <w:rPr>
                <w:rFonts w:ascii="Times New Roman" w:hAnsi="Times New Roman"/>
                <w:color w:val="000000"/>
                <w:sz w:val="24"/>
              </w:rPr>
              <w:t>Notwithstanding any other provision in this Agreement, if as of the date on which your employment terminates, you are a “specified employee”, as</w:t>
            </w:r>
          </w:p>
          <w:p>
            <w:pPr>
              <w:pStyle w:val="TableContents"/>
              <w:bidi w:val="0"/>
              <w:spacing w:before="0" w:after="120"/>
              <w:ind w:left="0" w:right="0" w:firstLine="198"/>
              <w:jc w:val="left"/>
              <w:rPr>
                <w:rFonts w:ascii="Times New Roman" w:hAnsi="Times New Roman"/>
                <w:color w:val="000000"/>
                <w:sz w:val="24"/>
              </w:rPr>
            </w:pPr>
            <w:r>
              <w:rPr>
                <w:rFonts w:ascii="Times New Roman" w:hAnsi="Times New Roman"/>
                <w:color w:val="000000"/>
                <w:sz w:val="24"/>
              </w:rPr>
              <w:t>determined by the Company, then with respect to any amount payable or benefit provided under this Agreement or otherwise that the Company reasonably determines would be nonqualified deferred compensation within the meaning of Section 409A of the Code and that under the terms of this Agreement would be payable prior to the six-month anniversary of your effective date of termination, then if required in order to avoid any penalties under Section 409A of the Code, such payment or benefit shall be delayed until the earlier to occur of (a) the first payroll date following the six-month anniversary of such termination date and (b) the date of your death.</w:t>
            </w:r>
          </w:p>
          <w:p>
            <w:pPr>
              <w:pStyle w:val="TableContents"/>
              <w:bidi w:val="0"/>
              <w:spacing w:before="0" w:after="120"/>
              <w:ind w:left="0" w:right="0" w:firstLine="198"/>
              <w:jc w:val="left"/>
              <w:rPr>
                <w:rFonts w:ascii="Times New Roman" w:hAnsi="Times New Roman"/>
                <w:color w:val="000000"/>
                <w:sz w:val="24"/>
              </w:rPr>
            </w:pPr>
            <w:r>
              <w:rPr>
                <w:rFonts w:ascii="Times New Roman" w:hAnsi="Times New Roman"/>
                <w:color w:val="000000"/>
                <w:sz w:val="24"/>
              </w:rPr>
              <w:t>With respect to any reimbursements under this Agreement, such reimbursement shall be made on or before the last day of your taxable year following the taxable year in which you incurred the expense. The amount of any expenses eligible for reimbursement or the amount of any in-kind benefits provided, as the case may be, under this Agreement during any calendar year shall not affect the amount of expenses eligible for reimbursement or the amount of any in-kind benefits provided during any other calendar year. The right to reimbursement or to any in-kind benefit pursuant to this Agreement shall not be subject to liquidation or exchange for any other benefit.</w:t>
            </w:r>
          </w:p>
          <w:p>
            <w:pPr>
              <w:pStyle w:val="TableContents"/>
              <w:bidi w:val="0"/>
              <w:spacing w:before="0" w:after="120"/>
              <w:ind w:left="0" w:right="0" w:firstLine="50"/>
              <w:jc w:val="left"/>
              <w:rPr>
                <w:rFonts w:ascii="Times New Roman" w:hAnsi="Times New Roman"/>
                <w:color w:val="000000"/>
                <w:sz w:val="24"/>
              </w:rPr>
            </w:pPr>
            <w:r>
              <w:rPr>
                <w:rFonts w:ascii="Times New Roman" w:hAnsi="Times New Roman"/>
                <w:color w:val="000000"/>
                <w:sz w:val="24"/>
              </w:rPr>
              <w:t>You acknowledge and agree that notwithstanding any provision of this Agreement, the Company and its affiliates are not providing you with any tax advice with respect to Section 409A of the Code or otherwise and are not making any guarantees or other assurances of any kind to you with respect to the tax consequences or treatment of any amounts paid or payable to you under this Agreement.</w:t>
            </w:r>
          </w:p>
        </w:tc>
      </w:tr>
      <w:tr>
        <w:trPr/>
        <w:tc>
          <w:tcPr>
            <w:tcW w:w="1112" w:type="dxa"/>
            <w:tcBorders/>
            <w:tcMar>
              <w:top w:w="0" w:type="dxa"/>
              <w:left w:w="0" w:type="dxa"/>
              <w:bottom w:w="0" w:type="dxa"/>
              <w:right w:w="0" w:type="dxa"/>
            </w:tcMar>
            <w:vAlign w:val="center"/>
          </w:tcPr>
          <w:p>
            <w:pPr>
              <w:pStyle w:val="TableContents"/>
              <w:bidi w:val="0"/>
              <w:spacing w:before="120" w:after="120"/>
              <w:ind w:left="0" w:right="0" w:firstLine="193"/>
              <w:jc w:val="left"/>
              <w:rPr>
                <w:rFonts w:ascii="Times New Roman" w:hAnsi="Times New Roman"/>
                <w:b/>
                <w:color w:val="000000"/>
                <w:sz w:val="24"/>
              </w:rPr>
            </w:pPr>
            <w:r>
              <w:rPr>
                <w:rFonts w:ascii="Times New Roman" w:hAnsi="Times New Roman"/>
                <w:b/>
                <w:color w:val="000000"/>
                <w:sz w:val="24"/>
              </w:rPr>
              <w:t>Section 280G:</w:t>
            </w:r>
          </w:p>
        </w:tc>
        <w:tc>
          <w:tcPr>
            <w:tcW w:w="9093" w:type="dxa"/>
            <w:tcBorders/>
            <w:tcMar>
              <w:top w:w="0" w:type="dxa"/>
              <w:left w:w="0" w:type="dxa"/>
              <w:bottom w:w="0" w:type="dxa"/>
              <w:right w:w="0" w:type="dxa"/>
            </w:tcMar>
            <w:vAlign w:val="center"/>
          </w:tcPr>
          <w:p>
            <w:pPr>
              <w:pStyle w:val="TableContents"/>
              <w:bidi w:val="0"/>
              <w:spacing w:before="120" w:after="120"/>
              <w:ind w:left="0" w:right="0" w:firstLine="193"/>
              <w:jc w:val="left"/>
              <w:rPr>
                <w:rFonts w:ascii="Times New Roman" w:hAnsi="Times New Roman"/>
                <w:sz w:val="24"/>
              </w:rPr>
            </w:pPr>
            <w:r>
              <w:rPr>
                <w:rFonts w:ascii="Times New Roman" w:hAnsi="Times New Roman"/>
                <w:color w:val="000000"/>
                <w:sz w:val="24"/>
              </w:rPr>
              <w:t>If the present value of your Severance Benefits, either alone or together with other payments which you have the right to receive from the Company (the “</w:t>
            </w:r>
            <w:r>
              <w:rPr>
                <w:rFonts w:ascii="Times New Roman" w:hAnsi="Times New Roman"/>
                <w:b/>
                <w:color w:val="000000"/>
                <w:sz w:val="24"/>
              </w:rPr>
              <w:t>Benefits</w:t>
            </w:r>
            <w:r>
              <w:rPr>
                <w:rFonts w:ascii="Times New Roman" w:hAnsi="Times New Roman"/>
                <w:color w:val="000000"/>
                <w:sz w:val="24"/>
              </w:rPr>
              <w:t>”), would constitute a “parachute payment” as defined in Section 280G of the Code, then your Benefits shall be either (i) provided to you in full, or (ii) provided to you only as to such lesser extent that would result in no portion of such Benefits being subject to the excise tax imposed by Section 4999 of the Code (the “</w:t>
            </w:r>
            <w:r>
              <w:rPr>
                <w:rFonts w:ascii="Times New Roman" w:hAnsi="Times New Roman"/>
                <w:b/>
                <w:color w:val="000000"/>
                <w:sz w:val="24"/>
              </w:rPr>
              <w:t>Excise Tax</w:t>
            </w:r>
            <w:r>
              <w:rPr>
                <w:rFonts w:ascii="Times New Roman" w:hAnsi="Times New Roman"/>
                <w:color w:val="000000"/>
                <w:sz w:val="24"/>
              </w:rPr>
              <w:t>”), whichever of the foregoing amounts, taking into account the applicable federal, state, and local income and employment taxes and the Excise Tax, results in the receipt by you, on an after-tax basis, of the greatest amount of benefits, notwithstanding that all or some portion of such Benefits may be taxable under the Excise Tax.</w:t>
            </w:r>
          </w:p>
          <w:p>
            <w:pPr>
              <w:pStyle w:val="TableContents"/>
              <w:bidi w:val="0"/>
              <w:spacing w:before="0" w:after="283"/>
              <w:ind w:left="0" w:right="0" w:firstLine="193"/>
              <w:jc w:val="left"/>
              <w:rPr>
                <w:rFonts w:ascii="Times New Roman" w:hAnsi="Times New Roman"/>
                <w:sz w:val="24"/>
              </w:rPr>
            </w:pPr>
            <w:r>
              <w:rPr>
                <w:rFonts w:ascii="Times New Roman" w:hAnsi="Times New Roman"/>
                <w:color w:val="000000"/>
                <w:sz w:val="24"/>
              </w:rPr>
              <w:t>Unless the Company and you otherwise agree, any determination required under this section shall be made in writing in good faith by the Company’s independent accounting firm or such other nationally or regionally recognized accounting firm selected by the Company (the “</w:t>
            </w:r>
            <w:r>
              <w:rPr>
                <w:rFonts w:ascii="Times New Roman" w:hAnsi="Times New Roman"/>
                <w:b/>
                <w:color w:val="000000"/>
                <w:sz w:val="24"/>
              </w:rPr>
              <w:t>Accountants</w:t>
            </w:r>
            <w:r>
              <w:rPr>
                <w:rFonts w:ascii="Times New Roman" w:hAnsi="Times New Roman"/>
                <w:color w:val="000000"/>
                <w:sz w:val="24"/>
              </w:rPr>
              <w:t xml:space="preserve">”), </w:t>
            </w:r>
          </w:p>
        </w:tc>
      </w:tr>
    </w:tbl>
    <w:p>
      <w:pPr>
        <w:pStyle w:val="TextBody"/>
        <w:bidi w:val="0"/>
        <w:jc w:val="left"/>
        <w:rPr/>
      </w:pPr>
      <w:r>
        <w:rPr/>
        <w:t> </w:t>
      </w:r>
    </w:p>
    <w:p>
      <w:pPr>
        <w:pStyle w:val="TextBody"/>
        <w:bidi w:val="0"/>
        <w:spacing w:before="10" w:after="283"/>
        <w:jc w:val="left"/>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4"/>
        <w:gridCol w:w="9851"/>
      </w:tblGrid>
      <w:tr>
        <w:trPr/>
        <w:tc>
          <w:tcPr>
            <w:tcW w:w="354" w:type="dxa"/>
            <w:tcBorders/>
            <w:vAlign w:val="center"/>
          </w:tcPr>
          <w:p>
            <w:pPr>
              <w:pStyle w:val="TableContents"/>
              <w:bidi w:val="0"/>
              <w:spacing w:before="0" w:after="283"/>
              <w:jc w:val="left"/>
              <w:rPr>
                <w:sz w:val="4"/>
                <w:szCs w:val="4"/>
              </w:rPr>
            </w:pPr>
            <w:r>
              <w:rPr>
                <w:sz w:val="4"/>
                <w:szCs w:val="4"/>
              </w:rPr>
            </w:r>
          </w:p>
        </w:tc>
        <w:tc>
          <w:tcPr>
            <w:tcW w:w="9851" w:type="dxa"/>
            <w:tcBorders/>
            <w:vAlign w:val="center"/>
          </w:tcPr>
          <w:p>
            <w:pPr>
              <w:pStyle w:val="TableContents"/>
              <w:bidi w:val="0"/>
              <w:spacing w:before="0" w:after="283"/>
              <w:jc w:val="left"/>
              <w:rPr>
                <w:sz w:val="4"/>
                <w:szCs w:val="4"/>
              </w:rPr>
            </w:pPr>
            <w:r>
              <w:rPr>
                <w:sz w:val="4"/>
                <w:szCs w:val="4"/>
              </w:rPr>
            </w:r>
          </w:p>
        </w:tc>
      </w:tr>
      <w:tr>
        <w:trPr/>
        <w:tc>
          <w:tcPr>
            <w:tcW w:w="354" w:type="dxa"/>
            <w:tcBorders/>
            <w:tcMar>
              <w:top w:w="0" w:type="dxa"/>
              <w:left w:w="0" w:type="dxa"/>
              <w:bottom w:w="0" w:type="dxa"/>
              <w:right w:w="0" w:type="dxa"/>
            </w:tcMar>
            <w:vAlign w:val="center"/>
          </w:tcPr>
          <w:p>
            <w:pPr>
              <w:pStyle w:val="TableContents"/>
              <w:bidi w:val="0"/>
              <w:spacing w:before="0" w:after="283"/>
              <w:ind w:left="0" w:right="0" w:firstLine="193"/>
              <w:jc w:val="left"/>
              <w:rPr/>
            </w:pPr>
            <w:r>
              <w:rPr/>
              <w:t> </w:t>
            </w:r>
          </w:p>
        </w:tc>
        <w:tc>
          <w:tcPr>
            <w:tcW w:w="9851" w:type="dxa"/>
            <w:tcBorders/>
            <w:tcMar>
              <w:top w:w="0" w:type="dxa"/>
              <w:left w:w="0" w:type="dxa"/>
              <w:bottom w:w="0" w:type="dxa"/>
              <w:right w:w="0" w:type="dxa"/>
            </w:tcMar>
            <w:vAlign w:val="center"/>
          </w:tcPr>
          <w:p>
            <w:pPr>
              <w:pStyle w:val="TableContents"/>
              <w:bidi w:val="0"/>
              <w:spacing w:before="0" w:after="120"/>
              <w:ind w:left="0" w:right="0" w:firstLine="193"/>
              <w:jc w:val="left"/>
              <w:rPr>
                <w:rFonts w:ascii="Times New Roman" w:hAnsi="Times New Roman"/>
                <w:color w:val="000000"/>
                <w:sz w:val="24"/>
              </w:rPr>
            </w:pPr>
            <w:r>
              <w:rPr>
                <w:rFonts w:ascii="Times New Roman" w:hAnsi="Times New Roman"/>
                <w:color w:val="000000"/>
                <w:sz w:val="24"/>
              </w:rPr>
              <w:t>whose determination shall be conclusive and binding upon you and the Company for all purposes. In the event that a reduction to the Benefits under this section, the reduction shall apply first to the Benefits that are not deferred compensation subject to Section 409A of the Code and you shall be given the choice, subject to approval by the Company, of which of such</w:t>
            </w:r>
          </w:p>
          <w:p>
            <w:pPr>
              <w:pStyle w:val="TableContents"/>
              <w:bidi w:val="0"/>
              <w:spacing w:before="0" w:after="120"/>
              <w:ind w:left="0" w:right="0" w:firstLine="193"/>
              <w:jc w:val="left"/>
              <w:rPr>
                <w:rFonts w:ascii="Times New Roman" w:hAnsi="Times New Roman"/>
                <w:color w:val="000000"/>
                <w:sz w:val="24"/>
              </w:rPr>
            </w:pPr>
            <w:r>
              <w:rPr>
                <w:rFonts w:ascii="Times New Roman" w:hAnsi="Times New Roman"/>
                <w:color w:val="000000"/>
                <w:sz w:val="24"/>
              </w:rPr>
              <w:t>Benefits to reduce; provided, that such reduction achieves the result specified in clause (ii) above of this section. If a reduction in the Benefits that are subject to Section 409A of the Code is required, such Benefits shall be reduced pro rata, but with no change in the time at which such Benefits shall be paid. For purposes of making the calculations required by this section, the Accountants may make reasonable assumptions and approximations concerning applicable taxes and may rely on reasonable, good faith interpretations concerning the application of the Code. The Company and you shall furnish to the Accountants such information and documents as the Accountants may reasonably request in order to make a determination under this section. The Company shall bear all costs the Accountants may reasonably incur in connection with any calculations contemplated by this section.</w:t>
            </w:r>
          </w:p>
        </w:tc>
      </w:tr>
    </w:tbl>
    <w:p>
      <w:pPr>
        <w:pStyle w:val="TextBody"/>
        <w:bidi w:val="0"/>
        <w:spacing w:before="120" w:after="120"/>
        <w:jc w:val="left"/>
        <w:rPr/>
      </w:pPr>
      <w:bookmarkStart w:id="25" w:name="as_a_condition_of_your_employment__you_a"/>
      <w:bookmarkEnd w:id="25"/>
      <w:r>
        <w:rPr/>
        <w:t> </w:t>
      </w:r>
    </w:p>
    <w:p>
      <w:pPr>
        <w:pStyle w:val="TextBody"/>
        <w:bidi w:val="0"/>
        <w:spacing w:before="0" w:after="120"/>
        <w:jc w:val="left"/>
        <w:rPr>
          <w:rFonts w:ascii="Times New Roman" w:hAnsi="Times New Roman"/>
          <w:sz w:val="20"/>
        </w:rPr>
      </w:pPr>
      <w:r>
        <w:rPr>
          <w:rFonts w:ascii="Times New Roman" w:hAnsi="Times New Roman"/>
          <w:color w:val="000000"/>
          <w:sz w:val="24"/>
        </w:rPr>
        <w:t>As a condition of your employment, you acknowledge and agree that you will continue to be subject to Confidentiality, Non-Competition, Non-Solicitation, and Intellectual Property Assignment Agreement signed by you June 6, 2023 (the “</w:t>
      </w:r>
      <w:r>
        <w:rPr>
          <w:rFonts w:ascii="Times New Roman" w:hAnsi="Times New Roman"/>
          <w:color w:val="000000"/>
          <w:sz w:val="24"/>
          <w:u w:val="single"/>
        </w:rPr>
        <w:t>Covenant Agreement</w:t>
      </w:r>
      <w:r>
        <w:rPr>
          <w:rFonts w:ascii="Times New Roman" w:hAnsi="Times New Roman"/>
          <w:color w:val="000000"/>
          <w:sz w:val="20"/>
        </w:rPr>
        <w:t>”</w:t>
      </w:r>
      <w:r>
        <w:rPr>
          <w:rFonts w:ascii="Times New Roman" w:hAnsi="Times New Roman"/>
          <w:color w:val="000000"/>
          <w:sz w:val="24"/>
        </w:rPr>
        <w:t>). Notwithstanding any provision in this Agreement, the Covenant Agreement or otherwise to the contrary, nothing in this Agreement, the Covenant Agreement or otherwise precludes or otherwise limits your ability to (A) communicate directly with and provide information, including documents, not otherwise protected from disclosure by any applicable law or privilege to the Securities and Exchange Commission (the “</w:t>
      </w:r>
      <w:r>
        <w:rPr>
          <w:rFonts w:ascii="Times New Roman" w:hAnsi="Times New Roman"/>
          <w:color w:val="000000"/>
          <w:sz w:val="24"/>
          <w:u w:val="single"/>
        </w:rPr>
        <w:t>SEC</w:t>
      </w:r>
      <w:r>
        <w:rPr>
          <w:rFonts w:ascii="Times New Roman" w:hAnsi="Times New Roman"/>
          <w:color w:val="000000"/>
          <w:sz w:val="20"/>
        </w:rPr>
        <w:t>”</w:t>
      </w:r>
      <w:r>
        <w:rPr>
          <w:rFonts w:ascii="Times New Roman" w:hAnsi="Times New Roman"/>
          <w:color w:val="000000"/>
          <w:sz w:val="24"/>
        </w:rPr>
        <w:t>) or any other federal, state or local governmental agency or commission (“</w:t>
      </w:r>
      <w:r>
        <w:rPr>
          <w:rFonts w:ascii="Times New Roman" w:hAnsi="Times New Roman"/>
          <w:color w:val="000000"/>
          <w:sz w:val="24"/>
          <w:u w:val="single"/>
        </w:rPr>
        <w:t>Government Agency</w:t>
      </w:r>
      <w:r>
        <w:rPr>
          <w:rFonts w:ascii="Times New Roman" w:hAnsi="Times New Roman"/>
          <w:color w:val="000000"/>
          <w:sz w:val="20"/>
        </w:rPr>
        <w:t>”</w:t>
      </w:r>
      <w:r>
        <w:rPr>
          <w:rFonts w:ascii="Times New Roman" w:hAnsi="Times New Roman"/>
          <w:color w:val="000000"/>
          <w:sz w:val="24"/>
        </w:rPr>
        <w:t>) or self-regulatory organization regarding possible legal violations, without disclosure to the Company, or (B) disclose information which is required to be disclosed by applicable law, regulation, or order or requirement (including without limitation, by deposition, interrogatory, requests for documents, subpoena, civil investigative demand or similar process) of courts, administrative agencies, the SEC, any Government Agency or self-regulatory organizations, provided that you provide the Company with prior notice of the contemplated disclosure and cooperate with the Company in seeking a protective order or other appropriate protection of such information. The Company may not retaliate against you for any of these activities.</w:t>
      </w:r>
    </w:p>
    <w:p>
      <w:pPr>
        <w:pStyle w:val="TextBody"/>
        <w:bidi w:val="0"/>
        <w:spacing w:before="0" w:after="120"/>
        <w:jc w:val="both"/>
        <w:rPr>
          <w:rFonts w:ascii="Times New Roman" w:hAnsi="Times New Roman"/>
          <w:color w:val="000000"/>
          <w:sz w:val="24"/>
        </w:rPr>
      </w:pPr>
      <w:bookmarkStart w:id="26" w:name="you_represent_that_your_performance_of_a"/>
      <w:bookmarkEnd w:id="26"/>
      <w:r>
        <w:rPr>
          <w:rFonts w:ascii="Times New Roman" w:hAnsi="Times New Roman"/>
          <w:color w:val="000000"/>
          <w:sz w:val="24"/>
        </w:rPr>
        <w:t>You represent that your performance of all of the terms of this Agreement and the performance of the services for the Company Group do not and will not breach or conflict with any agreement with a third party, including an agreement not to compete or to keep in confidence any proprietary information of another entity acquired by you in confidence or in trust prior to the date of this Agreement. You agree that you will not enter into any agreement that conflicts with this Agreement at any time prior to the Effective Date or during the term of your employment with the Company.</w:t>
      </w:r>
    </w:p>
    <w:p>
      <w:pPr>
        <w:pStyle w:val="TextBody"/>
        <w:bidi w:val="0"/>
        <w:spacing w:before="0" w:after="120"/>
        <w:jc w:val="both"/>
        <w:rPr>
          <w:rFonts w:ascii="Times New Roman" w:hAnsi="Times New Roman"/>
          <w:color w:val="000000"/>
          <w:sz w:val="24"/>
        </w:rPr>
      </w:pPr>
      <w:bookmarkStart w:id="27" w:name="all_payments_made_under_this_agreement_s"/>
      <w:bookmarkEnd w:id="27"/>
      <w:r>
        <w:rPr>
          <w:rFonts w:ascii="Times New Roman" w:hAnsi="Times New Roman"/>
          <w:color w:val="000000"/>
          <w:sz w:val="24"/>
        </w:rPr>
        <w:t>All payments made under this Agreement shall be reduced by any tax or other amounts required to be withheld under applicable law.</w:t>
      </w:r>
    </w:p>
    <w:p>
      <w:pPr>
        <w:pStyle w:val="TextBody"/>
        <w:bidi w:val="0"/>
        <w:jc w:val="left"/>
        <w:rPr/>
      </w:pPr>
      <w:r>
        <w:rPr/>
        <w:t> </w:t>
      </w:r>
    </w:p>
    <w:p>
      <w:pPr>
        <w:pStyle w:val="TextBody"/>
        <w:bidi w:val="0"/>
        <w:spacing w:before="10" w:after="283"/>
        <w:jc w:val="left"/>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4"/>
        </w:rPr>
      </w:pPr>
      <w:bookmarkStart w:id="28" w:name="the_parties_hereby_agree_that_any_suit__"/>
      <w:bookmarkEnd w:id="28"/>
      <w:r>
        <w:rPr>
          <w:rFonts w:ascii="Times New Roman" w:hAnsi="Times New Roman"/>
          <w:color w:val="000000"/>
          <w:sz w:val="24"/>
        </w:rPr>
        <w:t>The parties hereby agree that any suit, action or proceeding seeking to enforce any provision of, or based on any matter arising out of or in connection with, this Agreement shall only be brought in the Chancery Court of the State of Delaware (or other appropriate state court in the State of Delaware) or the Federal courts located in the State of Delaware and not in any other State or Federal courts located in the United States of America or any court in any other country, and each of the parties hereby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which is brought in any such court has been brought in an inconvenient form. The parties hereby agree that process in any such suit, action or proceeding may be served on either party anywhere in the world, whether within or without the jurisdiction of any such court. EACH OF THE PARTIES HERETO HEREBY IRREVOCABLY WAIVES ANY AND ALL RIGHTS TO TRIAL BY JURY IN ANY LEGAL PROCEEDING ARISING OUT OF OR RELATED TO THIS AGREEMENT OR THE TRANSACTIONS CONTEMPLATED HEREBY.</w:t>
      </w:r>
    </w:p>
    <w:p>
      <w:pPr>
        <w:pStyle w:val="TextBody"/>
        <w:bidi w:val="0"/>
        <w:spacing w:before="0" w:after="120"/>
        <w:jc w:val="both"/>
        <w:rPr>
          <w:rFonts w:ascii="Times New Roman" w:hAnsi="Times New Roman"/>
          <w:color w:val="000000"/>
          <w:sz w:val="24"/>
        </w:rPr>
      </w:pPr>
      <w:bookmarkStart w:id="29" w:name="this_agreement_shall_be_governed__constr"/>
      <w:bookmarkEnd w:id="29"/>
      <w:r>
        <w:rPr>
          <w:rFonts w:ascii="Times New Roman" w:hAnsi="Times New Roman"/>
          <w:color w:val="000000"/>
          <w:sz w:val="24"/>
        </w:rPr>
        <w:t>This Agreement shall be governed, construed, interpreted and enforced in accordance with its express terms, and otherwise in accordance with the substantive laws of the State of Delaware, without reference to the principles of conflicts of law or choice of law of the State of Delaware, or any other jurisdiction, and where applicable, the laws of the United States.</w:t>
      </w:r>
    </w:p>
    <w:p>
      <w:pPr>
        <w:pStyle w:val="TextBody"/>
        <w:bidi w:val="0"/>
        <w:spacing w:before="0" w:after="120"/>
        <w:jc w:val="both"/>
        <w:rPr/>
      </w:pPr>
      <w:bookmarkStart w:id="30" w:name="the_invalidity_or_unenforceability_of_an"/>
      <w:bookmarkEnd w:id="30"/>
      <w:r>
        <w:rPr/>
        <w:t> </w:t>
      </w:r>
    </w:p>
    <w:p>
      <w:pPr>
        <w:pStyle w:val="TextBody"/>
        <w:bidi w:val="0"/>
        <w:spacing w:before="0" w:after="120"/>
        <w:jc w:val="both"/>
        <w:rPr/>
      </w:pPr>
      <w:r>
        <w:rPr/>
        <w:t>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The invalidity or unenforceability of any provision or provisions of this Agreement shall not affect the validity or enforceability of any other provision of this Agreement, which shall remain in full force and effect.</w:t>
      </w:r>
    </w:p>
    <w:p>
      <w:pPr>
        <w:pStyle w:val="TextBody"/>
        <w:bidi w:val="0"/>
        <w:spacing w:before="0" w:after="120"/>
        <w:jc w:val="both"/>
        <w:rPr>
          <w:rFonts w:ascii="Times New Roman" w:hAnsi="Times New Roman"/>
          <w:sz w:val="20"/>
        </w:rPr>
      </w:pPr>
      <w:bookmarkStart w:id="31" w:name="the_terms_of_this_agreement_and_the_cove"/>
      <w:bookmarkEnd w:id="31"/>
      <w:r>
        <w:rPr>
          <w:rFonts w:ascii="Times New Roman" w:hAnsi="Times New Roman"/>
          <w:color w:val="000000"/>
          <w:sz w:val="24"/>
        </w:rPr>
        <w:t xml:space="preserve">The terms of this Agreement and the Covenant Agreement are intended by the parties to be the final expression of their agreement with respect to your employment by the Company and supersede, effective as of the Effective Date, all prior understandings and agreements with respect to your employment by the Company, whether written or oral. For the avoidance of doubt, if the Effective Date does not occur, this Agreement will be void </w:t>
      </w:r>
      <w:r>
        <w:rPr>
          <w:rFonts w:ascii="Times New Roman" w:hAnsi="Times New Roman"/>
          <w:i/>
          <w:color w:val="000000"/>
          <w:sz w:val="24"/>
        </w:rPr>
        <w:t>ab initio</w:t>
      </w:r>
      <w:r>
        <w:rPr>
          <w:rFonts w:ascii="Times New Roman" w:hAnsi="Times New Roman"/>
          <w:color w:val="000000"/>
          <w:sz w:val="24"/>
        </w:rPr>
        <w:t>.</w:t>
      </w:r>
    </w:p>
    <w:p>
      <w:pPr>
        <w:pStyle w:val="TextBody"/>
        <w:bidi w:val="0"/>
        <w:spacing w:before="0" w:after="120"/>
        <w:jc w:val="both"/>
        <w:rPr>
          <w:rFonts w:ascii="Times New Roman" w:hAnsi="Times New Roman"/>
          <w:color w:val="000000"/>
          <w:sz w:val="24"/>
        </w:rPr>
      </w:pPr>
      <w:bookmarkStart w:id="32" w:name="by_signing_this_agreement__you_acknowled"/>
      <w:bookmarkEnd w:id="32"/>
      <w:r>
        <w:rPr>
          <w:rFonts w:ascii="Times New Roman" w:hAnsi="Times New Roman"/>
          <w:color w:val="000000"/>
          <w:sz w:val="24"/>
        </w:rPr>
        <w:t>By signing this Agreement, you acknowledge that the terms of this Agreement are confidential and may not be disclosed in any manner or form to any party, other than as required by applicable law (including any public disclosure requirements) or as necessary to enforce the terms of this Agreement or to your spouse, attorney and/or tax advisor (if any), without the prior written approval of the Company. You further acknowledge that you will be bound by the terms and conditions contained in the Company’s employee handbook, as it may be amended from time to time to the extent not inconsistent with this Agreement and will, upon request of the Company, sign a copy thereof from time to time.</w:t>
      </w:r>
    </w:p>
    <w:p>
      <w:pPr>
        <w:pStyle w:val="TextBody"/>
        <w:bidi w:val="0"/>
        <w:spacing w:before="0" w:after="120"/>
        <w:jc w:val="both"/>
        <w:rPr>
          <w:rFonts w:ascii="Times New Roman" w:hAnsi="Times New Roman"/>
          <w:color w:val="000000"/>
          <w:sz w:val="24"/>
        </w:rPr>
      </w:pPr>
      <w:bookmarkStart w:id="33" w:name="the_rights_and_benefits_under_this_agree"/>
      <w:bookmarkEnd w:id="33"/>
      <w:r>
        <w:rPr>
          <w:rFonts w:ascii="Times New Roman" w:hAnsi="Times New Roman"/>
          <w:color w:val="000000"/>
          <w:sz w:val="24"/>
        </w:rPr>
        <w:t>The rights and benefits under this Agreement are personal to you and such rights and benefits shall not be subject to assignment, alienation or transfer, except to the extent such rights and benefits are lawfully available to your estate or any of your beneficiaries upon your death. The Company may assign this Agreement to any affiliate or subsidiary at any time and shall require any entity which at any time becomes a successor, whether by merger, purchase, or otherwise, or otherwise acquires all or substantially all of the assets, membership interests or business of the Company, to expressly assume this Agreement.</w:t>
      </w:r>
    </w:p>
    <w:p>
      <w:pPr>
        <w:pStyle w:val="TextBody"/>
        <w:bidi w:val="0"/>
        <w:spacing w:before="0" w:after="120"/>
        <w:jc w:val="both"/>
        <w:rPr>
          <w:rFonts w:ascii="Times New Roman" w:hAnsi="Times New Roman"/>
          <w:sz w:val="20"/>
        </w:rPr>
      </w:pPr>
      <w:bookmarkStart w:id="34" w:name="this_agreement_may_be_executed_in_severa"/>
      <w:bookmarkEnd w:id="34"/>
      <w:r>
        <w:rPr>
          <w:rFonts w:ascii="Times New Roman" w:hAnsi="Times New Roman"/>
          <w:color w:val="000000"/>
          <w:sz w:val="24"/>
        </w:rPr>
        <w:t>This Agreement may be executed in several counterparts, each of which shall be deemed</w:t>
      </w:r>
      <w:r>
        <w:rPr>
          <w:rFonts w:ascii="Times New Roman" w:hAnsi="Times New Roman"/>
          <w:color w:val="000000"/>
          <w:sz w:val="20"/>
        </w:rPr>
        <w:t xml:space="preserve"> </w:t>
      </w:r>
    </w:p>
    <w:p>
      <w:pPr>
        <w:pStyle w:val="TextBody"/>
        <w:bidi w:val="0"/>
        <w:jc w:val="left"/>
        <w:rPr/>
      </w:pPr>
      <w:r>
        <w:rPr/>
        <w:t> </w:t>
      </w:r>
    </w:p>
    <w:p>
      <w:pPr>
        <w:pStyle w:val="TextBody"/>
        <w:bidi w:val="0"/>
        <w:spacing w:before="10" w:after="283"/>
        <w:jc w:val="left"/>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to be an original, but all of which together will constitute one and the same Agreement. Signatures delivered by facsimile shall be deemed effective for all purposes.</w:t>
      </w:r>
    </w:p>
    <w:p>
      <w:pPr>
        <w:pStyle w:val="TextBody"/>
        <w:bidi w:val="0"/>
        <w:spacing w:before="0" w:after="120"/>
        <w:jc w:val="center"/>
        <w:rPr/>
      </w:pPr>
      <w:r>
        <w:rPr/>
        <w:t> </w:t>
      </w:r>
    </w:p>
    <w:p>
      <w:pPr>
        <w:pStyle w:val="TextBody"/>
        <w:bidi w:val="0"/>
        <w:spacing w:before="0" w:after="120"/>
        <w:jc w:val="center"/>
        <w:rPr>
          <w:rFonts w:ascii="Times New Roman" w:hAnsi="Times New Roman"/>
          <w:i/>
          <w:color w:val="000000"/>
          <w:sz w:val="24"/>
        </w:rPr>
      </w:pPr>
      <w:r>
        <w:rPr>
          <w:rFonts w:ascii="Times New Roman" w:hAnsi="Times New Roman"/>
          <w:i/>
          <w:color w:val="000000"/>
          <w:sz w:val="24"/>
        </w:rPr>
        <w:t>[Signature page follows]</w:t>
      </w:r>
    </w:p>
    <w:p>
      <w:pPr>
        <w:pStyle w:val="TextBody"/>
        <w:bidi w:val="0"/>
        <w:jc w:val="left"/>
        <w:rPr/>
      </w:pPr>
      <w:r>
        <w:rPr/>
        <w:t> </w:t>
      </w:r>
    </w:p>
    <w:p>
      <w:pPr>
        <w:pStyle w:val="TextBody"/>
        <w:bidi w:val="0"/>
        <w:spacing w:before="10" w:after="283"/>
        <w:jc w:val="left"/>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5" w:after="283"/>
        <w:jc w:val="left"/>
        <w:rPr>
          <w:rFonts w:ascii="Times New Roman" w:hAnsi="Times New Roman"/>
          <w:color w:val="000000"/>
          <w:sz w:val="24"/>
        </w:rPr>
      </w:pPr>
      <w:r>
        <w:rPr>
          <w:rFonts w:ascii="Times New Roman" w:hAnsi="Times New Roman"/>
          <w:color w:val="000000"/>
          <w:sz w:val="24"/>
        </w:rPr>
        <w:t>Please sign and date this Agreement in the space indicated and return it to my attention to evidence your understanding and acceptance of the terms set forth herein.</w:t>
      </w:r>
    </w:p>
    <w:p>
      <w:pPr>
        <w:pStyle w:val="TextBody"/>
        <w:bidi w:val="0"/>
        <w:spacing w:before="85" w:after="283"/>
        <w:jc w:val="left"/>
        <w:rPr/>
      </w:pPr>
      <w:r>
        <w:rPr/>
        <w:t> </w:t>
      </w:r>
    </w:p>
    <w:p>
      <w:pPr>
        <w:pStyle w:val="TextBody"/>
        <w:bidi w:val="0"/>
        <w:spacing w:before="18" w:after="283"/>
        <w:jc w:val="left"/>
        <w:rPr/>
      </w:pPr>
      <w:r>
        <w:rPr/>
        <w:t> </w:t>
      </w:r>
    </w:p>
    <w:tbl>
      <w:tblPr>
        <w:tblW w:w="3051" w:type="dxa"/>
        <w:jc w:val="left"/>
        <w:tblInd w:w="0" w:type="dxa"/>
        <w:tblLayout w:type="fixed"/>
        <w:tblCellMar>
          <w:top w:w="28" w:type="dxa"/>
          <w:left w:w="28" w:type="dxa"/>
          <w:bottom w:w="28" w:type="dxa"/>
          <w:right w:w="28" w:type="dxa"/>
        </w:tblCellMar>
      </w:tblPr>
      <w:tblGrid>
        <w:gridCol w:w="3051"/>
      </w:tblGrid>
      <w:tr>
        <w:trPr/>
        <w:tc>
          <w:tcPr>
            <w:tcW w:w="3051" w:type="dxa"/>
            <w:tcBorders/>
            <w:vAlign w:val="center"/>
          </w:tcPr>
          <w:p>
            <w:pPr>
              <w:pStyle w:val="TableContents"/>
              <w:bidi w:val="0"/>
              <w:spacing w:before="0" w:after="283"/>
              <w:ind w:left="0" w:right="0" w:firstLine="50"/>
              <w:jc w:val="left"/>
              <w:rPr>
                <w:sz w:val="4"/>
                <w:szCs w:val="4"/>
              </w:rPr>
            </w:pPr>
            <w:r>
              <w:rPr>
                <w:sz w:val="4"/>
                <w:szCs w:val="4"/>
              </w:rPr>
            </w:r>
          </w:p>
        </w:tc>
      </w:tr>
      <w:tr>
        <w:trPr/>
        <w:tc>
          <w:tcPr>
            <w:tcW w:w="3051" w:type="dxa"/>
            <w:tcBorders/>
            <w:tcMar>
              <w:top w:w="0" w:type="dxa"/>
              <w:left w:w="0" w:type="dxa"/>
              <w:bottom w:w="0" w:type="dxa"/>
              <w:right w:w="0" w:type="dxa"/>
            </w:tcMar>
            <w:vAlign w:val="center"/>
          </w:tcPr>
          <w:p>
            <w:pPr>
              <w:pStyle w:val="TableContents"/>
              <w:bidi w:val="0"/>
              <w:ind w:left="0" w:right="0" w:firstLine="50"/>
              <w:jc w:val="left"/>
              <w:rPr>
                <w:rFonts w:ascii="Times New Roman" w:hAnsi="Times New Roman"/>
                <w:color w:val="000000"/>
                <w:sz w:val="24"/>
              </w:rPr>
            </w:pPr>
            <w:r>
              <w:rPr>
                <w:rFonts w:ascii="Times New Roman" w:hAnsi="Times New Roman"/>
                <w:color w:val="000000"/>
                <w:sz w:val="24"/>
              </w:rPr>
              <w:t>Sincerely,</w:t>
            </w:r>
          </w:p>
          <w:p>
            <w:pPr>
              <w:pStyle w:val="TableContents"/>
              <w:bidi w:val="0"/>
              <w:spacing w:before="244" w:after="283"/>
              <w:ind w:left="0" w:right="0" w:firstLine="140"/>
              <w:jc w:val="left"/>
              <w:rPr>
                <w:rFonts w:ascii="Times New Roman" w:hAnsi="Times New Roman"/>
                <w:b/>
                <w:color w:val="000000"/>
                <w:sz w:val="24"/>
              </w:rPr>
            </w:pPr>
            <w:r>
              <w:rPr>
                <w:rFonts w:ascii="Times New Roman" w:hAnsi="Times New Roman"/>
                <w:b/>
                <w:color w:val="000000"/>
                <w:sz w:val="24"/>
              </w:rPr>
              <w:t>PROKIDNEY</w:t>
            </w:r>
          </w:p>
        </w:tc>
      </w:tr>
      <w:tr>
        <w:trPr/>
        <w:tc>
          <w:tcPr>
            <w:tcW w:w="3051" w:type="dxa"/>
            <w:tcBorders/>
            <w:tcMar>
              <w:top w:w="0" w:type="dxa"/>
              <w:left w:w="0" w:type="dxa"/>
              <w:bottom w:w="0" w:type="dxa"/>
              <w:right w:w="0" w:type="dxa"/>
            </w:tcMar>
            <w:vAlign w:val="center"/>
          </w:tcPr>
          <w:p>
            <w:pPr>
              <w:pStyle w:val="TableContents"/>
              <w:bidi w:val="0"/>
              <w:spacing w:before="114" w:after="283"/>
              <w:ind w:left="0" w:right="0" w:firstLine="680"/>
              <w:jc w:val="left"/>
              <w:rPr>
                <w:rFonts w:ascii="Times New Roman" w:hAnsi="Times New Roman"/>
                <w:color w:val="000000"/>
                <w:sz w:val="24"/>
              </w:rPr>
            </w:pPr>
            <w:r>
              <w:rPr>
                <w:rFonts w:ascii="Times New Roman" w:hAnsi="Times New Roman"/>
                <w:color w:val="000000"/>
                <w:sz w:val="24"/>
              </w:rPr>
              <w:t>By: /s/ Pablo Legorreta</w:t>
            </w:r>
          </w:p>
        </w:tc>
      </w:tr>
      <w:tr>
        <w:trPr/>
        <w:tc>
          <w:tcPr>
            <w:tcW w:w="3051" w:type="dxa"/>
            <w:tcBorders/>
            <w:tcMar>
              <w:top w:w="0" w:type="dxa"/>
              <w:left w:w="0" w:type="dxa"/>
              <w:bottom w:w="0" w:type="dxa"/>
              <w:right w:w="0" w:type="dxa"/>
            </w:tcMar>
            <w:vAlign w:val="center"/>
          </w:tcPr>
          <w:p>
            <w:pPr>
              <w:pStyle w:val="TableContents"/>
              <w:bidi w:val="0"/>
              <w:spacing w:before="6" w:after="283"/>
              <w:ind w:left="0" w:right="0" w:firstLine="680"/>
              <w:jc w:val="left"/>
              <w:rPr>
                <w:rFonts w:ascii="Times New Roman" w:hAnsi="Times New Roman"/>
                <w:color w:val="000000"/>
                <w:sz w:val="24"/>
              </w:rPr>
            </w:pPr>
            <w:r>
              <w:rPr>
                <w:rFonts w:ascii="Times New Roman" w:hAnsi="Times New Roman"/>
                <w:color w:val="000000"/>
                <w:sz w:val="24"/>
              </w:rPr>
              <w:t>Name: Pablo Legorreta</w:t>
            </w:r>
          </w:p>
        </w:tc>
      </w:tr>
      <w:tr>
        <w:trPr/>
        <w:tc>
          <w:tcPr>
            <w:tcW w:w="3051" w:type="dxa"/>
            <w:tcBorders/>
            <w:tcMar>
              <w:top w:w="0" w:type="dxa"/>
              <w:left w:w="0" w:type="dxa"/>
              <w:bottom w:w="0" w:type="dxa"/>
              <w:right w:w="0" w:type="dxa"/>
            </w:tcMar>
            <w:vAlign w:val="center"/>
          </w:tcPr>
          <w:p>
            <w:pPr>
              <w:pStyle w:val="TableContents"/>
              <w:bidi w:val="0"/>
              <w:spacing w:before="114" w:after="283"/>
              <w:ind w:left="0" w:right="0" w:firstLine="680"/>
              <w:jc w:val="left"/>
              <w:rPr>
                <w:rFonts w:ascii="Times New Roman" w:hAnsi="Times New Roman"/>
                <w:color w:val="000000"/>
                <w:sz w:val="24"/>
              </w:rPr>
            </w:pPr>
            <w:r>
              <w:rPr>
                <w:rFonts w:ascii="Times New Roman" w:hAnsi="Times New Roman"/>
                <w:color w:val="000000"/>
                <w:sz w:val="24"/>
              </w:rPr>
              <w:t>Position: Chairman</w:t>
            </w:r>
          </w:p>
        </w:tc>
      </w:tr>
    </w:tbl>
    <w:p>
      <w:pPr>
        <w:pStyle w:val="TextBody"/>
        <w:bidi w:val="0"/>
        <w:jc w:val="left"/>
        <w:rPr/>
      </w:pPr>
      <w:r>
        <w:rPr/>
        <w:t> </w:t>
      </w:r>
    </w:p>
    <w:p>
      <w:pPr>
        <w:pStyle w:val="TextBody"/>
        <w:bidi w:val="0"/>
        <w:jc w:val="left"/>
        <w:rPr/>
      </w:pPr>
      <w:r>
        <w:rPr/>
        <w:t> </w:t>
      </w:r>
    </w:p>
    <w:p>
      <w:pPr>
        <w:pStyle w:val="TextBody"/>
        <w:bidi w:val="0"/>
        <w:spacing w:before="81" w:after="283"/>
        <w:jc w:val="left"/>
        <w:rPr/>
      </w:pPr>
      <w:r>
        <w:rPr/>
        <w:t> </w:t>
      </w:r>
    </w:p>
    <w:tbl>
      <w:tblPr>
        <w:tblW w:w="2536" w:type="dxa"/>
        <w:jc w:val="left"/>
        <w:tblInd w:w="0" w:type="dxa"/>
        <w:tblLayout w:type="fixed"/>
        <w:tblCellMar>
          <w:top w:w="28" w:type="dxa"/>
          <w:left w:w="28" w:type="dxa"/>
          <w:bottom w:w="28" w:type="dxa"/>
          <w:right w:w="28" w:type="dxa"/>
        </w:tblCellMar>
      </w:tblPr>
      <w:tblGrid>
        <w:gridCol w:w="2536"/>
      </w:tblGrid>
      <w:tr>
        <w:trPr/>
        <w:tc>
          <w:tcPr>
            <w:tcW w:w="2536" w:type="dxa"/>
            <w:tcBorders/>
            <w:vAlign w:val="center"/>
          </w:tcPr>
          <w:p>
            <w:pPr>
              <w:pStyle w:val="TableContents"/>
              <w:bidi w:val="0"/>
              <w:spacing w:before="0" w:after="283"/>
              <w:jc w:val="left"/>
              <w:rPr>
                <w:sz w:val="4"/>
                <w:szCs w:val="4"/>
              </w:rPr>
            </w:pPr>
            <w:r>
              <w:rPr>
                <w:sz w:val="4"/>
                <w:szCs w:val="4"/>
              </w:rPr>
            </w:r>
          </w:p>
        </w:tc>
      </w:tr>
      <w:tr>
        <w:trPr/>
        <w:tc>
          <w:tcPr>
            <w:tcW w:w="2536"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Agreed to and Accepted:</w:t>
            </w:r>
          </w:p>
          <w:p>
            <w:pPr>
              <w:pStyle w:val="TableContents"/>
              <w:bidi w:val="0"/>
              <w:jc w:val="left"/>
              <w:rPr/>
            </w:pPr>
            <w:r>
              <w:rPr/>
              <w:t> </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Bruce Culleton</w:t>
            </w:r>
          </w:p>
        </w:tc>
      </w:tr>
      <w:tr>
        <w:trPr/>
        <w:tc>
          <w:tcPr>
            <w:tcW w:w="2536" w:type="dxa"/>
            <w:tcBorders/>
            <w:tcMar>
              <w:top w:w="0" w:type="dxa"/>
              <w:left w:w="0" w:type="dxa"/>
              <w:bottom w:w="0" w:type="dxa"/>
              <w:right w:w="0" w:type="dxa"/>
            </w:tcMar>
            <w:vAlign w:val="center"/>
          </w:tcPr>
          <w:p>
            <w:pPr>
              <w:pStyle w:val="TableContents"/>
              <w:bidi w:val="0"/>
              <w:spacing w:before="1" w:after="283"/>
              <w:jc w:val="left"/>
              <w:rPr>
                <w:rFonts w:ascii="Times New Roman" w:hAnsi="Times New Roman"/>
                <w:color w:val="000000"/>
                <w:sz w:val="24"/>
              </w:rPr>
            </w:pPr>
            <w:r>
              <w:rPr>
                <w:rFonts w:ascii="Times New Roman" w:hAnsi="Times New Roman"/>
                <w:color w:val="000000"/>
                <w:sz w:val="24"/>
              </w:rPr>
              <w:t>Bruce Culleton, MD</w:t>
            </w:r>
          </w:p>
          <w:p>
            <w:pPr>
              <w:pStyle w:val="TableContents"/>
              <w:bidi w:val="0"/>
              <w:spacing w:before="1" w:after="283"/>
              <w:jc w:val="left"/>
              <w:rPr/>
            </w:pPr>
            <w:r>
              <w:rPr/>
              <w:t> </w:t>
            </w:r>
          </w:p>
          <w:p>
            <w:pPr>
              <w:pStyle w:val="TableContents"/>
              <w:bidi w:val="0"/>
              <w:spacing w:before="1" w:after="283"/>
              <w:jc w:val="left"/>
              <w:rPr>
                <w:rFonts w:ascii="Times New Roman" w:hAnsi="Times New Roman"/>
                <w:color w:val="000000"/>
                <w:sz w:val="24"/>
              </w:rPr>
            </w:pPr>
            <w:r>
              <w:rPr>
                <w:rFonts w:ascii="Times New Roman" w:hAnsi="Times New Roman"/>
                <w:color w:val="000000"/>
                <w:sz w:val="24"/>
              </w:rPr>
              <w:t>Date: 5/12/2025</w:t>
            </w:r>
          </w:p>
        </w:tc>
      </w:tr>
    </w:tbl>
    <w:p>
      <w:pPr>
        <w:pStyle w:val="TextBody"/>
        <w:bidi w:val="0"/>
        <w:jc w:val="left"/>
        <w:rPr/>
      </w:pPr>
      <w:r>
        <w:rPr/>
        <w:t> </w:t>
      </w:r>
    </w:p>
    <w:p>
      <w:pPr>
        <w:pStyle w:val="TextBody"/>
        <w:bidi w:val="0"/>
        <w:jc w:val="left"/>
        <w:rPr/>
      </w:pPr>
      <w:r>
        <w:rPr/>
        <w:t> </w:t>
      </w:r>
    </w:p>
    <w:p>
      <w:pPr>
        <w:pStyle w:val="TextBody"/>
        <w:bidi w:val="0"/>
        <w:spacing w:before="10" w:after="283"/>
        <w:jc w:val="left"/>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jc w:val="left"/>
        <w:rPr/>
      </w:pPr>
      <w:r>
        <w:rPr/>
        <w:t> </w:t>
      </w:r>
    </w:p>
    <w:p>
      <w:pPr>
        <w:pStyle w:val="Heading1"/>
        <w:bidi w:val="0"/>
        <w:spacing w:before="0" w:after="120"/>
        <w:jc w:val="center"/>
        <w:rPr>
          <w:rFonts w:ascii="Times New Roman" w:hAnsi="Times New Roman"/>
          <w:b/>
          <w:color w:val="000000"/>
          <w:sz w:val="24"/>
          <w:u w:val="single"/>
        </w:rPr>
      </w:pPr>
      <w:r>
        <w:rPr>
          <w:rFonts w:ascii="Times New Roman" w:hAnsi="Times New Roman"/>
          <w:b/>
          <w:color w:val="000000"/>
          <w:sz w:val="24"/>
          <w:u w:val="single"/>
        </w:rPr>
        <w:t>EXHIBIT A</w:t>
      </w:r>
    </w:p>
    <w:p>
      <w:pPr>
        <w:pStyle w:val="TextBody"/>
        <w:bidi w:val="0"/>
        <w:spacing w:before="0" w:after="120"/>
        <w:jc w:val="both"/>
        <w:rPr>
          <w:rFonts w:ascii="Times New Roman" w:hAnsi="Times New Roman"/>
          <w:sz w:val="20"/>
        </w:rPr>
      </w:pPr>
      <w:r>
        <w:rPr>
          <w:rFonts w:ascii="Times New Roman" w:hAnsi="Times New Roman"/>
          <w:color w:val="000000"/>
          <w:sz w:val="24"/>
        </w:rPr>
        <w:t>[</w:t>
      </w:r>
      <w:r>
        <w:rPr>
          <w:rFonts w:ascii="Times New Roman" w:hAnsi="Times New Roman"/>
          <w:b/>
          <w:i/>
          <w:color w:val="000000"/>
          <w:sz w:val="24"/>
          <w:u w:val="single"/>
        </w:rPr>
        <w:t>The language in this Release may change based on legal developments and evolving best</w:t>
      </w:r>
      <w:r>
        <w:rPr>
          <w:rFonts w:ascii="Times New Roman" w:hAnsi="Times New Roman"/>
          <w:color w:val="000000"/>
          <w:sz w:val="20"/>
        </w:rPr>
        <w:t xml:space="preserve"> </w:t>
      </w:r>
      <w:r>
        <w:rPr>
          <w:rFonts w:ascii="Times New Roman" w:hAnsi="Times New Roman"/>
          <w:b/>
          <w:i/>
          <w:color w:val="000000"/>
          <w:sz w:val="24"/>
          <w:u w:val="single"/>
        </w:rPr>
        <w:t>practices; this form is provided as an example of what will be included in the final Release</w:t>
      </w:r>
      <w:r>
        <w:rPr>
          <w:rFonts w:ascii="Times New Roman" w:hAnsi="Times New Roman"/>
          <w:color w:val="000000"/>
          <w:sz w:val="20"/>
        </w:rPr>
        <w:t xml:space="preserve"> </w:t>
      </w:r>
      <w:r>
        <w:rPr>
          <w:rFonts w:ascii="Times New Roman" w:hAnsi="Times New Roman"/>
          <w:b/>
          <w:i/>
          <w:color w:val="000000"/>
          <w:sz w:val="24"/>
          <w:u w:val="single"/>
        </w:rPr>
        <w:t>document.</w:t>
      </w:r>
      <w:r>
        <w:rPr>
          <w:rFonts w:ascii="Times New Roman" w:hAnsi="Times New Roman"/>
          <w:color w:val="000000"/>
          <w:sz w:val="24"/>
        </w:rPr>
        <w:t>]</w:t>
      </w:r>
      <w:r>
        <w:rPr>
          <w:rFonts w:ascii="Times New Roman" w:hAnsi="Times New Roman"/>
          <w:color w:val="000000"/>
          <w:sz w:val="16"/>
        </w:rPr>
        <w:t>1</w:t>
      </w:r>
    </w:p>
    <w:p>
      <w:pPr>
        <w:pStyle w:val="Heading1"/>
        <w:bidi w:val="0"/>
        <w:spacing w:before="0" w:after="120"/>
        <w:jc w:val="center"/>
        <w:rPr>
          <w:rFonts w:ascii="Times New Roman" w:hAnsi="Times New Roman"/>
          <w:b/>
          <w:color w:val="000000"/>
          <w:sz w:val="24"/>
          <w:u w:val="single"/>
        </w:rPr>
      </w:pPr>
      <w:r>
        <w:rPr>
          <w:rFonts w:ascii="Times New Roman" w:hAnsi="Times New Roman"/>
          <w:b/>
          <w:color w:val="000000"/>
          <w:sz w:val="24"/>
          <w:u w:val="single"/>
        </w:rPr>
        <w:t>GENERAL RELEASE OF ALL CLAIMS</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120"/>
        <w:jc w:val="both"/>
        <w:rPr/>
      </w:pPr>
      <w:r>
        <w:rPr>
          <w:rFonts w:ascii="Times New Roman" w:hAnsi="Times New Roman"/>
          <w:color w:val="000000"/>
          <w:sz w:val="24"/>
        </w:rPr>
        <w:t>For valuable consideration, the adequacy of which is hereby acknowledged, [NAME] (“</w:t>
      </w:r>
      <w:r>
        <w:rPr>
          <w:rFonts w:ascii="Times New Roman" w:hAnsi="Times New Roman"/>
          <w:color w:val="000000"/>
          <w:sz w:val="24"/>
          <w:u w:val="single"/>
        </w:rPr>
        <w:t>Executive</w:t>
      </w:r>
      <w:r>
        <w:rPr>
          <w:color w:val="000000"/>
        </w:rPr>
        <w:t>”</w:t>
      </w:r>
      <w:r>
        <w:rPr>
          <w:rFonts w:ascii="Times New Roman" w:hAnsi="Times New Roman"/>
          <w:color w:val="000000"/>
          <w:sz w:val="24"/>
        </w:rPr>
        <w:t>), for himself, his spouse, heirs, administrators, children, representatives, executors, successors, assigns, trusts for his benefit and all other persons claiming through Executive, if any (collectively, “</w:t>
      </w:r>
      <w:r>
        <w:rPr>
          <w:rFonts w:ascii="Times New Roman" w:hAnsi="Times New Roman"/>
          <w:color w:val="000000"/>
          <w:sz w:val="24"/>
          <w:u w:val="single"/>
        </w:rPr>
        <w:t>Releasers</w:t>
      </w:r>
      <w:r>
        <w:rPr>
          <w:color w:val="000000"/>
        </w:rPr>
        <w:t>”</w:t>
      </w:r>
      <w:r>
        <w:rPr>
          <w:rFonts w:ascii="Times New Roman" w:hAnsi="Times New Roman"/>
          <w:color w:val="000000"/>
          <w:sz w:val="24"/>
        </w:rPr>
        <w:t>), does hereby release, waive, and forever discharge [ProKidney, LLC, a Delaware limited liability company] (the “</w:t>
      </w:r>
      <w:r>
        <w:rPr>
          <w:rFonts w:ascii="Times New Roman" w:hAnsi="Times New Roman"/>
          <w:color w:val="000000"/>
          <w:sz w:val="24"/>
          <w:u w:val="single"/>
        </w:rPr>
        <w:t>Company</w:t>
      </w:r>
      <w:r>
        <w:rPr>
          <w:color w:val="000000"/>
        </w:rPr>
        <w:t>”</w:t>
      </w:r>
      <w:r>
        <w:rPr>
          <w:rFonts w:ascii="Times New Roman" w:hAnsi="Times New Roman"/>
          <w:color w:val="000000"/>
          <w:sz w:val="24"/>
        </w:rPr>
        <w:t>), ProKidney Corp. and their respective subsidiaries, parents, affiliates, related organizations, and equity holders, and their respective affiliates (including trustees and beneficiaries of trusts that are direct and indirect equity holders), employees, officers, directors, attorneys, successors, and assigns or each of the foregoing (collectively, the “</w:t>
      </w:r>
      <w:r>
        <w:rPr>
          <w:rFonts w:ascii="Times New Roman" w:hAnsi="Times New Roman"/>
          <w:color w:val="000000"/>
          <w:sz w:val="24"/>
          <w:u w:val="single"/>
        </w:rPr>
        <w:t>Releasees</w:t>
      </w:r>
      <w:r>
        <w:rPr>
          <w:color w:val="000000"/>
        </w:rPr>
        <w:t>”</w:t>
      </w:r>
      <w:r>
        <w:rPr>
          <w:rFonts w:ascii="Times New Roman" w:hAnsi="Times New Roman"/>
          <w:color w:val="000000"/>
          <w:sz w:val="24"/>
        </w:rPr>
        <w:t>) from, and does fully waive any obligations or liabilities of Releasees to Releasers of any kind and nature that Releasers had, have, or might claim to have against Releasees at the time Executive executes this General Release for or in respect of any and all liability, actions, charges, causes of action, demands, damages, or claims for relief, remuneration, sums of money, accounts or expenses, and any action arising in tort including libel, slander, defamation or intentional infliction of emotional distress, and claims under any federal, state or local statute including Title VII of the Civil Rights Act of 1964, the Civil Rights Act of 1866 and 1871 (42 U.S.C. § 1981), the Equal Pay Act, Employee Retirement Income Security Act, Family and Medical Leave Act, the National Labor Relations Act, the Fair Labor Standards Act, the Americans with Disabilities Act of 1990, the Age Discrimination in Employment Act of 1967, the Rehabilitation Act of 1973, or the discrimination or employment laws of any state or municipality, and/or any claims under any express or implied contract which Releasers may claim existed with Releasees. This also includes a release by Executive of any claims for breach of contract, wrongful discharge and all claims for alleged physical or personal injury, emotional distress relating to or arising out of Executive’s employment with Company or the termination of that employment; and any claims under the WARN Act or any similar law, which requires, among other things, that advance notice be given of certain work force reductions. This release and waiver does not apply to any claims or rights that may arise after the date Executive signs this General Release. The foregoing release does not apply to (a) any claims or rights for compensation, benefits, indemnification and any other surviving rights now existing under the Employment Letter between the Company and Executive dated as of [●], 2023 (the “</w:t>
      </w:r>
      <w:r>
        <w:rPr>
          <w:rFonts w:ascii="Times New Roman" w:hAnsi="Times New Roman"/>
          <w:color w:val="000000"/>
          <w:sz w:val="24"/>
          <w:u w:val="single"/>
        </w:rPr>
        <w:t>Employment Letter</w:t>
      </w:r>
      <w:r>
        <w:rPr>
          <w:color w:val="000000"/>
        </w:rPr>
        <w:t>”</w:t>
      </w:r>
      <w:r>
        <w:rPr>
          <w:rFonts w:ascii="Times New Roman" w:hAnsi="Times New Roman"/>
          <w:color w:val="000000"/>
          <w:sz w:val="24"/>
        </w:rPr>
        <w:t>), the organizational documents of the Company or any of its affiliates or any other agreement providing for indemnification regardless of when any claim is filed, (b) any claims or rights under directors and officers liability insurance, or (c) any claims or rights accruing to any Releaser in its capacity as an equity holder of ProKidney Corp. or any of its subsidiaries, (d) any claims for vested benefits under an employee benefit plan in which Executive participated during his employment; and (e) any claims that cannot be waived as a matter of law, including unemployment insurance and workers’ compensation insurance.</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Excluded from this release and waiver are any claims which cannot be waived by law, including but not limited to the right to participate in an investigation conducted by certain government agencies. Executive does, however, waive Executive’s right to any monetary recovery should any agency (such as the Equal Employment Opportunity Commission) pursue any claims on Executive’s behalf. Executive represents and warrants that Executive has not filed any complaint, charge, or lawsuit against the Releasees with any government agency or any court.</w:t>
      </w:r>
    </w:p>
    <w:p>
      <w:pPr>
        <w:pStyle w:val="TextBody"/>
        <w:bidi w:val="0"/>
        <w:spacing w:before="0" w:after="12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w:t>
      </w:r>
      <w:r>
        <w:rPr>
          <w:rFonts w:ascii="Times New Roman" w:hAnsi="Times New Roman"/>
          <w:b/>
          <w:color w:val="000000"/>
          <w:sz w:val="20"/>
        </w:rPr>
        <w:t>Note to Draft</w:t>
      </w:r>
      <w:r>
        <w:rPr>
          <w:rFonts w:ascii="Times New Roman" w:hAnsi="Times New Roman"/>
          <w:color w:val="000000"/>
          <w:sz w:val="20"/>
        </w:rPr>
        <w:t>: To be updated for applicability of ADEA and multiple terminations of employment.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jc w:val="left"/>
        <w:rPr/>
      </w:pPr>
      <w:r>
        <w:rPr/>
        <w:t>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Executive agrees never to sue Releasees in any forum for any claim covered by the above waiver and release language. If Executive violates this General Release by suing Releasees, other than as set forth in Section 1 hereof, Executive shall be liable to the Company for its reasonable attorneys’ fees and other litigation costs incurred in defending against such a suit. Executive represents and warrants that he has not assigned or transferred, in any manner, including by subrogation or operation of law, any portion of any claim, action, complaint, charge or suit encompassed by the releases set forth in this General Release.</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Executive acknowledges and recites that:</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Executive has executed this General Release knowingly and voluntarily;</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Executive has read and understands this General Release in its entirety;</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Executive has been advised and directed orally and in writing (and this subsection (c) constitutes such written direction) to seek legal counsel and any other advice he wishes with respect to the terms of this General Release before executing it;</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Executive’s execution of this General Release has not been forced by any employee or agent of the Company, and Executive has had an opportunity to negotiate about the terms of this General Release;</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Executive has been given at least twenty-one (21) days to consider this General Release, and if executed prior to the expiration of the twenty-one (21) day period, such execution is knowing and voluntary; and</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The additional benefits and other promises that Executive is to receive under the Employment Letter are sufficient consideration for this General Release.</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This General Release shall be governed by the internal laws (and not the choice of laws) of the State of Delaware, except for the application of pre-emptive Federal law.</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The parties hereby agree that any suit, action or proceeding seeking to enforce any provision of, or based on any matter arising out of or in connection with, this General Release shall only be brought in the Chancery Court of the State of Delaware (or other appropriate state court in the State of Delaware) or the Federal courts located in the State of Delaware and not in any other State or Federal courts located in the United States of America or any court in any other country, and each of the parties hereby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which is brought in any such court has been brought in an inconvenient form. The parties hereby agree that process in any such suit, action or proceeding may be served on either party anywhere in the world, whether within or without the jurisdiction of any such court. EACH OF THE PARTIES HERETO HEREBY IRREVOCABLY WAIVES ANY AND ALL RIGHTS TO TRIAL BY JURY IN ANY LEGAL PROCEEDING ARISING OUT OF OR RELATED TO THIS AGREEMENT OR THE TRANSACTIONS CONTEMPLATED HEREBY.</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Executive may revoke this General Release within seven (7) calendar days after signing it. To be effective, such revocation must be made in writing to the Board of Directors of ProKidney Corp., with a copy received at 2000 Frontis Plaza Blvd., Ste. 250 Winston-Salem, NC 27103, Attention: Todd Girolamo. Revocation can be made by hand delivery, telegram, facsimile, or postmarking before the expiration of this seven (7) day period. None of the obligations of the Company under the Employment Letter shall be effective in the event that Executive revokes this General Release pursuant to this Section 7.</w:t>
      </w:r>
    </w:p>
    <w:p>
      <w:pPr>
        <w:pStyle w:val="TextBody"/>
        <w:bidi w:val="0"/>
        <w:spacing w:before="0" w:after="288"/>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jc w:val="left"/>
        <w:rPr/>
      </w:pPr>
      <w:r>
        <w:rPr/>
        <w:t> </w:t>
      </w:r>
    </w:p>
    <w:p>
      <w:pPr>
        <w:pStyle w:val="TextBody"/>
        <w:bidi w:val="0"/>
        <w:spacing w:before="0" w:after="288"/>
        <w:jc w:val="center"/>
        <w:rPr>
          <w:rFonts w:ascii="Times New Roman" w:hAnsi="Times New Roman"/>
          <w:i/>
          <w:color w:val="000000"/>
          <w:sz w:val="24"/>
        </w:rPr>
      </w:pPr>
      <w:r>
        <w:rPr>
          <w:rFonts w:ascii="Times New Roman" w:hAnsi="Times New Roman"/>
          <w:i/>
          <w:color w:val="000000"/>
          <w:sz w:val="24"/>
        </w:rPr>
        <w:t>(Signature page follows)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PLEASE READ THIS AGREEMENT CAREFULLY. IT CONTAINS A RELEASE OF ALL KNOWN AND UNKNOWN CLAIMS.</w:t>
      </w:r>
    </w:p>
    <w:p>
      <w:pPr>
        <w:pStyle w:val="TextBody"/>
        <w:bidi w:val="0"/>
        <w:jc w:val="left"/>
        <w:rPr/>
      </w:pPr>
      <w:r>
        <w:rPr/>
        <w:t> </w:t>
      </w:r>
    </w:p>
    <w:p>
      <w:pPr>
        <w:pStyle w:val="TextBody"/>
        <w:bidi w:val="0"/>
        <w:spacing w:before="0" w:after="288"/>
        <w:jc w:val="left"/>
        <w:rPr>
          <w:rFonts w:ascii="Times New Roman" w:hAnsi="Times New Roman"/>
          <w:color w:val="000000"/>
          <w:sz w:val="24"/>
        </w:rPr>
      </w:pPr>
      <w:r>
        <w:rPr>
          <w:rFonts w:ascii="Times New Roman" w:hAnsi="Times New Roman"/>
          <w:color w:val="000000"/>
          <w:sz w:val="24"/>
        </w:rPr>
        <w:t xml:space="preserve">Date: Executive: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35" w:name="prok-ex10_9.htm"/>
      <w:bookmarkStart w:id="36" w:name="ksprokex10_9"/>
      <w:bookmarkEnd w:id="35"/>
      <w:bookmarkEnd w:id="36"/>
      <w:r>
        <w:rPr>
          <w:rFonts w:ascii="Times New Roman" w:hAnsi="Times New Roman"/>
          <w:b/>
          <w:color w:val="000000"/>
          <w:sz w:val="22"/>
        </w:rPr>
        <w:t>Exhibit 10.9</w:t>
      </w:r>
      <w:r>
        <w:br w:type="page"/>
      </w:r>
    </w:p>
    <w:p>
      <w:pPr>
        <w:pStyle w:val="TextBody"/>
        <w:bidi w:val="0"/>
        <w:jc w:val="left"/>
        <w:rPr>
          <w:rFonts w:ascii="Times New Roman" w:hAnsi="Times New Roman"/>
          <w:color w:val="000000"/>
          <w:sz w:val="24"/>
        </w:rPr>
      </w:pPr>
      <w:r>
        <w:rPr>
          <w:rFonts w:ascii="Times New Roman" w:hAnsi="Times New Roman"/>
          <w:color w:val="000000"/>
          <w:sz w:val="24"/>
        </w:rPr>
        <w:t>May 9, 2025</w:t>
      </w:r>
    </w:p>
    <w:p>
      <w:pPr>
        <w:pStyle w:val="TextBody"/>
        <w:bidi w:val="0"/>
        <w:jc w:val="left"/>
        <w:rPr>
          <w:rFonts w:ascii="Times New Roman" w:hAnsi="Times New Roman"/>
          <w:color w:val="000000"/>
          <w:sz w:val="24"/>
        </w:rPr>
      </w:pPr>
      <w:r>
        <w:rPr>
          <w:rFonts w:ascii="Times New Roman" w:hAnsi="Times New Roman"/>
          <w:color w:val="000000"/>
          <w:sz w:val="24"/>
        </w:rPr>
        <w:t>James Coulston</w:t>
      </w:r>
    </w:p>
    <w:p>
      <w:pPr>
        <w:pStyle w:val="TextBody"/>
        <w:bidi w:val="0"/>
        <w:jc w:val="left"/>
        <w:rPr>
          <w:rFonts w:ascii="Times New Roman" w:hAnsi="Times New Roman"/>
          <w:color w:val="000000"/>
          <w:sz w:val="24"/>
        </w:rPr>
      </w:pPr>
      <w:r>
        <w:rPr>
          <w:rFonts w:ascii="Times New Roman" w:hAnsi="Times New Roman"/>
          <w:color w:val="000000"/>
          <w:sz w:val="24"/>
        </w:rPr>
        <w:t>409 Susanna Dr.</w:t>
      </w:r>
    </w:p>
    <w:p>
      <w:pPr>
        <w:pStyle w:val="TextBody"/>
        <w:bidi w:val="0"/>
        <w:jc w:val="left"/>
        <w:rPr>
          <w:rFonts w:ascii="Times New Roman" w:hAnsi="Times New Roman"/>
          <w:color w:val="000000"/>
          <w:sz w:val="24"/>
        </w:rPr>
      </w:pPr>
      <w:r>
        <w:rPr>
          <w:rFonts w:ascii="Times New Roman" w:hAnsi="Times New Roman"/>
          <w:color w:val="000000"/>
          <w:sz w:val="24"/>
        </w:rPr>
        <w:t>Kernersville, NC 27284</w:t>
      </w:r>
    </w:p>
    <w:p>
      <w:pPr>
        <w:pStyle w:val="TextBody"/>
        <w:bidi w:val="0"/>
        <w:jc w:val="left"/>
        <w:rPr>
          <w:rFonts w:ascii="Times New Roman" w:hAnsi="Times New Roman"/>
          <w:color w:val="000000"/>
          <w:sz w:val="24"/>
        </w:rPr>
      </w:pPr>
      <w:r>
        <w:rPr>
          <w:rFonts w:ascii="Times New Roman" w:hAnsi="Times New Roman"/>
          <w:color w:val="000000"/>
          <w:sz w:val="24"/>
        </w:rPr>
        <w:t>Dear James:</w:t>
      </w:r>
    </w:p>
    <w:p>
      <w:pPr>
        <w:pStyle w:val="TextBody"/>
        <w:bidi w:val="0"/>
        <w:spacing w:before="0" w:after="0"/>
        <w:jc w:val="left"/>
        <w:rPr>
          <w:rFonts w:ascii="Cambria" w:hAnsi="Cambria"/>
          <w:b/>
          <w:color w:val="000000"/>
          <w:sz w:val="24"/>
        </w:rPr>
      </w:pPr>
      <w:r>
        <w:rPr>
          <w:rFonts w:ascii="Cambria" w:hAnsi="Cambria"/>
          <w:b/>
          <w:color w:val="000000"/>
          <w:sz w:val="24"/>
        </w:rPr>
        <w:t>1.</w:t>
      </w:r>
    </w:p>
    <w:p>
      <w:pPr>
        <w:pStyle w:val="TextBody"/>
        <w:bidi w:val="0"/>
        <w:jc w:val="left"/>
        <w:rPr/>
      </w:pPr>
      <w:r>
        <w:rPr>
          <w:rFonts w:ascii="Times New Roman" w:hAnsi="Times New Roman"/>
          <w:color w:val="000000"/>
          <w:sz w:val="24"/>
        </w:rPr>
        <w:t>This letter agreement (this “</w:t>
      </w:r>
      <w:r>
        <w:rPr>
          <w:rFonts w:ascii="Times New Roman" w:hAnsi="Times New Roman"/>
          <w:color w:val="000000"/>
          <w:sz w:val="24"/>
          <w:u w:val="single"/>
        </w:rPr>
        <w:t>Agreement</w:t>
      </w:r>
      <w:r>
        <w:rPr>
          <w:color w:val="000000"/>
        </w:rPr>
        <w:t>”</w:t>
      </w:r>
      <w:r>
        <w:rPr>
          <w:rFonts w:ascii="Times New Roman" w:hAnsi="Times New Roman"/>
          <w:color w:val="000000"/>
          <w:sz w:val="24"/>
        </w:rPr>
        <w:t>) sets forth the terms and conditions of your</w:t>
      </w:r>
    </w:p>
    <w:p>
      <w:pPr>
        <w:pStyle w:val="TextBody"/>
        <w:bidi w:val="0"/>
        <w:jc w:val="left"/>
        <w:rPr>
          <w:rFonts w:ascii="Times New Roman" w:hAnsi="Times New Roman"/>
          <w:sz w:val="20"/>
        </w:rPr>
      </w:pPr>
      <w:r>
        <w:rPr>
          <w:rFonts w:ascii="Times New Roman" w:hAnsi="Times New Roman"/>
          <w:color w:val="000000"/>
          <w:sz w:val="24"/>
        </w:rPr>
        <w:t>continued employment with ProKidney, LLC, a Delaware limited liability company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as of May 9, 2025 (the “</w:t>
      </w:r>
      <w:r>
        <w:rPr>
          <w:rFonts w:ascii="Times New Roman" w:hAnsi="Times New Roman"/>
          <w:color w:val="000000"/>
          <w:sz w:val="24"/>
          <w:u w:val="single"/>
        </w:rPr>
        <w:t>Effective Date</w:t>
      </w:r>
      <w:r>
        <w:rPr>
          <w:rFonts w:ascii="Times New Roman" w:hAnsi="Times New Roman"/>
          <w:color w:val="000000"/>
          <w:sz w:val="20"/>
        </w:rPr>
        <w:t>”</w:t>
      </w:r>
      <w:r>
        <w:rPr>
          <w:rFonts w:ascii="Times New Roman" w:hAnsi="Times New Roman"/>
          <w:color w:val="000000"/>
          <w:sz w:val="24"/>
        </w:rPr>
        <w:t>). The period during which you are employed by the Company pursuant to this Agreement shall be referred to as the “</w:t>
      </w:r>
      <w:r>
        <w:rPr>
          <w:rFonts w:ascii="Times New Roman" w:hAnsi="Times New Roman"/>
          <w:color w:val="000000"/>
          <w:sz w:val="24"/>
          <w:u w:val="single"/>
        </w:rPr>
        <w:t>Term</w:t>
      </w:r>
      <w:r>
        <w:rPr>
          <w:rFonts w:ascii="Times New Roman" w:hAnsi="Times New Roman"/>
          <w:color w:val="000000"/>
          <w:sz w:val="24"/>
        </w:rPr>
        <w: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This Agreement will govern your employment with the Company following the Effective Date on the following terms and conditions:</w:t>
      </w:r>
    </w:p>
    <w:p>
      <w:pPr>
        <w:pStyle w:val="TextBody"/>
        <w:bidi w:val="0"/>
        <w:jc w:val="left"/>
        <w:rPr>
          <w:rFonts w:ascii="Times New Roman" w:hAnsi="Times New Roman"/>
          <w:sz w:val="20"/>
        </w:rPr>
      </w:pPr>
      <w:r>
        <w:rPr>
          <w:rFonts w:ascii="Times New Roman" w:hAnsi="Times New Roman"/>
          <w:b/>
          <w:color w:val="000000"/>
          <w:sz w:val="24"/>
        </w:rPr>
        <w:t xml:space="preserve">Position: </w:t>
      </w:r>
      <w:r>
        <w:rPr>
          <w:rFonts w:ascii="Times New Roman" w:hAnsi="Times New Roman"/>
          <w:color w:val="000000"/>
          <w:sz w:val="24"/>
        </w:rPr>
        <w:t>Chief Financial Officer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 xml:space="preserve">Reporting: </w:t>
      </w:r>
      <w:r>
        <w:rPr>
          <w:rFonts w:ascii="Times New Roman" w:hAnsi="Times New Roman"/>
          <w:color w:val="000000"/>
          <w:sz w:val="24"/>
        </w:rPr>
        <w:t>You will report directly to the Chief Executive Officer (“Supervisor”).</w:t>
      </w:r>
    </w:p>
    <w:p>
      <w:pPr>
        <w:pStyle w:val="TextBody"/>
        <w:bidi w:val="0"/>
        <w:jc w:val="left"/>
        <w:rPr>
          <w:rFonts w:ascii="Times New Roman" w:hAnsi="Times New Roman"/>
          <w:sz w:val="20"/>
        </w:rPr>
      </w:pPr>
      <w:r>
        <w:rPr>
          <w:rFonts w:ascii="Times New Roman" w:hAnsi="Times New Roman"/>
          <w:b/>
          <w:color w:val="000000"/>
          <w:sz w:val="24"/>
        </w:rPr>
        <w:t xml:space="preserve">Duties and Commitment: </w:t>
      </w:r>
      <w:r>
        <w:rPr>
          <w:rFonts w:ascii="Times New Roman" w:hAnsi="Times New Roman"/>
          <w:color w:val="000000"/>
          <w:sz w:val="24"/>
        </w:rPr>
        <w:t>You shall be employed by the Company on a full-time basis and shall perform such duties and responsibilities on behalf of the Company and its subsidiaries and affiliates (collectively, the “</w:t>
      </w:r>
      <w:r>
        <w:rPr>
          <w:rFonts w:ascii="Times New Roman" w:hAnsi="Times New Roman"/>
          <w:color w:val="000000"/>
          <w:sz w:val="24"/>
          <w:u w:val="single"/>
        </w:rPr>
        <w:t>Company Group</w:t>
      </w:r>
      <w:r>
        <w:rPr>
          <w:rFonts w:ascii="Times New Roman" w:hAnsi="Times New Roman"/>
          <w:color w:val="000000"/>
          <w:sz w:val="20"/>
        </w:rPr>
        <w:t>”</w:t>
      </w:r>
      <w:r>
        <w:rPr>
          <w:rFonts w:ascii="Times New Roman" w:hAnsi="Times New Roman"/>
          <w:color w:val="000000"/>
          <w:sz w:val="24"/>
        </w:rPr>
        <w:t>) as are consistent with your position, and such additional duties and responsibilities on behalf of the Company Group, as may be designated from time to time by the Supervisor.</w:t>
      </w:r>
    </w:p>
    <w:p>
      <w:pPr>
        <w:pStyle w:val="TextBody"/>
        <w:bidi w:val="0"/>
        <w:jc w:val="left"/>
        <w:rPr>
          <w:rFonts w:ascii="Times New Roman" w:hAnsi="Times New Roman"/>
          <w:sz w:val="20"/>
        </w:rPr>
      </w:pPr>
      <w:r>
        <w:rPr>
          <w:rFonts w:ascii="Times New Roman" w:hAnsi="Times New Roman"/>
          <w:color w:val="000000"/>
          <w:sz w:val="24"/>
        </w:rPr>
        <w:t>You will be required to devote all of your business time to the business and affairs of the Company Group and to the promotion of its interests. Notwithstanding the foregoing, you may engage in other activities, such as personal investments and civic and charitable activities, so long as: (i) such activities do not interfere with your duties and obligations hereunder and (ii) such activities are disclosed in advance to the Board of Directors (the “</w:t>
      </w:r>
      <w:r>
        <w:rPr>
          <w:rFonts w:ascii="Times New Roman" w:hAnsi="Times New Roman"/>
          <w:color w:val="000000"/>
          <w:sz w:val="24"/>
          <w:u w:val="single"/>
        </w:rPr>
        <w:t>Board</w:t>
      </w:r>
      <w:r>
        <w:rPr>
          <w:rFonts w:ascii="Times New Roman" w:hAnsi="Times New Roman"/>
          <w:color w:val="000000"/>
          <w:sz w:val="20"/>
        </w:rPr>
        <w:t>”</w:t>
      </w:r>
      <w:r>
        <w:rPr>
          <w:rFonts w:ascii="Times New Roman" w:hAnsi="Times New Roman"/>
          <w:color w:val="000000"/>
          <w:sz w:val="24"/>
        </w:rPr>
        <w:t>) of ProKidney Corp. (“</w:t>
      </w:r>
      <w:r>
        <w:rPr>
          <w:rFonts w:ascii="Times New Roman" w:hAnsi="Times New Roman"/>
          <w:color w:val="000000"/>
          <w:sz w:val="24"/>
          <w:u w:val="single"/>
        </w:rPr>
        <w:t>Parent</w:t>
      </w:r>
      <w:r>
        <w:rPr>
          <w:rFonts w:ascii="Times New Roman" w:hAnsi="Times New Roman"/>
          <w:color w:val="000000"/>
          <w:sz w:val="20"/>
        </w:rPr>
        <w:t>”</w:t>
      </w:r>
      <w:r>
        <w:rPr>
          <w:rFonts w:ascii="Times New Roman" w:hAnsi="Times New Roman"/>
          <w:color w:val="000000"/>
          <w:sz w:val="24"/>
        </w:rPr>
        <w:t>)). In addition, you shall be permitted to serve as a director on any other company’s board of directors subject to the prior consent of the Board (which will not be unreasonably withheld).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 xml:space="preserve">Base Salary: </w:t>
      </w:r>
      <w:r>
        <w:rPr>
          <w:rFonts w:ascii="Times New Roman" w:hAnsi="Times New Roman"/>
          <w:color w:val="000000"/>
          <w:sz w:val="24"/>
        </w:rPr>
        <w:t>During the Term, your annual base salary will be $450,000.00 per year and will be payable in accordance with the Company’s normal payroll practices, less the applicable taxes and elective withholdings. Your base salary may be increased, but not decreased, as determined by the Board or the Compensation Committee of the Board (the “</w:t>
      </w:r>
      <w:r>
        <w:rPr>
          <w:rFonts w:ascii="Times New Roman" w:hAnsi="Times New Roman"/>
          <w:color w:val="000000"/>
          <w:sz w:val="24"/>
          <w:u w:val="single"/>
        </w:rPr>
        <w:t>Compensation Committee</w:t>
      </w:r>
      <w:r>
        <w:rPr>
          <w:rFonts w:ascii="Times New Roman" w:hAnsi="Times New Roman"/>
          <w:color w:val="000000"/>
          <w:sz w:val="20"/>
        </w:rPr>
        <w:t>”</w:t>
      </w:r>
      <w:r>
        <w:rPr>
          <w:rFonts w:ascii="Times New Roman" w:hAnsi="Times New Roman"/>
          <w:color w:val="000000"/>
          <w:sz w:val="24"/>
        </w:rPr>
        <w:t>).</w:t>
      </w:r>
    </w:p>
    <w:p>
      <w:pPr>
        <w:pStyle w:val="TextBody"/>
        <w:bidi w:val="0"/>
        <w:jc w:val="left"/>
        <w:rPr>
          <w:rFonts w:ascii="Times New Roman" w:hAnsi="Times New Roman"/>
          <w:sz w:val="20"/>
        </w:rPr>
      </w:pPr>
      <w:r>
        <w:rPr>
          <w:rFonts w:ascii="Times New Roman" w:hAnsi="Times New Roman"/>
          <w:b/>
          <w:color w:val="000000"/>
          <w:sz w:val="24"/>
        </w:rPr>
        <w:t xml:space="preserve">Incentive Bonus Eligibility: </w:t>
      </w:r>
      <w:r>
        <w:rPr>
          <w:rFonts w:ascii="Times New Roman" w:hAnsi="Times New Roman"/>
          <w:color w:val="000000"/>
          <w:sz w:val="24"/>
        </w:rPr>
        <w:t>During the Term, you will be eligible for an annual cash bonus pursuant to the Company’s annual cash bonus program based on the achievement of performance criteria established by the Compensation Committee for the applicable fiscal year, which may be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sz w:val="20"/>
        </w:rPr>
      </w:pPr>
      <w:r>
        <w:rPr>
          <w:rFonts w:ascii="Times New Roman" w:hAnsi="Times New Roman"/>
          <w:color w:val="000000"/>
          <w:sz w:val="24"/>
        </w:rPr>
        <w:t>corporate goals and/or individual criteria. Your initial target bonus will be in an amount equal to 45% of your base salary (“</w:t>
      </w:r>
      <w:r>
        <w:rPr>
          <w:rFonts w:ascii="Times New Roman" w:hAnsi="Times New Roman"/>
          <w:color w:val="000000"/>
          <w:sz w:val="24"/>
          <w:u w:val="single"/>
        </w:rPr>
        <w:t>Target Bonus</w:t>
      </w:r>
      <w:r>
        <w:rPr>
          <w:rFonts w:ascii="Times New Roman" w:hAnsi="Times New Roman"/>
          <w:color w:val="000000"/>
          <w:sz w:val="20"/>
        </w:rPr>
        <w:t>”</w:t>
      </w:r>
      <w:r>
        <w:rPr>
          <w:rFonts w:ascii="Times New Roman" w:hAnsi="Times New Roman"/>
          <w:color w:val="000000"/>
          <w:sz w:val="24"/>
        </w:rPr>
        <w:t>). The actual amount of any bonus earned shall be determined by the Compensation Committee in its sole discretion after the end of the applicable fiscal year.</w:t>
      </w:r>
    </w:p>
    <w:p>
      <w:pPr>
        <w:pStyle w:val="TextBody"/>
        <w:bidi w:val="0"/>
        <w:jc w:val="left"/>
        <w:rPr>
          <w:rFonts w:ascii="Times New Roman" w:hAnsi="Times New Roman"/>
          <w:color w:val="000000"/>
          <w:sz w:val="24"/>
        </w:rPr>
      </w:pPr>
      <w:r>
        <w:rPr>
          <w:rFonts w:ascii="Times New Roman" w:hAnsi="Times New Roman"/>
          <w:color w:val="000000"/>
          <w:sz w:val="24"/>
        </w:rPr>
        <w:t>Except as otherwise provided herein, the Company will pay any bonus earned for a fiscal year in the year following the year to which the bonus relates, and generally before the end of the first quarter of that year. You will be entitled to receive any earned bonus for a fiscal year of the Company if you are employed on the payment date for such bonus.</w:t>
      </w:r>
    </w:p>
    <w:p>
      <w:pPr>
        <w:pStyle w:val="TextBody"/>
        <w:bidi w:val="0"/>
        <w:jc w:val="left"/>
        <w:rPr>
          <w:rFonts w:ascii="Times New Roman" w:hAnsi="Times New Roman"/>
          <w:sz w:val="20"/>
        </w:rPr>
      </w:pPr>
      <w:r>
        <w:rPr>
          <w:rFonts w:ascii="Times New Roman" w:hAnsi="Times New Roman"/>
          <w:b/>
          <w:color w:val="000000"/>
          <w:sz w:val="24"/>
        </w:rPr>
        <w:t>Long-Term Incentive:</w:t>
      </w:r>
      <w:r>
        <w:rPr>
          <w:rFonts w:ascii="Times New Roman" w:hAnsi="Times New Roman"/>
          <w:color w:val="000000"/>
          <w:sz w:val="20"/>
        </w:rPr>
        <w:t xml:space="preserve"> </w:t>
      </w:r>
      <w:r>
        <w:rPr>
          <w:rFonts w:ascii="Times New Roman" w:hAnsi="Times New Roman"/>
          <w:color w:val="000000"/>
          <w:sz w:val="24"/>
        </w:rPr>
        <w:t>You will be eligible to receive long-term incentive awards pursuant to the terms of the ProKidney Corp. 2022 Incentive Equity Plan (the “Incentive Equity Plan”) (or any successor plan thereto). Long-term incentive awards will be granted at the discretion of the Compensation Committee and in accordance with market guidelines for your role as approved by the Compensation Committee.</w:t>
      </w:r>
    </w:p>
    <w:p>
      <w:pPr>
        <w:pStyle w:val="TextBody"/>
        <w:bidi w:val="0"/>
        <w:jc w:val="left"/>
        <w:rPr>
          <w:rFonts w:ascii="Times New Roman" w:hAnsi="Times New Roman"/>
          <w:sz w:val="20"/>
        </w:rPr>
      </w:pPr>
      <w:r>
        <w:rPr>
          <w:rFonts w:ascii="Times New Roman" w:hAnsi="Times New Roman"/>
          <w:b/>
          <w:color w:val="000000"/>
          <w:sz w:val="24"/>
        </w:rPr>
        <w:t xml:space="preserve">Benefits: </w:t>
      </w:r>
      <w:r>
        <w:rPr>
          <w:rFonts w:ascii="Times New Roman" w:hAnsi="Times New Roman"/>
          <w:color w:val="000000"/>
          <w:sz w:val="24"/>
        </w:rPr>
        <w:t>During your employment with the Company, you will be eligible for participation in employee health and welfare benefits programs, retirement programs, and other fringe benefits maintained by the Company, to the extent consistent with applicable law and the terms of the applicable plans and programs, which may include certain plans and programs available to similarly situated executives of the Company or otherwise applicable to your position from time to time, subject to all plan terms and eligibility requirements. The benefit plans and programs for which you may be eligible are more fully described in the applicable plan summaries and related documents. The Company retains all rights to amend or terminate any such benefit plans and programs, subject to the terms of such employee benefit plans and programs and applicable law, and nothing contained herein shall obligate the Company to continue any benefit plans or programs in the future.</w:t>
      </w:r>
    </w:p>
    <w:p>
      <w:pPr>
        <w:pStyle w:val="TextBody"/>
        <w:bidi w:val="0"/>
        <w:jc w:val="left"/>
        <w:rPr>
          <w:rFonts w:ascii="Times New Roman" w:hAnsi="Times New Roman"/>
          <w:color w:val="000000"/>
          <w:sz w:val="24"/>
        </w:rPr>
      </w:pPr>
      <w:r>
        <w:rPr>
          <w:rFonts w:ascii="Times New Roman" w:hAnsi="Times New Roman"/>
          <w:color w:val="000000"/>
          <w:sz w:val="24"/>
        </w:rPr>
        <w:t>You will be eligible to receive vacation in accordance with the terms of the Company’s vacation/Paid Time Off “PTO” policy.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 xml:space="preserve">Business Expenses: </w:t>
      </w:r>
      <w:r>
        <w:rPr>
          <w:rFonts w:ascii="Times New Roman" w:hAnsi="Times New Roman"/>
          <w:color w:val="000000"/>
          <w:sz w:val="24"/>
        </w:rPr>
        <w:t>During the Term, the Company will reimburse you for reasonable business expenses, including travel, entertainment, and other expenses (including a mobile phone and data service) incurred by you in the furtherance of the performance of your duties hereunder, in accordance with the Company’s Travel and Entertainment policy as in effect from time to time.</w:t>
      </w:r>
    </w:p>
    <w:p>
      <w:pPr>
        <w:pStyle w:val="TextBody"/>
        <w:bidi w:val="0"/>
        <w:jc w:val="left"/>
        <w:rPr>
          <w:rFonts w:ascii="Times New Roman" w:hAnsi="Times New Roman"/>
          <w:sz w:val="20"/>
        </w:rPr>
      </w:pPr>
      <w:r>
        <w:rPr>
          <w:rFonts w:ascii="Times New Roman" w:hAnsi="Times New Roman"/>
          <w:b/>
          <w:color w:val="000000"/>
          <w:sz w:val="24"/>
        </w:rPr>
        <w:t xml:space="preserve">Term: </w:t>
      </w:r>
      <w:r>
        <w:rPr>
          <w:rFonts w:ascii="Times New Roman" w:hAnsi="Times New Roman"/>
          <w:color w:val="000000"/>
          <w:sz w:val="24"/>
        </w:rPr>
        <w:t>The term of your employment with the Company will terminate upon delivery to you of notice to such effect, which notice may be given for any or no reason, or upon your earlier resignation, death or disability (as customarily defined by the Company). You acknowledge that no provision contained in this Agreement will entitle you to remain in the employment of the Company or any of its subsidiaries or affiliates or affect the right of the Company to terminate your employment hereunder at any time for any reason, subject to compliance with the termination provisions set forth herein.</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 xml:space="preserve">Termination: </w:t>
      </w:r>
      <w:r>
        <w:rPr>
          <w:rFonts w:ascii="Times New Roman" w:hAnsi="Times New Roman"/>
          <w:color w:val="000000"/>
          <w:sz w:val="24"/>
        </w:rPr>
        <w:t>(a) Upon your termination of employment for any reason, the Company shall pay to you (i) your base salary earned through the date of such termination, (ii) amounts for accrued but unused vacation days in the year of termination and (iii) any unreimbursed business expenses in accordance with the Company’s reimbursement policy, not later than thirty (30) business days after the customary documentation regarding such expenses has been received and only to the extent that such expenses are submitted within ninety (90) days following the date of your termination (collectively, “</w:t>
      </w:r>
      <w:r>
        <w:rPr>
          <w:rFonts w:ascii="Times New Roman" w:hAnsi="Times New Roman"/>
          <w:color w:val="000000"/>
          <w:sz w:val="24"/>
          <w:u w:val="single"/>
        </w:rPr>
        <w:t>Accrued Amounts</w:t>
      </w:r>
      <w:r>
        <w:rPr>
          <w:rFonts w:ascii="Times New Roman" w:hAnsi="Times New Roman"/>
          <w:color w:val="000000"/>
          <w:sz w:val="20"/>
        </w:rPr>
        <w:t>”</w:t>
      </w:r>
      <w:r>
        <w:rPr>
          <w:rFonts w:ascii="Times New Roman" w:hAnsi="Times New Roman"/>
          <w:color w:val="000000"/>
          <w:sz w:val="24"/>
        </w:rPr>
        <w: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 In the event your employment is terminated during the Term by the Company without Cause (as defined below) or by you for Good Reason (as defined below), in addition to the Accrued Amounts, you will be entitled to receive, subject to your timely execution and non-revocation of a Release (as defined below) (i) any earned but unpaid bonus for any prior completed fiscal year, payable when such payments would otherwise be paid, (ii) salary continuation for a period of nine (9) months following your termination date, payable in accordance with the Company’s normal payroll cycle and (iii) provided you timely elect to continue your and your eligible dependents’ continued coverage under the Company’s group health plan, reimbursement of 100% of the monthly premium to continue such coverage for the lesser of nine (9) calendar months following the month in which the termination of your employment occurs, the month in which you are no longer eligible for continued coverage under COBRA and the month in which you are eligible to participate in a subsequent employer’s group health plans..</w:t>
      </w:r>
    </w:p>
    <w:p>
      <w:pPr>
        <w:pStyle w:val="TextBody"/>
        <w:bidi w:val="0"/>
        <w:jc w:val="left"/>
        <w:rPr>
          <w:rFonts w:ascii="Times New Roman" w:hAnsi="Times New Roman"/>
          <w:color w:val="000000"/>
          <w:sz w:val="24"/>
        </w:rPr>
      </w:pPr>
      <w:r>
        <w:rPr>
          <w:rFonts w:ascii="Times New Roman" w:hAnsi="Times New Roman"/>
          <w:color w:val="000000"/>
          <w:sz w:val="24"/>
        </w:rPr>
        <w:t>Notwithstanding the foregoing, upon a termination of your employment by the Company without Cause or by you for Good Reason within eighteen (18) months following a Change in Control (as defined in the Incentive Equity Plan), in addition to the Accrued Amounts, you will be entitled to receive, subject to your timely execution and non-revocation of a Release (i) a lump sum payment equal to the sum of twelve (12) months of your then-current base salary as of immediately prior to the Change in Control and one hundred percent (100%) of your then-current Target Bonus, (ii) provided you timely elect to continue your and your eligible dependents’ continued coverage under the Company’s group health plan, reimbursement of 100% of the monthly premium to continue such coverage for the lesser of twelve (12) calendar months following the month in which the termination of your employment occurs, the month in which you are no longer eligible for continued coverage under COBRA and the month in which you are eligible to participate in a subsequent employer’s group health plans; and (iii) full vesting of any equity awards then outstanding held by you (with any performance-based equity awards vesting at “target” levels). Notwithstanding anything to the contrary set forth herein, to the extent there is a conflict between any of the terms set forth in this Agreement and any terms set forth in an award agreement relating to the grant of equity awards to you, the terms of the applicable award agreement shall prevail.</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(c) In the event that your employment is terminated other than for reasons described in subsection (b) above, other than the amounts specified in subsection (a) above, you will not be entitled to receive any payments under this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sz w:val="20"/>
        </w:rPr>
      </w:pPr>
      <w:r>
        <w:rPr>
          <w:rFonts w:ascii="Times New Roman" w:hAnsi="Times New Roman"/>
          <w:color w:val="000000"/>
          <w:sz w:val="24"/>
        </w:rPr>
        <w:t xml:space="preserve">(d) Payment of any severance payments or benefits pursuant to subsection (b) above is expressly conditioned upon your (i) execution of a general waiver and release of claims substantially in the form attached hereto as </w:t>
      </w:r>
      <w:r>
        <w:rPr>
          <w:rFonts w:ascii="Times New Roman" w:hAnsi="Times New Roman"/>
          <w:color w:val="000000"/>
          <w:sz w:val="24"/>
          <w:u w:val="single"/>
        </w:rPr>
        <w:t>Exhibit A</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color w:val="000000"/>
          <w:sz w:val="24"/>
          <w:u w:val="single"/>
        </w:rPr>
        <w:t>Release</w:t>
      </w:r>
      <w:r>
        <w:rPr>
          <w:rFonts w:ascii="Times New Roman" w:hAnsi="Times New Roman"/>
          <w:color w:val="000000"/>
          <w:sz w:val="20"/>
        </w:rPr>
        <w:t>”</w:t>
      </w:r>
      <w:r>
        <w:rPr>
          <w:rFonts w:ascii="Times New Roman" w:hAnsi="Times New Roman"/>
          <w:color w:val="000000"/>
          <w:sz w:val="24"/>
        </w:rPr>
        <w:t>), within fifty (50) days of your termination, and the Release becoming effective upon the expiration of the revocation period (which is 7 days after the Release is executed and returned to the Company) and (ii) continued compliance with this Agreement and the Covenant Agreement (as defined below). If an executed Release is not returned to the Company within fifty (50) days of termination or the Release is revoked by you, the Company shall be relieved of all obligations to pay you severance under this Agreement. The payment described in subsection (b)(ii) will commence on the sixtieth (60th) day following your termination of employment with any payments described in subsection (b)(ii) that would have been paid from the termination date through the sixtieth (60</w:t>
      </w:r>
      <w:r>
        <w:rPr>
          <w:rFonts w:ascii="Times New Roman" w:hAnsi="Times New Roman"/>
          <w:color w:val="000000"/>
          <w:sz w:val="16"/>
        </w:rPr>
        <w:t>th</w:t>
      </w:r>
      <w:r>
        <w:rPr>
          <w:rFonts w:ascii="Times New Roman" w:hAnsi="Times New Roman"/>
          <w:color w:val="000000"/>
          <w:sz w:val="24"/>
        </w:rPr>
        <w:t>) day following your termination of employment paid in a lump sum on the first payroll date following the sixtieth (60</w:t>
      </w:r>
      <w:r>
        <w:rPr>
          <w:rFonts w:ascii="Times New Roman" w:hAnsi="Times New Roman"/>
          <w:color w:val="000000"/>
          <w:sz w:val="16"/>
        </w:rPr>
        <w:t>th</w:t>
      </w:r>
      <w:r>
        <w:rPr>
          <w:rFonts w:ascii="Times New Roman" w:hAnsi="Times New Roman"/>
          <w:color w:val="000000"/>
          <w:sz w:val="24"/>
        </w:rPr>
        <w:t>) day following your termination and the remaining installments will commence with the next payroll period. All severance payments shall be subject to legally required tax withholdings and any elective withholdings.</w:t>
      </w:r>
    </w:p>
    <w:p>
      <w:pPr>
        <w:pStyle w:val="TextBody"/>
        <w:bidi w:val="0"/>
        <w:jc w:val="left"/>
        <w:rPr>
          <w:rFonts w:ascii="Times New Roman" w:hAnsi="Times New Roman"/>
          <w:color w:val="000000"/>
          <w:sz w:val="24"/>
        </w:rPr>
      </w:pPr>
      <w:r>
        <w:rPr>
          <w:rFonts w:ascii="Times New Roman" w:hAnsi="Times New Roman"/>
          <w:color w:val="000000"/>
          <w:sz w:val="24"/>
        </w:rPr>
        <w:t>(e) For purposes of this Agreement:</w:t>
      </w:r>
    </w:p>
    <w:p>
      <w:pPr>
        <w:pStyle w:val="TextBody"/>
        <w:bidi w:val="0"/>
        <w:jc w:val="left"/>
        <w:rPr/>
      </w:pPr>
      <w:r>
        <w:rPr>
          <w:color w:val="000000"/>
        </w:rPr>
        <w:t>“</w:t>
      </w:r>
      <w:r>
        <w:rPr>
          <w:rFonts w:ascii="Times New Roman" w:hAnsi="Times New Roman"/>
          <w:color w:val="000000"/>
          <w:sz w:val="24"/>
          <w:u w:val="single"/>
        </w:rPr>
        <w:t>Cause</w:t>
      </w:r>
      <w:r>
        <w:rPr>
          <w:rFonts w:ascii="Times New Roman" w:hAnsi="Times New Roman"/>
          <w:color w:val="000000"/>
          <w:sz w:val="20"/>
        </w:rPr>
        <w:t xml:space="preserve">” </w:t>
      </w:r>
      <w:r>
        <w:rPr>
          <w:rFonts w:ascii="Times New Roman" w:hAnsi="Times New Roman"/>
          <w:color w:val="000000"/>
          <w:sz w:val="24"/>
        </w:rPr>
        <w:t>means (i) any theft, fraud, embezzlement, dishonesty, willful misconduct, breach of fiduciary duty for personal profit, falsification of any documents or records of the Company or any member of the Company Group, felony or similar act by you (whether or not related to your relationship with the Company); (ii) an act of moral turpitude by you, or any act that causes significant injury to, or is otherwise adversely affecting, the reputation, business, assets, operations or business relationship of the Company (or any member of the Company Group); (iii) any breach by you of any material agreement with or of any material duty of yours to the Company or any member of the Company Group (including breach of the Covenant Agreement) or failure to abide by code of conduct or other policies (including, without limitation, policies relating to confidentiality and reasonable workplace conduct); or (iv) any act which constitutes a breach of your fiduciary duty towards the Company or any member of the Company Group including disclosure of confidential or proprietary information thereof or acceptance or solicitation to receive unauthorized or undisclosed benefits, irrespective of their nature, or funds, or promises to receive either, from individuals, consultants or corporate entities that the Company or a Subsidiary does business with; (v) your unauthorized use, misappropriation, destruction, or diversion of any tangible or intangible asset or corporate opportunity of the Company or any member of the Company Group (including, without limitation, the improper use or disclosure of confidential or proprietary information). For the avoidance of doubt, the determination as to whether a termination is for Cause for purposes of this Agreement shall be made in good faith by the Compensation Committee and shall be final and binding on you.</w:t>
      </w:r>
    </w:p>
    <w:p>
      <w:pPr>
        <w:pStyle w:val="TextBody"/>
        <w:bidi w:val="0"/>
        <w:jc w:val="left"/>
        <w:rPr/>
      </w:pPr>
      <w:r>
        <w:rPr>
          <w:color w:val="000000"/>
        </w:rPr>
        <w:t>“</w:t>
      </w:r>
      <w:r>
        <w:rPr>
          <w:rFonts w:ascii="Times New Roman" w:hAnsi="Times New Roman"/>
          <w:color w:val="000000"/>
          <w:sz w:val="24"/>
          <w:u w:val="single"/>
        </w:rPr>
        <w:t>Good Reason</w:t>
      </w:r>
      <w:r>
        <w:rPr>
          <w:rFonts w:ascii="Times New Roman" w:hAnsi="Times New Roman"/>
          <w:color w:val="000000"/>
          <w:sz w:val="20"/>
        </w:rPr>
        <w:t xml:space="preserve">” </w:t>
      </w:r>
      <w:r>
        <w:rPr>
          <w:rFonts w:ascii="Times New Roman" w:hAnsi="Times New Roman"/>
          <w:color w:val="000000"/>
          <w:sz w:val="24"/>
        </w:rPr>
        <w:t>means the occurrence of any of the following without your consent: (i) a material reduction in your then-current base salary, other than any such reduction that applies generally to similarly situated employees of the Company; (ii) a material diminution in your</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sz w:val="20"/>
        </w:rPr>
      </w:pPr>
      <w:r>
        <w:rPr>
          <w:rFonts w:ascii="Times New Roman" w:hAnsi="Times New Roman"/>
          <w:color w:val="000000"/>
          <w:sz w:val="24"/>
        </w:rPr>
        <w:t xml:space="preserve">authority, duties or responsibilities under this Agreement; </w:t>
      </w:r>
      <w:r>
        <w:rPr>
          <w:rFonts w:ascii="Times New Roman" w:hAnsi="Times New Roman"/>
          <w:i/>
          <w:color w:val="000000"/>
          <w:sz w:val="24"/>
        </w:rPr>
        <w:t>provided</w:t>
      </w:r>
      <w:r>
        <w:rPr>
          <w:rFonts w:ascii="Times New Roman" w:hAnsi="Times New Roman"/>
          <w:color w:val="000000"/>
          <w:sz w:val="24"/>
        </w:rPr>
        <w:t>, that you will not have the right to resign for Good Reason pursuant to this provision of the Good Reason definition due to a change in authority, duties or responsibilities solely as a result of Parent or the Company no longer being a publicly traded company; or (iii) a relocation of your principal place of employment by more than 50 miles from its location as of the date hereof. Notwithstanding the foregoing, you will not be deemed to have resigned for Good Reason unless (x) you have provided written notice to the Company of the existence of the circumstances providing grounds for termination for Good Reason within 60 days of the initial existence of such grounds, (y) the Company has not cured such circumstances within 30 days from the date on which such notice is provided and (z) you resign from your employment effective no later than 60 days after the initial existence of such grounds.</w:t>
      </w:r>
    </w:p>
    <w:p>
      <w:pPr>
        <w:pStyle w:val="TextBody"/>
        <w:bidi w:val="0"/>
        <w:jc w:val="left"/>
        <w:rPr>
          <w:rFonts w:ascii="Times New Roman" w:hAnsi="Times New Roman"/>
          <w:sz w:val="20"/>
        </w:rPr>
      </w:pPr>
      <w:r>
        <w:rPr>
          <w:rFonts w:ascii="Times New Roman" w:hAnsi="Times New Roman"/>
          <w:b/>
          <w:color w:val="000000"/>
          <w:sz w:val="24"/>
        </w:rPr>
        <w:t xml:space="preserve">Resignation: </w:t>
      </w:r>
      <w:r>
        <w:rPr>
          <w:rFonts w:ascii="Times New Roman" w:hAnsi="Times New Roman"/>
          <w:color w:val="000000"/>
          <w:sz w:val="24"/>
        </w:rPr>
        <w:t>Effective as of the date of your termination of employment, unless otherwise requested by the Company in writing, you will, automatically and without further action on your part or any other person or entity, resign from all offices, boards of directors (or similar governing bodies) and committees of each member of the Company Group. You agree that you will, at the request of the Company, execute and deliver such documentation as may be required to effect such resignations, and authorize any member of the Company Group to file (or cause to be filed) such documentation, as necessary, with any applicable governmental authority.</w:t>
      </w:r>
    </w:p>
    <w:p>
      <w:pPr>
        <w:pStyle w:val="TextBody"/>
        <w:bidi w:val="0"/>
        <w:jc w:val="left"/>
        <w:rPr>
          <w:rFonts w:ascii="Times New Roman" w:hAnsi="Times New Roman"/>
          <w:sz w:val="20"/>
        </w:rPr>
      </w:pPr>
      <w:r>
        <w:rPr>
          <w:rFonts w:ascii="Times New Roman" w:hAnsi="Times New Roman"/>
          <w:b/>
          <w:color w:val="000000"/>
          <w:sz w:val="24"/>
        </w:rPr>
        <w:t xml:space="preserve">Cooperation: </w:t>
      </w:r>
      <w:r>
        <w:rPr>
          <w:rFonts w:ascii="Times New Roman" w:hAnsi="Times New Roman"/>
          <w:color w:val="000000"/>
          <w:sz w:val="24"/>
        </w:rPr>
        <w:t xml:space="preserve">In consideration for the promises and payments by the Company pursuant to this Agreement, at the request of the Company, for a one-year period following your termination of employment for any reason, you agree to cooperate to the fullest extent possible with respect to matters involving any member of the Company Group about which you have or may have knowledge, including any such matters which may arise before or after the Term; </w:t>
      </w:r>
      <w:r>
        <w:rPr>
          <w:rFonts w:ascii="Times New Roman" w:hAnsi="Times New Roman"/>
          <w:i/>
          <w:color w:val="000000"/>
          <w:sz w:val="24"/>
        </w:rPr>
        <w:t xml:space="preserve">provided </w:t>
      </w:r>
      <w:r>
        <w:rPr>
          <w:rFonts w:ascii="Times New Roman" w:hAnsi="Times New Roman"/>
          <w:color w:val="000000"/>
          <w:sz w:val="24"/>
        </w:rPr>
        <w:t>such cooperation shall not unreasonably interfere with any obligations you may have to your current employer at the time. The Company will reimburse you for any reasonable, properly documented out-of-pocket expenses, including your travel expenses and attorneys’ fees that you actually incur in connection with such cooperation.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 xml:space="preserve">Section 409A: </w:t>
      </w:r>
      <w:r>
        <w:rPr>
          <w:rFonts w:ascii="Times New Roman" w:hAnsi="Times New Roman"/>
          <w:color w:val="000000"/>
          <w:sz w:val="24"/>
        </w:rPr>
        <w:t>All references in this Agreement to your termination of employment shall mean your “separation from service” within the meaning of Section 409A of the Code and Treasury regulations promulgated thereunder. This Agreement is intended to comply with Section 409A of the Code or an exemption thereunder and shall be construed and administered in accordance with Section 409A. Any payments under this Agreement that may be excluded from Section 409A either as separation pay due to an involuntary separation from service or as a short-term deferral shall be excluded from Section 409A to the maximum extent possible. In the event the terms of this Agreement would subject you to the imposition of taxes and penalties under Section 409A (“</w:t>
      </w:r>
      <w:r>
        <w:rPr>
          <w:rFonts w:ascii="Times New Roman" w:hAnsi="Times New Roman"/>
          <w:color w:val="000000"/>
          <w:sz w:val="24"/>
          <w:u w:val="single"/>
        </w:rPr>
        <w:t>409A Penalties</w:t>
      </w:r>
      <w:r>
        <w:rPr>
          <w:rFonts w:ascii="Times New Roman" w:hAnsi="Times New Roman"/>
          <w:color w:val="000000"/>
          <w:sz w:val="20"/>
        </w:rPr>
        <w:t>”</w:t>
      </w:r>
      <w:r>
        <w:rPr>
          <w:rFonts w:ascii="Times New Roman" w:hAnsi="Times New Roman"/>
          <w:color w:val="000000"/>
          <w:sz w:val="24"/>
        </w:rPr>
        <w:t xml:space="preserve">), the Company and you shall cooperate diligently to amend the terms of this Agreement to avoid such 409A Penalties, to the extent possible; </w:t>
      </w:r>
      <w:r>
        <w:rPr>
          <w:rFonts w:ascii="Times New Roman" w:hAnsi="Times New Roman"/>
          <w:i/>
          <w:color w:val="000000"/>
          <w:sz w:val="24"/>
        </w:rPr>
        <w:t xml:space="preserve">provided </w:t>
      </w:r>
      <w:r>
        <w:rPr>
          <w:rFonts w:ascii="Times New Roman" w:hAnsi="Times New Roman"/>
          <w:color w:val="000000"/>
          <w:sz w:val="24"/>
        </w:rPr>
        <w:t>that, for the avoidance of doubt, you shall be solely liable for any 409A Penalties incurred by you. To the extent that any amounts payable in installments under this Agreement are reasonably determined to be “nonqualified deferred compensation” within the meaning of Section 409A of the Code, then</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color w:val="000000"/>
          <w:sz w:val="24"/>
        </w:rPr>
      </w:pPr>
      <w:r>
        <w:rPr>
          <w:rFonts w:ascii="Times New Roman" w:hAnsi="Times New Roman"/>
          <w:color w:val="000000"/>
          <w:sz w:val="24"/>
        </w:rPr>
        <w:t>each such installment shall be treated as a right to receive a series of separate payments and, accordingly, each such installment payment shall at all times be considered a separate and distinct payment as permitted under Section 409A of the Code.</w:t>
      </w:r>
    </w:p>
    <w:p>
      <w:pPr>
        <w:pStyle w:val="TextBody"/>
        <w:bidi w:val="0"/>
        <w:jc w:val="left"/>
        <w:rPr>
          <w:rFonts w:ascii="Times New Roman" w:hAnsi="Times New Roman"/>
          <w:color w:val="000000"/>
          <w:sz w:val="24"/>
        </w:rPr>
      </w:pPr>
      <w:r>
        <w:rPr>
          <w:rFonts w:ascii="Times New Roman" w:hAnsi="Times New Roman"/>
          <w:color w:val="000000"/>
          <w:sz w:val="24"/>
        </w:rPr>
        <w:t>Notwithstanding any other provision in this Agreement, if as of the date on which your employment terminates, you are a “specified employee”, as determined by the Company, then with respect to any amount payable or benefit provided under this Agreement or otherwise that the Company reasonably determines would be nonqualified deferred compensation within the meaning of Section 409A of the Code and that under the terms of this Agreement would be payable prior to the six-month anniversary of your effective date of termination, then if required in order to avoid any penalties under Section 409A of the Code, such payment or benefit shall be delayed until the earlier to occur of (a) the first payroll date following the six-month anniversary of such termination date and (b) the date of your death.</w:t>
      </w:r>
    </w:p>
    <w:p>
      <w:pPr>
        <w:pStyle w:val="TextBody"/>
        <w:bidi w:val="0"/>
        <w:jc w:val="left"/>
        <w:rPr>
          <w:rFonts w:ascii="Times New Roman" w:hAnsi="Times New Roman"/>
          <w:color w:val="000000"/>
          <w:sz w:val="24"/>
        </w:rPr>
      </w:pPr>
      <w:r>
        <w:rPr>
          <w:rFonts w:ascii="Times New Roman" w:hAnsi="Times New Roman"/>
          <w:color w:val="000000"/>
          <w:sz w:val="24"/>
        </w:rPr>
        <w:t>With respect to any reimbursements under this Agreement, such reimbursement shall be made on or before the last day of your taxable year following the taxable year in which you incurred the expense. The amount of any expenses eligible for reimbursement or the amount of any in-kind benefits provided, as the case may be, under this Agreement during any calendar year shall not affect the amount of expenses eligible for reimbursement or the amount of any in-kind benefits provided during any other calendar year. The right to reimbursement or to any in-kind benefit pursuant to this Agreement shall not be subject to liquidation or exchange for any other benefit.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You acknowledge and agree that notwithstanding any provision of this Agreement, the Company and its affiliates are not providing you with any tax advice with respect to Section 409A of the Code or otherwise and are not making any guarantees or other assurances of any kind to you with respect to the tax consequences or treatment of any amounts paid or payable to you under this Agreement.</w:t>
      </w:r>
    </w:p>
    <w:p>
      <w:pPr>
        <w:pStyle w:val="TextBody"/>
        <w:bidi w:val="0"/>
        <w:jc w:val="left"/>
        <w:rPr>
          <w:rFonts w:ascii="Times New Roman" w:hAnsi="Times New Roman"/>
          <w:sz w:val="20"/>
        </w:rPr>
      </w:pPr>
      <w:r>
        <w:rPr>
          <w:rFonts w:ascii="Times New Roman" w:hAnsi="Times New Roman"/>
          <w:b/>
          <w:color w:val="000000"/>
          <w:sz w:val="24"/>
        </w:rPr>
        <w:t xml:space="preserve">Section 280G: </w:t>
      </w:r>
      <w:r>
        <w:rPr>
          <w:rFonts w:ascii="Times New Roman" w:hAnsi="Times New Roman"/>
          <w:color w:val="000000"/>
          <w:sz w:val="24"/>
        </w:rPr>
        <w:t>If the present value of your Severance Benefits, either alone or together with other payments which you have the right to receive from the Company (the “</w:t>
      </w:r>
      <w:r>
        <w:rPr>
          <w:rFonts w:ascii="Times New Roman" w:hAnsi="Times New Roman"/>
          <w:b/>
          <w:color w:val="000000"/>
          <w:sz w:val="24"/>
        </w:rPr>
        <w:t>Benefits</w:t>
      </w:r>
      <w:r>
        <w:rPr>
          <w:rFonts w:ascii="Times New Roman" w:hAnsi="Times New Roman"/>
          <w:color w:val="000000"/>
          <w:sz w:val="20"/>
        </w:rPr>
        <w:t>”</w:t>
      </w:r>
      <w:r>
        <w:rPr>
          <w:rFonts w:ascii="Times New Roman" w:hAnsi="Times New Roman"/>
          <w:color w:val="000000"/>
          <w:sz w:val="24"/>
        </w:rPr>
        <w:t>), would constitute a “parachute payment” as defined in Section 280G of the Code, then your Benefits shall be either (i) provided to you in full, or (ii) provided to you only as to such lesser extent that would result in no portion of such Benefits being subject to the excise tax imposed by Section 4999 of the Code (the “</w:t>
      </w:r>
      <w:r>
        <w:rPr>
          <w:rFonts w:ascii="Times New Roman" w:hAnsi="Times New Roman"/>
          <w:b/>
          <w:color w:val="000000"/>
          <w:sz w:val="24"/>
        </w:rPr>
        <w:t>Excise Tax</w:t>
      </w:r>
      <w:r>
        <w:rPr>
          <w:rFonts w:ascii="Times New Roman" w:hAnsi="Times New Roman"/>
          <w:color w:val="000000"/>
          <w:sz w:val="20"/>
        </w:rPr>
        <w:t>”</w:t>
      </w:r>
      <w:r>
        <w:rPr>
          <w:rFonts w:ascii="Times New Roman" w:hAnsi="Times New Roman"/>
          <w:color w:val="000000"/>
          <w:sz w:val="24"/>
        </w:rPr>
        <w:t>), whichever of the foregoing amounts, taking into account the applicable federal, state, and local income and employment taxes and the Excise Tax, results in the receipt by you, on an after-tax basis, of the greatest amount of benefits, notwithstanding that all or some portion of such Benefits may be taxable under the Excise Tax.</w:t>
      </w:r>
    </w:p>
    <w:p>
      <w:pPr>
        <w:pStyle w:val="TextBody"/>
        <w:bidi w:val="0"/>
        <w:jc w:val="left"/>
        <w:rPr>
          <w:rFonts w:ascii="Times New Roman" w:hAnsi="Times New Roman"/>
          <w:sz w:val="20"/>
        </w:rPr>
      </w:pPr>
      <w:r>
        <w:rPr>
          <w:rFonts w:ascii="Times New Roman" w:hAnsi="Times New Roman"/>
          <w:color w:val="000000"/>
          <w:sz w:val="24"/>
        </w:rPr>
        <w:t>Unless the Company and you otherwise agree, any determination required under section shall be made in writing in good faith by the Company’s independent accounting firm or such other nationally or regionally recognized accounting firm selected by the Company (the “</w:t>
      </w:r>
      <w:r>
        <w:rPr>
          <w:rFonts w:ascii="Times New Roman" w:hAnsi="Times New Roman"/>
          <w:b/>
          <w:color w:val="000000"/>
          <w:sz w:val="24"/>
        </w:rPr>
        <w:t>Accountants</w:t>
      </w:r>
      <w:r>
        <w:rPr>
          <w:rFonts w:ascii="Times New Roman" w:hAnsi="Times New Roman"/>
          <w:color w:val="000000"/>
          <w:sz w:val="20"/>
        </w:rPr>
        <w:t>”</w:t>
      </w:r>
      <w:r>
        <w:rPr>
          <w:rFonts w:ascii="Times New Roman" w:hAnsi="Times New Roman"/>
          <w:color w:val="000000"/>
          <w:sz w:val="24"/>
        </w:rPr>
        <w:t>), whose determination shall be conclusive and binding upon you and the Company for all purposes. In the event that a reduction to the Benefits under this section, the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sz w:val="20"/>
        </w:rPr>
      </w:pPr>
      <w:r>
        <w:rPr>
          <w:rFonts w:ascii="Times New Roman" w:hAnsi="Times New Roman"/>
          <w:color w:val="000000"/>
          <w:sz w:val="24"/>
        </w:rPr>
        <w:t xml:space="preserve">reduction shall apply first to the Benefits that are not deferred compensation subject to Section 409A of the Code and you shall be given the choice, subject to approval by the Company, of which of such Benefits to reduce;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 xml:space="preserve">that </w:t>
      </w:r>
      <w:r>
        <w:rPr>
          <w:rFonts w:ascii="Times New Roman" w:hAnsi="Times New Roman"/>
          <w:color w:val="000000"/>
          <w:sz w:val="24"/>
        </w:rPr>
        <w:t>such reduction achieves the result specified in clause (ii) above of this section. If a reduction in the Benefits that are subject to Section 409A of the Code is required, such Benefits shall be reduced pro rata, but with no change in the time at which such Benefits shall be paid. For purposes of making the calculations required by this section, the Accountants may make reasonable assumptions and approximations concerning applicable taxes and may rely on reasonable, good faith interpretations concerning the application of the Code. The Company and you shall furnish to the Accountants such information and documents as the Accountants may reasonably request in order to make a determination under this section. The Company shall bear all costs the Accountants may reasonably incur in connection with any calculations contemplated by this section.</w:t>
      </w:r>
    </w:p>
    <w:p>
      <w:pPr>
        <w:pStyle w:val="TextBody"/>
        <w:bidi w:val="0"/>
        <w:spacing w:before="0" w:after="0"/>
        <w:jc w:val="left"/>
        <w:rPr>
          <w:rFonts w:ascii="Cambria" w:hAnsi="Cambria"/>
          <w:b/>
          <w:color w:val="000000"/>
          <w:sz w:val="24"/>
        </w:rPr>
      </w:pPr>
      <w:r>
        <w:rPr>
          <w:rFonts w:ascii="Cambria" w:hAnsi="Cambria"/>
          <w:b/>
          <w:color w:val="000000"/>
          <w:sz w:val="24"/>
        </w:rPr>
        <w:t>2.</w:t>
      </w:r>
    </w:p>
    <w:p>
      <w:pPr>
        <w:pStyle w:val="TextBody"/>
        <w:bidi w:val="0"/>
        <w:jc w:val="left"/>
        <w:rPr/>
      </w:pPr>
      <w:r>
        <w:rPr>
          <w:rFonts w:ascii="Times New Roman" w:hAnsi="Times New Roman"/>
          <w:color w:val="000000"/>
          <w:sz w:val="24"/>
        </w:rPr>
        <w:t>You acknowledge and agree that you will continue to be subject to any confidentiality, non-disclosure, non-use, non-competition, non-solicitation or other covenants that you may be subject to under any agreement with the Company or any member of the Company Group (collectively, the “</w:t>
      </w:r>
      <w:r>
        <w:rPr>
          <w:rFonts w:ascii="Times New Roman" w:hAnsi="Times New Roman"/>
          <w:color w:val="000000"/>
          <w:sz w:val="24"/>
          <w:u w:val="single"/>
        </w:rPr>
        <w:t>Covenant Agreement</w:t>
      </w:r>
      <w:r>
        <w:rPr>
          <w:color w:val="000000"/>
        </w:rPr>
        <w:t>”</w:t>
      </w:r>
      <w:r>
        <w:rPr>
          <w:rFonts w:ascii="Times New Roman" w:hAnsi="Times New Roman"/>
          <w:color w:val="000000"/>
          <w:sz w:val="24"/>
        </w:rPr>
        <w:t>). Notwithstanding any provision in this Agreement, the Covenant Agreement or otherwise to the contrary, nothing in this Agreement, the Covenant Agreement or otherwise precludes or otherwise limits your ability to (A) communicate directly with and provide information, including documents, not otherwise protected from disclosure by any applicable law or privilege to the Securities and Exchange Commission (the “</w:t>
      </w:r>
      <w:r>
        <w:rPr>
          <w:rFonts w:ascii="Times New Roman" w:hAnsi="Times New Roman"/>
          <w:color w:val="000000"/>
          <w:sz w:val="24"/>
          <w:u w:val="single"/>
        </w:rPr>
        <w:t>SEC</w:t>
      </w:r>
      <w:r>
        <w:rPr>
          <w:color w:val="000000"/>
        </w:rPr>
        <w:t>”</w:t>
      </w:r>
      <w:r>
        <w:rPr>
          <w:rFonts w:ascii="Times New Roman" w:hAnsi="Times New Roman"/>
          <w:color w:val="000000"/>
          <w:sz w:val="24"/>
        </w:rPr>
        <w:t>) or any other federal, state or local governmental agency or commission (“</w:t>
      </w:r>
      <w:r>
        <w:rPr>
          <w:rFonts w:ascii="Times New Roman" w:hAnsi="Times New Roman"/>
          <w:color w:val="000000"/>
          <w:sz w:val="24"/>
          <w:u w:val="single"/>
        </w:rPr>
        <w:t>Government</w:t>
      </w:r>
      <w:r>
        <w:rPr>
          <w:color w:val="000000"/>
        </w:rPr>
        <w:t xml:space="preserve"> </w:t>
      </w:r>
      <w:r>
        <w:rPr>
          <w:rFonts w:ascii="Times New Roman" w:hAnsi="Times New Roman"/>
          <w:color w:val="000000"/>
          <w:sz w:val="24"/>
          <w:u w:val="single"/>
        </w:rPr>
        <w:t>Agency</w:t>
      </w:r>
      <w:r>
        <w:rPr>
          <w:color w:val="000000"/>
        </w:rPr>
        <w:t>”</w:t>
      </w:r>
      <w:r>
        <w:rPr>
          <w:rFonts w:ascii="Times New Roman" w:hAnsi="Times New Roman"/>
          <w:color w:val="000000"/>
          <w:sz w:val="24"/>
        </w:rPr>
        <w:t>) or self-regulatory organization regarding possible legal violations, without disclosure to the Company, or (B) disclose information which is required to be disclosed by applicable law, regulation, or order or requirement (including without limitation, by deposition, interrogatory, requests for documents, subpoena, civil investigative demand or similar process) of courts, administrative agencies, the SEC, any Government Agency or self-regulatory organizations, provided that you provide the Company with prior notice of the contemplated disclosure and cooperate with the Company in seeking a protective order or other appropriate protection of such information. The Company may not retaliate against you for any of these activities.</w:t>
      </w:r>
    </w:p>
    <w:p>
      <w:pPr>
        <w:pStyle w:val="TextBody"/>
        <w:bidi w:val="0"/>
        <w:spacing w:before="0" w:after="0"/>
        <w:jc w:val="left"/>
        <w:rPr>
          <w:rFonts w:ascii="Cambria" w:hAnsi="Cambria"/>
          <w:b/>
          <w:color w:val="000000"/>
          <w:sz w:val="24"/>
        </w:rPr>
      </w:pPr>
      <w:r>
        <w:rPr>
          <w:rFonts w:ascii="Cambria" w:hAnsi="Cambria"/>
          <w:b/>
          <w:color w:val="000000"/>
          <w:sz w:val="24"/>
        </w:rPr>
        <w:t>3.</w:t>
      </w:r>
    </w:p>
    <w:p>
      <w:pPr>
        <w:pStyle w:val="TextBody"/>
        <w:bidi w:val="0"/>
        <w:jc w:val="left"/>
        <w:rPr>
          <w:rFonts w:ascii="Times New Roman" w:hAnsi="Times New Roman"/>
          <w:color w:val="000000"/>
          <w:sz w:val="24"/>
        </w:rPr>
      </w:pPr>
      <w:r>
        <w:rPr>
          <w:rFonts w:ascii="Times New Roman" w:hAnsi="Times New Roman"/>
          <w:color w:val="000000"/>
          <w:sz w:val="24"/>
        </w:rPr>
        <w:t>You represent that your performance of all of the terms of this Agreement and the performance of the services for the Company Group do not and will not breach or conflict with any agreement with a third party, including an agreement not to compete or to keep in confidence any proprietary information of another entity acquired by you in confidence or in trust prior to the date of this Agreement. You agree that you will not enter into any agreement that conflicts with this Agreement at any time prior to the Effective Date or during the term of your employment with the Company.</w:t>
      </w:r>
    </w:p>
    <w:p>
      <w:pPr>
        <w:pStyle w:val="TextBody"/>
        <w:bidi w:val="0"/>
        <w:spacing w:before="0" w:after="0"/>
        <w:jc w:val="left"/>
        <w:rPr>
          <w:rFonts w:ascii="Cambria" w:hAnsi="Cambria"/>
          <w:b/>
          <w:color w:val="000000"/>
          <w:sz w:val="24"/>
        </w:rPr>
      </w:pPr>
      <w:r>
        <w:rPr>
          <w:rFonts w:ascii="Cambria" w:hAnsi="Cambria"/>
          <w:b/>
          <w:color w:val="000000"/>
          <w:sz w:val="24"/>
        </w:rPr>
        <w:t>4.</w:t>
      </w:r>
    </w:p>
    <w:p>
      <w:pPr>
        <w:pStyle w:val="TextBody"/>
        <w:bidi w:val="0"/>
        <w:jc w:val="left"/>
        <w:rPr>
          <w:rFonts w:ascii="Times New Roman" w:hAnsi="Times New Roman"/>
          <w:color w:val="000000"/>
          <w:sz w:val="24"/>
        </w:rPr>
      </w:pPr>
      <w:r>
        <w:rPr>
          <w:rFonts w:ascii="Times New Roman" w:hAnsi="Times New Roman"/>
          <w:color w:val="000000"/>
          <w:sz w:val="24"/>
        </w:rPr>
        <w:t>All payments made under this Agreement shall be reduced by any tax or other amounts required to be withheld under applicable law.</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0"/>
        <w:jc w:val="left"/>
        <w:rPr>
          <w:rFonts w:ascii="Cambria" w:hAnsi="Cambria"/>
          <w:b/>
          <w:color w:val="000000"/>
          <w:sz w:val="24"/>
        </w:rPr>
      </w:pPr>
      <w:r>
        <w:rPr>
          <w:rFonts w:ascii="Cambria" w:hAnsi="Cambria"/>
          <w:b/>
          <w:color w:val="000000"/>
          <w:sz w:val="24"/>
        </w:rPr>
        <w:t>5.</w:t>
      </w:r>
    </w:p>
    <w:p>
      <w:pPr>
        <w:pStyle w:val="TextBody"/>
        <w:bidi w:val="0"/>
        <w:jc w:val="left"/>
        <w:rPr>
          <w:rFonts w:ascii="Times New Roman" w:hAnsi="Times New Roman"/>
          <w:color w:val="000000"/>
          <w:sz w:val="24"/>
        </w:rPr>
      </w:pPr>
      <w:r>
        <w:rPr>
          <w:rFonts w:ascii="Times New Roman" w:hAnsi="Times New Roman"/>
          <w:color w:val="000000"/>
          <w:sz w:val="24"/>
        </w:rPr>
        <w:t>The parties hereby agree that any suit, action or proceeding seeking to enforce any provision of, or based on any matter arising out of or in connection with, this Agreement shall only be brought in the Chancery Court of the State of Delaware (or other appropriate state court in the State of Delaware) or the Federal courts located in the State of Delaware and not in any other State or Federal courts located in the United States of America or any court in any other country, and each of the parties hereby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which is brought in any such court has been brought in an inconvenient form. The parties hereby agree that process in any such suit, action or proceeding may be served on either party anywhere in the world, whether within or without the jurisdiction of any such court. EACH OF THE PARTIES HERETO HEREBY IRREVOCABLY WAIVES ANY AND ALL RIGHTS TO TRIAL BY JURY IN ANY LEGAL PROCEEDING ARISING OUT OF OR RELATED TO THIS AGREEMENT OR THE TRANSACTIONS CONTEMPLATED HEREBY.</w:t>
      </w:r>
    </w:p>
    <w:p>
      <w:pPr>
        <w:pStyle w:val="TextBody"/>
        <w:bidi w:val="0"/>
        <w:spacing w:before="0" w:after="0"/>
        <w:jc w:val="left"/>
        <w:rPr>
          <w:rFonts w:ascii="Cambria" w:hAnsi="Cambria"/>
          <w:b/>
          <w:color w:val="000000"/>
          <w:sz w:val="24"/>
        </w:rPr>
      </w:pPr>
      <w:r>
        <w:rPr>
          <w:rFonts w:ascii="Cambria" w:hAnsi="Cambria"/>
          <w:b/>
          <w:color w:val="000000"/>
          <w:sz w:val="24"/>
        </w:rPr>
        <w:t>6.</w:t>
      </w:r>
    </w:p>
    <w:p>
      <w:pPr>
        <w:pStyle w:val="TextBody"/>
        <w:bidi w:val="0"/>
        <w:jc w:val="left"/>
        <w:rPr>
          <w:rFonts w:ascii="Times New Roman" w:hAnsi="Times New Roman"/>
          <w:color w:val="000000"/>
          <w:sz w:val="24"/>
        </w:rPr>
      </w:pPr>
      <w:r>
        <w:rPr>
          <w:rFonts w:ascii="Times New Roman" w:hAnsi="Times New Roman"/>
          <w:color w:val="000000"/>
          <w:sz w:val="24"/>
        </w:rPr>
        <w:t>This Agreement shall be governed, construed, interpreted and enforced in accordance with its express terms, and otherwise in accordance with the substantive laws of the State of Delaware, without reference to the principles of conflicts of law or choice of law of the State of Delaware, or any other jurisdiction, and where applicable, the laws of the United States.</w:t>
      </w:r>
    </w:p>
    <w:p>
      <w:pPr>
        <w:pStyle w:val="TextBody"/>
        <w:bidi w:val="0"/>
        <w:spacing w:before="0" w:after="0"/>
        <w:jc w:val="left"/>
        <w:rPr>
          <w:rFonts w:ascii="Cambria" w:hAnsi="Cambria"/>
          <w:b/>
          <w:color w:val="000000"/>
          <w:sz w:val="24"/>
        </w:rPr>
      </w:pPr>
      <w:r>
        <w:rPr>
          <w:rFonts w:ascii="Cambria" w:hAnsi="Cambria"/>
          <w:b/>
          <w:color w:val="000000"/>
          <w:sz w:val="24"/>
        </w:rPr>
        <w:t>7.</w:t>
      </w:r>
    </w:p>
    <w:p>
      <w:pPr>
        <w:pStyle w:val="TextBody"/>
        <w:bidi w:val="0"/>
        <w:jc w:val="left"/>
        <w:rPr>
          <w:rFonts w:ascii="Times New Roman" w:hAnsi="Times New Roman"/>
          <w:color w:val="000000"/>
          <w:sz w:val="24"/>
        </w:rPr>
      </w:pPr>
      <w:r>
        <w:rPr>
          <w:rFonts w:ascii="Times New Roman" w:hAnsi="Times New Roman"/>
          <w:color w:val="000000"/>
          <w:sz w:val="24"/>
        </w:rPr>
        <w:t>The invalidity or unenforceability of any provision or provisions of this Agreement shall not affect the validity or enforceability of any other provision of this Agreement, which shall remain in full force and effect.</w:t>
      </w:r>
    </w:p>
    <w:p>
      <w:pPr>
        <w:pStyle w:val="TextBody"/>
        <w:bidi w:val="0"/>
        <w:spacing w:before="0" w:after="0"/>
        <w:jc w:val="left"/>
        <w:rPr>
          <w:rFonts w:ascii="Cambria" w:hAnsi="Cambria"/>
          <w:b/>
          <w:color w:val="000000"/>
          <w:sz w:val="24"/>
        </w:rPr>
      </w:pPr>
      <w:r>
        <w:rPr>
          <w:rFonts w:ascii="Cambria" w:hAnsi="Cambria"/>
          <w:b/>
          <w:color w:val="000000"/>
          <w:sz w:val="24"/>
        </w:rPr>
        <w:t>8.</w:t>
      </w:r>
    </w:p>
    <w:p>
      <w:pPr>
        <w:pStyle w:val="TextBody"/>
        <w:bidi w:val="0"/>
        <w:jc w:val="left"/>
        <w:rPr/>
      </w:pPr>
      <w:r>
        <w:rPr>
          <w:rFonts w:ascii="Times New Roman" w:hAnsi="Times New Roman"/>
          <w:color w:val="000000"/>
          <w:sz w:val="24"/>
        </w:rPr>
        <w:t xml:space="preserve">The terms of this Agreement and the Covenant Agreement are intended by the parties to be the final expression of their agreement with respect to your employment by the Company and supersede, effective as of the Effective Date, all prior understandings and agreements with respect to your employment by the Company, whether written or oral. For the avoidance of doubt, if the Effective Date does not occur, this Agreement will be void </w:t>
      </w:r>
      <w:r>
        <w:rPr>
          <w:rFonts w:ascii="Times New Roman" w:hAnsi="Times New Roman"/>
          <w:i/>
          <w:color w:val="000000"/>
          <w:sz w:val="24"/>
        </w:rPr>
        <w:t>ab initio</w:t>
      </w:r>
      <w:r>
        <w:rPr>
          <w:rFonts w:ascii="Times New Roman" w:hAnsi="Times New Roman"/>
          <w:color w:val="000000"/>
          <w:sz w:val="24"/>
        </w:rPr>
        <w:t>.</w:t>
      </w:r>
    </w:p>
    <w:p>
      <w:pPr>
        <w:pStyle w:val="TextBody"/>
        <w:bidi w:val="0"/>
        <w:spacing w:before="0" w:after="0"/>
        <w:jc w:val="left"/>
        <w:rPr>
          <w:rFonts w:ascii="Cambria" w:hAnsi="Cambria"/>
          <w:b/>
          <w:color w:val="000000"/>
          <w:sz w:val="24"/>
        </w:rPr>
      </w:pPr>
      <w:r>
        <w:rPr>
          <w:rFonts w:ascii="Cambria" w:hAnsi="Cambria"/>
          <w:b/>
          <w:color w:val="000000"/>
          <w:sz w:val="24"/>
        </w:rPr>
        <w:t>9.</w:t>
      </w:r>
    </w:p>
    <w:p>
      <w:pPr>
        <w:pStyle w:val="TextBody"/>
        <w:bidi w:val="0"/>
        <w:jc w:val="left"/>
        <w:rPr>
          <w:rFonts w:ascii="Times New Roman" w:hAnsi="Times New Roman"/>
          <w:color w:val="000000"/>
          <w:sz w:val="24"/>
        </w:rPr>
      </w:pPr>
      <w:r>
        <w:rPr>
          <w:rFonts w:ascii="Times New Roman" w:hAnsi="Times New Roman"/>
          <w:color w:val="000000"/>
          <w:sz w:val="24"/>
        </w:rPr>
        <w:t>By signing this Agreement, you acknowledge that the terms of this Agreement are confidential and may not be disclosed in any manner or form to any party, other than as required by applicable law (including any public disclosure requirements) or as necessary to enforce the terms of this Agreement or to your spouse, attorney and/or tax advisor (if any), without the prior written approval of the Company. You further acknowledge that you will be bound by the terms and conditions contained in the Company’s employee handbook, as it may be amended from time to time to the extent not inconsistent with this Agreement and will, upon request of the Company, sign a copy thereof from time to time.</w:t>
      </w:r>
    </w:p>
    <w:p>
      <w:pPr>
        <w:pStyle w:val="TextBody"/>
        <w:bidi w:val="0"/>
        <w:spacing w:before="0" w:after="0"/>
        <w:jc w:val="left"/>
        <w:rPr>
          <w:rFonts w:ascii="Cambria" w:hAnsi="Cambria"/>
          <w:b/>
          <w:color w:val="000000"/>
          <w:sz w:val="24"/>
        </w:rPr>
      </w:pPr>
      <w:r>
        <w:rPr>
          <w:rFonts w:ascii="Cambria" w:hAnsi="Cambria"/>
          <w:b/>
          <w:color w:val="000000"/>
          <w:sz w:val="24"/>
        </w:rPr>
        <w:t>10.</w:t>
      </w:r>
    </w:p>
    <w:p>
      <w:pPr>
        <w:pStyle w:val="TextBody"/>
        <w:bidi w:val="0"/>
        <w:jc w:val="left"/>
        <w:rPr>
          <w:rFonts w:ascii="Times New Roman" w:hAnsi="Times New Roman"/>
          <w:color w:val="000000"/>
          <w:sz w:val="24"/>
        </w:rPr>
      </w:pPr>
      <w:r>
        <w:rPr>
          <w:rFonts w:ascii="Times New Roman" w:hAnsi="Times New Roman"/>
          <w:color w:val="000000"/>
          <w:sz w:val="24"/>
        </w:rPr>
        <w:t xml:space="preserve">The rights and benefits under this Agreement are personal to you and such rights and benefits shall not be subject to assignment, alienation or transfer, except to the extent such rights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color w:val="000000"/>
          <w:sz w:val="24"/>
        </w:rPr>
      </w:pPr>
      <w:r>
        <w:rPr>
          <w:rFonts w:ascii="Times New Roman" w:hAnsi="Times New Roman"/>
          <w:color w:val="000000"/>
          <w:sz w:val="24"/>
        </w:rPr>
        <w:t>and benefits are lawfully available to your estate or any of your beneficiaries upon your death. The Company may assign this Agreement to any affiliate or subsidiary at any time and shall require any entity which at any time becomes a successor, whether by merger, purchase, or otherwise, or otherwise acquires all or substantially all of the assets, membership interests or business of the Company, to expressly assume this Agreement.</w:t>
      </w:r>
    </w:p>
    <w:p>
      <w:pPr>
        <w:pStyle w:val="TextBody"/>
        <w:bidi w:val="0"/>
        <w:spacing w:before="0" w:after="0"/>
        <w:jc w:val="left"/>
        <w:rPr>
          <w:rFonts w:ascii="Cambria" w:hAnsi="Cambria"/>
          <w:b/>
          <w:color w:val="000000"/>
          <w:sz w:val="24"/>
        </w:rPr>
      </w:pPr>
      <w:r>
        <w:rPr>
          <w:rFonts w:ascii="Cambria" w:hAnsi="Cambria"/>
          <w:b/>
          <w:color w:val="000000"/>
          <w:sz w:val="24"/>
        </w:rPr>
        <w:t>11.</w:t>
      </w:r>
    </w:p>
    <w:p>
      <w:pPr>
        <w:pStyle w:val="TextBody"/>
        <w:bidi w:val="0"/>
        <w:jc w:val="left"/>
        <w:rPr>
          <w:rFonts w:ascii="Times New Roman" w:hAnsi="Times New Roman"/>
          <w:color w:val="000000"/>
          <w:sz w:val="24"/>
        </w:rPr>
      </w:pPr>
      <w:r>
        <w:rPr>
          <w:rFonts w:ascii="Times New Roman" w:hAnsi="Times New Roman"/>
          <w:color w:val="000000"/>
          <w:sz w:val="24"/>
        </w:rPr>
        <w:t>This Agreement may be executed in several counterparts, each of which shall be deemed to be an original, but all of which together will constitute one and the same Agreement. Signatures delivered by facsimile shall be deemed effective for all purposes.</w:t>
      </w:r>
    </w:p>
    <w:p>
      <w:pPr>
        <w:pStyle w:val="TextBody"/>
        <w:bidi w:val="0"/>
        <w:jc w:val="left"/>
        <w:rPr>
          <w:rFonts w:ascii="Times New Roman" w:hAnsi="Times New Roman"/>
          <w:i/>
          <w:color w:val="000000"/>
          <w:sz w:val="24"/>
        </w:rPr>
      </w:pPr>
      <w:r>
        <w:rPr>
          <w:rFonts w:ascii="Times New Roman" w:hAnsi="Times New Roman"/>
          <w:i/>
          <w:color w:val="000000"/>
          <w:sz w:val="24"/>
        </w:rPr>
        <w:t>[Signature page follows]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color w:val="000000"/>
          <w:sz w:val="24"/>
        </w:rPr>
      </w:pPr>
      <w:r>
        <w:rPr>
          <w:rFonts w:ascii="Times New Roman" w:hAnsi="Times New Roman"/>
          <w:color w:val="000000"/>
          <w:sz w:val="24"/>
        </w:rPr>
        <w:t>Please sign and date this Agreement in the space indicated and return it to my attention to evidence your understanding and acceptance of the terms set forth herein.</w:t>
      </w:r>
    </w:p>
    <w:p>
      <w:pPr>
        <w:pStyle w:val="TextBody"/>
        <w:bidi w:val="0"/>
        <w:jc w:val="left"/>
        <w:rPr>
          <w:rFonts w:ascii="Times New Roman" w:hAnsi="Times New Roman"/>
          <w:color w:val="000000"/>
          <w:sz w:val="24"/>
        </w:rPr>
      </w:pPr>
      <w:r>
        <w:rPr>
          <w:rFonts w:ascii="Times New Roman" w:hAnsi="Times New Roman"/>
          <w:color w:val="000000"/>
          <w:sz w:val="24"/>
        </w:rPr>
        <w:t>Sincerely,</w:t>
      </w:r>
    </w:p>
    <w:p>
      <w:pPr>
        <w:pStyle w:val="TextBody"/>
        <w:bidi w:val="0"/>
        <w:jc w:val="left"/>
        <w:rPr/>
      </w:pPr>
      <w:r>
        <w:rPr/>
        <w:t> </w:t>
      </w:r>
    </w:p>
    <w:tbl>
      <w:tblPr>
        <w:tblW w:w="3362" w:type="dxa"/>
        <w:jc w:val="left"/>
        <w:tblInd w:w="0" w:type="dxa"/>
        <w:tblLayout w:type="fixed"/>
        <w:tblCellMar>
          <w:top w:w="28" w:type="dxa"/>
          <w:left w:w="28" w:type="dxa"/>
          <w:bottom w:w="28" w:type="dxa"/>
          <w:right w:w="28" w:type="dxa"/>
        </w:tblCellMar>
      </w:tblPr>
      <w:tblGrid>
        <w:gridCol w:w="946"/>
        <w:gridCol w:w="2416"/>
      </w:tblGrid>
      <w:tr>
        <w:trPr/>
        <w:tc>
          <w:tcPr>
            <w:tcW w:w="9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By:</w:t>
            </w:r>
          </w:p>
        </w:tc>
        <w:tc>
          <w:tcPr>
            <w:tcW w:w="2416" w:type="dxa"/>
            <w:tcBorders>
              <w:bottom w:val="single" w:sz="2" w:space="0" w:color="000000"/>
            </w:tcBorders>
            <w:shd w:fill="FFFFFF" w:val="clear"/>
            <w:tcMar>
              <w:top w:w="0" w:type="dxa"/>
              <w:left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/s/ Bruce Culleton</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Name:</w:t>
            </w:r>
          </w:p>
        </w:tc>
        <w:tc>
          <w:tcPr>
            <w:tcW w:w="241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Bruce Culleton, MD</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Position:</w:t>
            </w:r>
          </w:p>
        </w:tc>
        <w:tc>
          <w:tcPr>
            <w:tcW w:w="241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Chief Executive Officer</w:t>
            </w:r>
          </w:p>
        </w:tc>
      </w:tr>
    </w:tbl>
    <w:p>
      <w:pPr>
        <w:pStyle w:val="TextBody"/>
        <w:bidi w:val="0"/>
        <w:jc w:val="left"/>
        <w:rPr/>
      </w:pPr>
      <w:r>
        <w:rPr/>
        <w:t> </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Agreed to and Accepted:</w:t>
      </w:r>
    </w:p>
    <w:tbl>
      <w:tblPr>
        <w:tblW w:w="2657" w:type="dxa"/>
        <w:jc w:val="left"/>
        <w:tblInd w:w="0" w:type="dxa"/>
        <w:tblLayout w:type="fixed"/>
        <w:tblCellMar>
          <w:top w:w="28" w:type="dxa"/>
          <w:left w:w="28" w:type="dxa"/>
          <w:bottom w:w="28" w:type="dxa"/>
          <w:right w:w="28" w:type="dxa"/>
        </w:tblCellMar>
      </w:tblPr>
      <w:tblGrid>
        <w:gridCol w:w="751"/>
        <w:gridCol w:w="1906"/>
      </w:tblGrid>
      <w:tr>
        <w:trPr/>
        <w:tc>
          <w:tcPr>
            <w:tcW w:w="751"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By:</w:t>
            </w:r>
          </w:p>
        </w:tc>
        <w:tc>
          <w:tcPr>
            <w:tcW w:w="1906" w:type="dxa"/>
            <w:tcBorders>
              <w:bottom w:val="single" w:sz="2" w:space="0" w:color="000000"/>
            </w:tcBorders>
            <w:shd w:fill="FFFFFF" w:val="clear"/>
            <w:tcMar>
              <w:top w:w="0" w:type="dxa"/>
              <w:left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/s/ James Coulston</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Name:</w:t>
            </w:r>
          </w:p>
        </w:tc>
        <w:tc>
          <w:tcPr>
            <w:tcW w:w="190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James Coulston</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Date:</w:t>
            </w:r>
          </w:p>
        </w:tc>
        <w:tc>
          <w:tcPr>
            <w:tcW w:w="190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5/12/2025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EXHIBIT A</w:t>
      </w:r>
    </w:p>
    <w:p>
      <w:pPr>
        <w:pStyle w:val="TextBody"/>
        <w:bidi w:val="0"/>
        <w:jc w:val="left"/>
        <w:rPr>
          <w:rFonts w:ascii="Times New Roman" w:hAnsi="Times New Roman"/>
          <w:sz w:val="20"/>
        </w:rPr>
      </w:pPr>
      <w:r>
        <w:rPr>
          <w:rFonts w:ascii="Times New Roman" w:hAnsi="Times New Roman"/>
          <w:color w:val="000000"/>
          <w:sz w:val="24"/>
        </w:rPr>
        <w:t>[</w:t>
      </w:r>
      <w:r>
        <w:rPr>
          <w:rFonts w:ascii="Times New Roman" w:hAnsi="Times New Roman"/>
          <w:b/>
          <w:i/>
          <w:color w:val="000000"/>
          <w:sz w:val="24"/>
          <w:u w:val="single"/>
        </w:rPr>
        <w:t>The language in this Release may change based on legal developments and evolving best</w:t>
      </w:r>
      <w:r>
        <w:rPr>
          <w:rFonts w:ascii="Times New Roman" w:hAnsi="Times New Roman"/>
          <w:color w:val="000000"/>
          <w:sz w:val="20"/>
        </w:rPr>
        <w:t xml:space="preserve"> </w:t>
      </w:r>
      <w:r>
        <w:rPr>
          <w:rFonts w:ascii="Times New Roman" w:hAnsi="Times New Roman"/>
          <w:b/>
          <w:i/>
          <w:color w:val="000000"/>
          <w:sz w:val="24"/>
          <w:u w:val="single"/>
        </w:rPr>
        <w:t>practices; this form is provided as an example of what will be included in the final Release</w:t>
      </w:r>
      <w:r>
        <w:rPr>
          <w:rFonts w:ascii="Times New Roman" w:hAnsi="Times New Roman"/>
          <w:color w:val="000000"/>
          <w:sz w:val="20"/>
        </w:rPr>
        <w:t xml:space="preserve"> </w:t>
      </w:r>
      <w:r>
        <w:rPr>
          <w:rFonts w:ascii="Times New Roman" w:hAnsi="Times New Roman"/>
          <w:b/>
          <w:i/>
          <w:color w:val="000000"/>
          <w:sz w:val="24"/>
          <w:u w:val="single"/>
        </w:rPr>
        <w:t>document.</w:t>
      </w:r>
      <w:r>
        <w:rPr>
          <w:rFonts w:ascii="Times New Roman" w:hAnsi="Times New Roman"/>
          <w:color w:val="000000"/>
          <w:sz w:val="24"/>
        </w:rPr>
        <w:t>]</w:t>
      </w:r>
      <w:r>
        <w:rPr>
          <w:rFonts w:ascii="Times New Roman" w:hAnsi="Times New Roman"/>
          <w:color w:val="000000"/>
          <w:sz w:val="16"/>
        </w:rPr>
        <w:t>1</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GENERAL RELEASE OF ALL CLAIMS</w:t>
      </w:r>
    </w:p>
    <w:p>
      <w:pPr>
        <w:pStyle w:val="TextBody"/>
        <w:bidi w:val="0"/>
        <w:jc w:val="left"/>
        <w:rPr>
          <w:rFonts w:ascii="Times New Roman" w:hAnsi="Times New Roman"/>
          <w:sz w:val="20"/>
        </w:rPr>
      </w:pPr>
      <w:r>
        <w:rPr>
          <w:rFonts w:ascii="Times New Roman" w:hAnsi="Times New Roman"/>
          <w:color w:val="000000"/>
          <w:sz w:val="24"/>
        </w:rPr>
        <w:t>1. For valuable consideration, the adequacy of which is hereby acknowledged, [NAME] (“</w:t>
      </w:r>
      <w:r>
        <w:rPr>
          <w:rFonts w:ascii="Times New Roman" w:hAnsi="Times New Roman"/>
          <w:color w:val="000000"/>
          <w:sz w:val="24"/>
          <w:u w:val="single"/>
        </w:rPr>
        <w:t>Executive</w:t>
      </w:r>
      <w:r>
        <w:rPr>
          <w:rFonts w:ascii="Times New Roman" w:hAnsi="Times New Roman"/>
          <w:color w:val="000000"/>
          <w:sz w:val="20"/>
        </w:rPr>
        <w:t>”</w:t>
      </w:r>
      <w:r>
        <w:rPr>
          <w:rFonts w:ascii="Times New Roman" w:hAnsi="Times New Roman"/>
          <w:color w:val="000000"/>
          <w:sz w:val="24"/>
        </w:rPr>
        <w:t>), for himself, his spouse, heirs, administrators, children, representatives, executors, successors, assigns, trusts for his benefit and all other persons claiming through Executive, if any (collectively, “</w:t>
      </w:r>
      <w:r>
        <w:rPr>
          <w:rFonts w:ascii="Times New Roman" w:hAnsi="Times New Roman"/>
          <w:color w:val="000000"/>
          <w:sz w:val="24"/>
          <w:u w:val="single"/>
        </w:rPr>
        <w:t>Releasers</w:t>
      </w:r>
      <w:r>
        <w:rPr>
          <w:rFonts w:ascii="Times New Roman" w:hAnsi="Times New Roman"/>
          <w:color w:val="000000"/>
          <w:sz w:val="20"/>
        </w:rPr>
        <w:t>”</w:t>
      </w:r>
      <w:r>
        <w:rPr>
          <w:rFonts w:ascii="Times New Roman" w:hAnsi="Times New Roman"/>
          <w:color w:val="000000"/>
          <w:sz w:val="24"/>
        </w:rPr>
        <w:t>), does hereby release, waive, and forever discharge [ProKidney, LLC, a Delaware limited liability company]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ProKidney Corp. and their respective subsidiaries, parents, affiliates, related organizations, and equity holders, and their respective affiliates (including trustees and beneficiaries of trusts that are direct and indirect equity holders), employees, officers, directors, attorneys, successors, and assigns or each of the foregoing (collectively, the “</w:t>
      </w:r>
      <w:r>
        <w:rPr>
          <w:rFonts w:ascii="Times New Roman" w:hAnsi="Times New Roman"/>
          <w:color w:val="000000"/>
          <w:sz w:val="24"/>
          <w:u w:val="single"/>
        </w:rPr>
        <w:t>Releasees</w:t>
      </w:r>
      <w:r>
        <w:rPr>
          <w:rFonts w:ascii="Times New Roman" w:hAnsi="Times New Roman"/>
          <w:color w:val="000000"/>
          <w:sz w:val="20"/>
        </w:rPr>
        <w:t>”</w:t>
      </w:r>
      <w:r>
        <w:rPr>
          <w:rFonts w:ascii="Times New Roman" w:hAnsi="Times New Roman"/>
          <w:color w:val="000000"/>
          <w:sz w:val="24"/>
        </w:rPr>
        <w:t>) from, and does fully waive any obligations or liabilities of Releasees to Releasers of any kind and nature that Releasers had, have, or might claim to have against Releasees at the time Executive executes this General Release for or in respect of any and all liability, actions, charges, causes of action, demands, damages, or claims for relief, remuneration, sums of money, accounts or expenses, and any action arising in tort including libel, slander, defamation or intentional infliction of emotional distress, and claims under any federal, state or local statute including Title VII of the Civil Rights Act of 1964, the Civil Rights Act of 1866 and 1871 (42 U.S.C. § 1981), the Equal Pay Act, Employee Retirement Income Security Act, Family and Medical Leave Act, the National Labor Relations Act, the Fair Labor Standards Act, the Americans with Disabilities Act of 1990, the Age Discrimination in Employment Act of 1967, the Rehabilitation Act of 1973, or the discrimination or employment laws of any state or municipality, and/or any claims under any express or implied contract which Releasers may claim existed with Releasees. This also includes a release by Executive of any claims for breach of contract, wrongful discharge and all claims for alleged physical or personal injury, emotional distress relating to or arising out of Executive’s employment with Company or the termination of that employment; and any claims under the WARN Act or any similar law, which requires, among other things, that advance notice be given of certain work force reductions. This release and waiver does not apply to any claims or rights that may arise after the date Executive signs this General Release. The foregoing release does not apply to (a) any claims or rights for compensation, benefits, indemnification and any other surviving rights now existing under the Employment Letter between the Company and Executive dated as of [●](the “</w:t>
      </w:r>
      <w:r>
        <w:rPr>
          <w:rFonts w:ascii="Times New Roman" w:hAnsi="Times New Roman"/>
          <w:color w:val="000000"/>
          <w:sz w:val="24"/>
          <w:u w:val="single"/>
        </w:rPr>
        <w:t>Employment Letter</w:t>
      </w:r>
      <w:r>
        <w:rPr>
          <w:rFonts w:ascii="Times New Roman" w:hAnsi="Times New Roman"/>
          <w:color w:val="000000"/>
          <w:sz w:val="20"/>
        </w:rPr>
        <w:t>”</w:t>
      </w:r>
      <w:r>
        <w:rPr>
          <w:rFonts w:ascii="Times New Roman" w:hAnsi="Times New Roman"/>
          <w:color w:val="000000"/>
          <w:sz w:val="24"/>
        </w:rPr>
        <w:t>), the organizational documents of the Company or any of its affiliates or any other agreement providing for indemnification regardless of when any claim is filed, (b) any claims or rights under directors and officers liability insurance, (c) any claims or rights accruing to any Releaser in its capacity as an equity holder of ProKidney Corp. or any of its subsidiaries, (d) any claims for vested benefits under an employee benefit plan in which Executive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color w:val="000000"/>
          <w:sz w:val="24"/>
        </w:rPr>
      </w:pPr>
      <w:r>
        <w:rPr>
          <w:rFonts w:ascii="Times New Roman" w:hAnsi="Times New Roman"/>
          <w:color w:val="000000"/>
          <w:sz w:val="24"/>
        </w:rPr>
        <w:t>participated during his employment; and (e) any claims that cannot be waived as a matter of law, including unemployment insurance and workers’ compensation insurance..</w:t>
      </w:r>
    </w:p>
    <w:p>
      <w:pPr>
        <w:pStyle w:val="TextBody"/>
        <w:bidi w:val="0"/>
        <w:jc w:val="left"/>
        <w:rPr>
          <w:rFonts w:ascii="Times New Roman" w:hAnsi="Times New Roman"/>
          <w:color w:val="000000"/>
          <w:sz w:val="24"/>
        </w:rPr>
      </w:pPr>
      <w:r>
        <w:rPr>
          <w:rFonts w:ascii="Times New Roman" w:hAnsi="Times New Roman"/>
          <w:color w:val="000000"/>
          <w:sz w:val="24"/>
        </w:rPr>
        <w:t>2. Excluded from this release and waiver are any claims which cannot be waived by law, including but not limited to the right to participate in an investigation conducted by certain</w:t>
      </w:r>
    </w:p>
    <w:p>
      <w:pPr>
        <w:pStyle w:val="TextBody"/>
        <w:bidi w:val="0"/>
        <w:jc w:val="left"/>
        <w:rPr>
          <w:rFonts w:ascii="Times New Roman" w:hAnsi="Times New Roman"/>
          <w:color w:val="000000"/>
          <w:sz w:val="24"/>
        </w:rPr>
      </w:pPr>
      <w:r>
        <w:rPr>
          <w:rFonts w:ascii="Times New Roman" w:hAnsi="Times New Roman"/>
          <w:color w:val="000000"/>
          <w:sz w:val="24"/>
        </w:rPr>
        <w:t>government agencies. Executive does, however, waive Executive’s right to any monetary recovery should any agency (such as the Equal Employment Opportunity Commission) pursue any claims on Executive’s behalf. Executive represents and warrants that Executive has not filed any complaint, charge, or lawsuit against the Releasees with any government agency or any court.</w:t>
      </w:r>
    </w:p>
    <w:p>
      <w:pPr>
        <w:pStyle w:val="TextBody"/>
        <w:bidi w:val="0"/>
        <w:jc w:val="left"/>
        <w:rPr>
          <w:rFonts w:ascii="Times New Roman" w:hAnsi="Times New Roman"/>
          <w:color w:val="000000"/>
          <w:sz w:val="24"/>
        </w:rPr>
      </w:pPr>
      <w:r>
        <w:rPr>
          <w:rFonts w:ascii="Times New Roman" w:hAnsi="Times New Roman"/>
          <w:color w:val="000000"/>
          <w:sz w:val="24"/>
        </w:rPr>
        <w:t>3. Executive agrees never to sue Releasees in any forum for any claim covered by the above waiver and release language. If Executive violates this General Release by suing Releasees, other than as set forth in Section 1 hereof, Executive shall be liable to the Company for its reasonable attorneys’ fees and other litigation costs incurred in defending against such a suit. Executive represents and warrants that he has not assigned or transferred, in any manner, including by subrogation or operation of law, any portion of any claim, action, complaint, charge or suit encompassed by the releases set forth in this General Release.</w:t>
      </w:r>
    </w:p>
    <w:p>
      <w:pPr>
        <w:pStyle w:val="TextBody"/>
        <w:bidi w:val="0"/>
        <w:jc w:val="left"/>
        <w:rPr>
          <w:rFonts w:ascii="Times New Roman" w:hAnsi="Times New Roman"/>
          <w:color w:val="000000"/>
          <w:sz w:val="24"/>
        </w:rPr>
      </w:pPr>
      <w:r>
        <w:rPr>
          <w:rFonts w:ascii="Times New Roman" w:hAnsi="Times New Roman"/>
          <w:color w:val="000000"/>
          <w:sz w:val="24"/>
        </w:rPr>
        <w:t>4. Executive acknowledges and recites that:</w:t>
      </w:r>
    </w:p>
    <w:p>
      <w:pPr>
        <w:pStyle w:val="TextBody"/>
        <w:bidi w:val="0"/>
        <w:jc w:val="left"/>
        <w:rPr>
          <w:rFonts w:ascii="Times New Roman" w:hAnsi="Times New Roman"/>
          <w:color w:val="000000"/>
          <w:sz w:val="24"/>
        </w:rPr>
      </w:pPr>
      <w:r>
        <w:rPr>
          <w:rFonts w:ascii="Times New Roman" w:hAnsi="Times New Roman"/>
          <w:color w:val="000000"/>
          <w:sz w:val="24"/>
        </w:rPr>
        <w:t>(a) Executive has executed this General Release knowingly and voluntarily;</w:t>
      </w:r>
    </w:p>
    <w:p>
      <w:pPr>
        <w:pStyle w:val="TextBody"/>
        <w:bidi w:val="0"/>
        <w:jc w:val="left"/>
        <w:rPr>
          <w:rFonts w:ascii="Times New Roman" w:hAnsi="Times New Roman"/>
          <w:color w:val="000000"/>
          <w:sz w:val="24"/>
        </w:rPr>
      </w:pPr>
      <w:r>
        <w:rPr>
          <w:rFonts w:ascii="Times New Roman" w:hAnsi="Times New Roman"/>
          <w:color w:val="000000"/>
          <w:sz w:val="24"/>
        </w:rPr>
        <w:t>(b) Executive has read and understands this General Release in its entirety;</w:t>
      </w:r>
    </w:p>
    <w:p>
      <w:pPr>
        <w:pStyle w:val="TextBody"/>
        <w:bidi w:val="0"/>
        <w:jc w:val="left"/>
        <w:rPr>
          <w:rFonts w:ascii="Times New Roman" w:hAnsi="Times New Roman"/>
          <w:color w:val="000000"/>
          <w:sz w:val="24"/>
        </w:rPr>
      </w:pPr>
      <w:r>
        <w:rPr>
          <w:rFonts w:ascii="Times New Roman" w:hAnsi="Times New Roman"/>
          <w:color w:val="000000"/>
          <w:sz w:val="24"/>
        </w:rPr>
        <w:t>(c) Executive has been advised and directed orally and in writing (and this subsection (c) constitutes such written direction) to seek legal counsel and any other advice he wishes with respect to the terms of this General Release before executing it;</w:t>
      </w:r>
    </w:p>
    <w:p>
      <w:pPr>
        <w:pStyle w:val="TextBody"/>
        <w:bidi w:val="0"/>
        <w:jc w:val="left"/>
        <w:rPr>
          <w:rFonts w:ascii="Times New Roman" w:hAnsi="Times New Roman"/>
          <w:color w:val="000000"/>
          <w:sz w:val="24"/>
        </w:rPr>
      </w:pPr>
      <w:r>
        <w:rPr>
          <w:rFonts w:ascii="Times New Roman" w:hAnsi="Times New Roman"/>
          <w:color w:val="000000"/>
          <w:sz w:val="24"/>
        </w:rPr>
        <w:t>(d) Executive’s execution of this General Release has not been forced by any employee or agent of the Company, and Executive has had an opportunity to negotiate about the terms of this General Release;</w:t>
      </w:r>
    </w:p>
    <w:p>
      <w:pPr>
        <w:pStyle w:val="TextBody"/>
        <w:bidi w:val="0"/>
        <w:jc w:val="left"/>
        <w:rPr>
          <w:rFonts w:ascii="Times New Roman" w:hAnsi="Times New Roman"/>
          <w:color w:val="000000"/>
          <w:sz w:val="24"/>
        </w:rPr>
      </w:pPr>
      <w:r>
        <w:rPr>
          <w:rFonts w:ascii="Times New Roman" w:hAnsi="Times New Roman"/>
          <w:color w:val="000000"/>
          <w:sz w:val="24"/>
        </w:rPr>
        <w:t>(e) Executive has been given at least twenty-one (21) days to consider this General Release, and if executed prior to the expiration of the twenty-one (21) day period, such execution is knowing and voluntary; and</w:t>
      </w:r>
    </w:p>
    <w:p>
      <w:pPr>
        <w:pStyle w:val="TextBody"/>
        <w:bidi w:val="0"/>
        <w:jc w:val="left"/>
        <w:rPr>
          <w:rFonts w:ascii="Times New Roman" w:hAnsi="Times New Roman"/>
          <w:color w:val="000000"/>
          <w:sz w:val="24"/>
        </w:rPr>
      </w:pPr>
      <w:r>
        <w:rPr>
          <w:rFonts w:ascii="Times New Roman" w:hAnsi="Times New Roman"/>
          <w:color w:val="000000"/>
          <w:sz w:val="24"/>
        </w:rPr>
        <w:t>(f) The additional benefits and other promises that Executive is to receive under the Employment Letter are sufficient consideration for this General Release.</w:t>
      </w:r>
    </w:p>
    <w:p>
      <w:pPr>
        <w:pStyle w:val="TextBody"/>
        <w:bidi w:val="0"/>
        <w:jc w:val="left"/>
        <w:rPr>
          <w:rFonts w:ascii="Times New Roman" w:hAnsi="Times New Roman"/>
          <w:color w:val="000000"/>
          <w:sz w:val="24"/>
        </w:rPr>
      </w:pPr>
      <w:r>
        <w:rPr>
          <w:rFonts w:ascii="Times New Roman" w:hAnsi="Times New Roman"/>
          <w:color w:val="000000"/>
          <w:sz w:val="24"/>
        </w:rPr>
        <w:t>5. This General Release shall be governed by the internal laws (and not the choice of laws) of the State of Delaware, except for the application of pre-emptive Federal law.</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color w:val="000000"/>
          <w:sz w:val="24"/>
        </w:rPr>
      </w:pPr>
      <w:r>
        <w:rPr>
          <w:rFonts w:ascii="Times New Roman" w:hAnsi="Times New Roman"/>
          <w:color w:val="000000"/>
          <w:sz w:val="24"/>
        </w:rPr>
        <w:t>6. The parties hereby agree that any suit, action or proceeding seeking to enforce any provision of, or based on any matter arising out of or in connection with, this General Release shall only be brought in the Chancery Court of the State of Delaware (or other appropriate state court in the State of Delaware) or the Federal courts located in the State of Delaware and not in any other State or Federal courts located in the United States of America or any court in any other country, and each of the parties hereby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which is brought in any such court has been brought in an inconvenient form. The parties hereby agree that process in any such suit, action or proceeding may be served on either party anywhere in the world, whether within or without the jurisdiction of any such court. EACH OF THE PARTIES HERETO HEREBY IRREVOCABLY WAIVES ANY AND ALL RIGHTS TO TRIAL BY JURY IN ANY LEGAL PROCEEDING ARISING OUT OF OR RELATED TO THIS AGREEMENT OR THE TRANSACTIONS CONTEMPLATED HEREBY..</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7. Executive may revoke this General Release within seven (7) calendar days after signing it. To be effective, such revocation must be made in writing to the Board of Directors of ProKidney Corp., with a copy received at 2000 Frontis Plaza Blvd., Ste. 250 Winston-Salem, NC 27103, Attention: Todd Girolamo. Revocation can be made by hand delivery, telegram, facsimile, or postmarking before the expiration of this seven (7) day period. None of the obligations of the Company under the Employment Letter shall be effective in the event that Executive revokes this General Release pursuant to this Section 7.</w:t>
      </w:r>
    </w:p>
    <w:p>
      <w:pPr>
        <w:pStyle w:val="TextBody"/>
        <w:bidi w:val="0"/>
        <w:jc w:val="left"/>
        <w:rPr/>
      </w:pPr>
      <w:r>
        <w:rPr/>
        <w:t> </w:t>
      </w:r>
    </w:p>
    <w:p>
      <w:pPr>
        <w:pStyle w:val="TextBody"/>
        <w:pBdr>
          <w:bottom w:val="single" w:sz="8" w:space="1" w:color="000000"/>
        </w:pBdr>
        <w:bidi w:val="0"/>
        <w:jc w:val="left"/>
        <w:rPr/>
      </w:pPr>
      <w:r>
        <w:rPr/>
        <w:t> </w:t>
      </w:r>
    </w:p>
    <w:p>
      <w:pPr>
        <w:pStyle w:val="TextBody"/>
        <w:bidi w:val="0"/>
        <w:jc w:val="left"/>
        <w:rPr/>
      </w:pPr>
      <w:r>
        <w:rPr/>
        <w:t> </w:t>
      </w:r>
    </w:p>
    <w:p>
      <w:pPr>
        <w:pStyle w:val="TextBody"/>
        <w:bidi w:val="0"/>
        <w:jc w:val="left"/>
        <w:rPr>
          <w:rFonts w:ascii="Times New Roman" w:hAnsi="Times New Roman"/>
          <w:i/>
          <w:color w:val="000000"/>
          <w:sz w:val="24"/>
        </w:rPr>
      </w:pPr>
      <w:r>
        <w:rPr>
          <w:rFonts w:ascii="Times New Roman" w:hAnsi="Times New Roman"/>
          <w:i/>
          <w:color w:val="000000"/>
          <w:sz w:val="24"/>
        </w:rPr>
        <w:t>(Signature page follows)</w:t>
      </w:r>
    </w:p>
    <w:p>
      <w:pPr>
        <w:pStyle w:val="TextBody"/>
        <w:pBdr>
          <w:bottom w:val="single" w:sz="8" w:space="1" w:color="000000"/>
        </w:pBdr>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PLEASE READ THIS AGREEMENT CAREFULLY. IT CONTAINS A RELEASE OF ALL KNOWN AND UNKNOWN CLAIMS.</w:t>
      </w:r>
    </w:p>
    <w:p>
      <w:pPr>
        <w:pStyle w:val="TextBody"/>
        <w:bidi w:val="0"/>
        <w:jc w:val="left"/>
        <w:rPr>
          <w:rFonts w:ascii="Times New Roman" w:hAnsi="Times New Roman"/>
          <w:sz w:val="20"/>
        </w:rPr>
      </w:pPr>
      <w:r>
        <w:rPr>
          <w:rFonts w:ascii="Times New Roman" w:hAnsi="Times New Roman"/>
          <w:color w:val="000000"/>
          <w:sz w:val="24"/>
        </w:rPr>
        <w:t>Date: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Executive:</w:t>
      </w:r>
      <w:r>
        <w:rPr>
          <w:rFonts w:ascii="Times New Roman" w:hAnsi="Times New Roman"/>
          <w:color w:val="000000"/>
          <w:sz w:val="20"/>
        </w:rPr>
        <w:t xml:space="preserve"> </w:t>
      </w:r>
    </w:p>
    <w:p>
      <w:pPr>
        <w:pStyle w:val="TextBody"/>
        <w:pBdr>
          <w:bottom w:val="single" w:sz="8"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37" w:name="prok-ex10_10.htm"/>
      <w:bookmarkStart w:id="38" w:name="ksprokex10_10"/>
      <w:bookmarkEnd w:id="37"/>
      <w:bookmarkEnd w:id="38"/>
      <w:r>
        <w:rPr>
          <w:rFonts w:ascii="Times New Roman" w:hAnsi="Times New Roman"/>
          <w:b/>
          <w:color w:val="000000"/>
          <w:sz w:val="22"/>
        </w:rPr>
        <w:t>Exhibit 10.10</w:t>
      </w:r>
      <w:r>
        <w:br w:type="page"/>
      </w:r>
    </w:p>
    <w:p>
      <w:pPr>
        <w:pStyle w:val="TextBody"/>
        <w:bidi w:val="0"/>
        <w:jc w:val="left"/>
        <w:rPr>
          <w:rFonts w:ascii="Times New Roman" w:hAnsi="Times New Roman"/>
          <w:color w:val="000000"/>
          <w:sz w:val="24"/>
        </w:rPr>
      </w:pPr>
      <w:r>
        <w:rPr>
          <w:rFonts w:ascii="Times New Roman" w:hAnsi="Times New Roman"/>
          <w:color w:val="000000"/>
          <w:sz w:val="24"/>
        </w:rPr>
        <w:t>May 9, 2025</w:t>
      </w:r>
    </w:p>
    <w:p>
      <w:pPr>
        <w:pStyle w:val="TextBody"/>
        <w:bidi w:val="0"/>
        <w:jc w:val="left"/>
        <w:rPr>
          <w:rFonts w:ascii="Times New Roman" w:hAnsi="Times New Roman"/>
          <w:color w:val="000000"/>
          <w:sz w:val="24"/>
        </w:rPr>
      </w:pPr>
      <w:r>
        <w:rPr>
          <w:rFonts w:ascii="Times New Roman" w:hAnsi="Times New Roman"/>
          <w:color w:val="000000"/>
          <w:sz w:val="24"/>
        </w:rPr>
        <w:t>Todd Girolamo</w:t>
      </w:r>
    </w:p>
    <w:p>
      <w:pPr>
        <w:pStyle w:val="TextBody"/>
        <w:bidi w:val="0"/>
        <w:jc w:val="left"/>
        <w:rPr>
          <w:rFonts w:ascii="Times New Roman" w:hAnsi="Times New Roman"/>
          <w:color w:val="000000"/>
          <w:sz w:val="24"/>
        </w:rPr>
      </w:pPr>
      <w:r>
        <w:rPr>
          <w:rFonts w:ascii="Times New Roman" w:hAnsi="Times New Roman"/>
          <w:color w:val="000000"/>
          <w:sz w:val="24"/>
        </w:rPr>
        <w:t>8 Lauren Ln</w:t>
      </w:r>
    </w:p>
    <w:p>
      <w:pPr>
        <w:pStyle w:val="TextBody"/>
        <w:bidi w:val="0"/>
        <w:jc w:val="left"/>
        <w:rPr>
          <w:rFonts w:ascii="Times New Roman" w:hAnsi="Times New Roman"/>
          <w:color w:val="000000"/>
          <w:sz w:val="24"/>
        </w:rPr>
      </w:pPr>
      <w:r>
        <w:rPr>
          <w:rFonts w:ascii="Times New Roman" w:hAnsi="Times New Roman"/>
          <w:color w:val="000000"/>
          <w:sz w:val="24"/>
        </w:rPr>
        <w:t>Bayville, NY 11709-1309</w:t>
      </w:r>
    </w:p>
    <w:p>
      <w:pPr>
        <w:pStyle w:val="TextBody"/>
        <w:bidi w:val="0"/>
        <w:jc w:val="left"/>
        <w:rPr>
          <w:rFonts w:ascii="Times New Roman" w:hAnsi="Times New Roman"/>
          <w:color w:val="000000"/>
          <w:sz w:val="24"/>
        </w:rPr>
      </w:pPr>
      <w:r>
        <w:rPr>
          <w:rFonts w:ascii="Times New Roman" w:hAnsi="Times New Roman"/>
          <w:color w:val="000000"/>
          <w:sz w:val="24"/>
        </w:rPr>
        <w:t>Dear Todd:</w:t>
      </w:r>
    </w:p>
    <w:p>
      <w:pPr>
        <w:pStyle w:val="TextBody"/>
        <w:bidi w:val="0"/>
        <w:spacing w:before="0" w:after="0"/>
        <w:jc w:val="left"/>
        <w:rPr>
          <w:rFonts w:ascii="Cambria" w:hAnsi="Cambria"/>
          <w:b/>
          <w:color w:val="000000"/>
          <w:sz w:val="24"/>
        </w:rPr>
      </w:pPr>
      <w:r>
        <w:rPr>
          <w:rFonts w:ascii="Cambria" w:hAnsi="Cambria"/>
          <w:b/>
          <w:color w:val="000000"/>
          <w:sz w:val="24"/>
        </w:rPr>
        <w:t>1.</w:t>
      </w:r>
    </w:p>
    <w:p>
      <w:pPr>
        <w:pStyle w:val="TextBody"/>
        <w:bidi w:val="0"/>
        <w:jc w:val="left"/>
        <w:rPr/>
      </w:pPr>
      <w:r>
        <w:rPr>
          <w:rFonts w:ascii="Times New Roman" w:hAnsi="Times New Roman"/>
          <w:color w:val="000000"/>
          <w:sz w:val="24"/>
        </w:rPr>
        <w:t>This letter agreement (this “</w:t>
      </w:r>
      <w:r>
        <w:rPr>
          <w:rFonts w:ascii="Times New Roman" w:hAnsi="Times New Roman"/>
          <w:color w:val="000000"/>
          <w:sz w:val="24"/>
          <w:u w:val="single"/>
        </w:rPr>
        <w:t>Agreement</w:t>
      </w:r>
      <w:r>
        <w:rPr>
          <w:color w:val="000000"/>
        </w:rPr>
        <w:t>”</w:t>
      </w:r>
      <w:r>
        <w:rPr>
          <w:rFonts w:ascii="Times New Roman" w:hAnsi="Times New Roman"/>
          <w:color w:val="000000"/>
          <w:sz w:val="24"/>
        </w:rPr>
        <w:t>) sets forth the terms and conditions of your</w:t>
      </w:r>
    </w:p>
    <w:p>
      <w:pPr>
        <w:pStyle w:val="TextBody"/>
        <w:bidi w:val="0"/>
        <w:jc w:val="left"/>
        <w:rPr>
          <w:rFonts w:ascii="Times New Roman" w:hAnsi="Times New Roman"/>
          <w:sz w:val="20"/>
        </w:rPr>
      </w:pPr>
      <w:r>
        <w:rPr>
          <w:rFonts w:ascii="Times New Roman" w:hAnsi="Times New Roman"/>
          <w:color w:val="000000"/>
          <w:sz w:val="24"/>
        </w:rPr>
        <w:t>continued employment with ProKidney, LLC, a Delaware limited liability company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as of May 9, 2025 (the “</w:t>
      </w:r>
      <w:r>
        <w:rPr>
          <w:rFonts w:ascii="Times New Roman" w:hAnsi="Times New Roman"/>
          <w:color w:val="000000"/>
          <w:sz w:val="24"/>
          <w:u w:val="single"/>
        </w:rPr>
        <w:t>Effective Date</w:t>
      </w:r>
      <w:r>
        <w:rPr>
          <w:rFonts w:ascii="Times New Roman" w:hAnsi="Times New Roman"/>
          <w:color w:val="000000"/>
          <w:sz w:val="20"/>
        </w:rPr>
        <w:t>”</w:t>
      </w:r>
      <w:r>
        <w:rPr>
          <w:rFonts w:ascii="Times New Roman" w:hAnsi="Times New Roman"/>
          <w:color w:val="000000"/>
          <w:sz w:val="24"/>
        </w:rPr>
        <w:t>). The period during which you are employed by the Company pursuant to this Agreement shall be referred to as the “</w:t>
      </w:r>
      <w:r>
        <w:rPr>
          <w:rFonts w:ascii="Times New Roman" w:hAnsi="Times New Roman"/>
          <w:color w:val="000000"/>
          <w:sz w:val="24"/>
          <w:u w:val="single"/>
        </w:rPr>
        <w:t>Term</w:t>
      </w:r>
      <w:r>
        <w:rPr>
          <w:rFonts w:ascii="Times New Roman" w:hAnsi="Times New Roman"/>
          <w:color w:val="000000"/>
          <w:sz w:val="24"/>
        </w:rPr>
        <w: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This Agreement will govern your employment with the Company following the Effective Date on the following terms and conditions:</w:t>
      </w:r>
    </w:p>
    <w:p>
      <w:pPr>
        <w:pStyle w:val="TextBody"/>
        <w:bidi w:val="0"/>
        <w:jc w:val="left"/>
        <w:rPr>
          <w:rFonts w:ascii="Times New Roman" w:hAnsi="Times New Roman"/>
          <w:sz w:val="20"/>
        </w:rPr>
      </w:pPr>
      <w:r>
        <w:rPr>
          <w:rFonts w:ascii="Times New Roman" w:hAnsi="Times New Roman"/>
          <w:b/>
          <w:color w:val="000000"/>
          <w:sz w:val="24"/>
        </w:rPr>
        <w:t xml:space="preserve">Position: </w:t>
      </w:r>
      <w:r>
        <w:rPr>
          <w:rFonts w:ascii="Times New Roman" w:hAnsi="Times New Roman"/>
          <w:color w:val="000000"/>
          <w:sz w:val="24"/>
        </w:rPr>
        <w:t>Chief Legal Officer &amp; Corporate Secretary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 xml:space="preserve">Reporting: </w:t>
      </w:r>
      <w:r>
        <w:rPr>
          <w:rFonts w:ascii="Times New Roman" w:hAnsi="Times New Roman"/>
          <w:color w:val="000000"/>
          <w:sz w:val="24"/>
        </w:rPr>
        <w:t>You will report directly to the Chief Executive Officer (“Supervisor”).</w:t>
      </w:r>
    </w:p>
    <w:p>
      <w:pPr>
        <w:pStyle w:val="TextBody"/>
        <w:bidi w:val="0"/>
        <w:jc w:val="left"/>
        <w:rPr>
          <w:rFonts w:ascii="Times New Roman" w:hAnsi="Times New Roman"/>
          <w:sz w:val="20"/>
        </w:rPr>
      </w:pPr>
      <w:r>
        <w:rPr>
          <w:rFonts w:ascii="Times New Roman" w:hAnsi="Times New Roman"/>
          <w:b/>
          <w:color w:val="000000"/>
          <w:sz w:val="24"/>
        </w:rPr>
        <w:t xml:space="preserve">Duties and Commitment: </w:t>
      </w:r>
      <w:r>
        <w:rPr>
          <w:rFonts w:ascii="Times New Roman" w:hAnsi="Times New Roman"/>
          <w:color w:val="000000"/>
          <w:sz w:val="24"/>
        </w:rPr>
        <w:t>You shall be employed by the Company on a full-time basis and shall perform such duties and responsibilities on behalf of the Company and its subsidiaries and affiliates (collectively, the “</w:t>
      </w:r>
      <w:r>
        <w:rPr>
          <w:rFonts w:ascii="Times New Roman" w:hAnsi="Times New Roman"/>
          <w:color w:val="000000"/>
          <w:sz w:val="24"/>
          <w:u w:val="single"/>
        </w:rPr>
        <w:t>Company Group</w:t>
      </w:r>
      <w:r>
        <w:rPr>
          <w:rFonts w:ascii="Times New Roman" w:hAnsi="Times New Roman"/>
          <w:color w:val="000000"/>
          <w:sz w:val="20"/>
        </w:rPr>
        <w:t>”</w:t>
      </w:r>
      <w:r>
        <w:rPr>
          <w:rFonts w:ascii="Times New Roman" w:hAnsi="Times New Roman"/>
          <w:color w:val="000000"/>
          <w:sz w:val="24"/>
        </w:rPr>
        <w:t>) as are consistent with your position, and such additional duties and responsibilities on behalf of the Company Group, as may be designated from time to time by the Supervisor.</w:t>
      </w:r>
    </w:p>
    <w:p>
      <w:pPr>
        <w:pStyle w:val="TextBody"/>
        <w:bidi w:val="0"/>
        <w:jc w:val="left"/>
        <w:rPr>
          <w:rFonts w:ascii="Times New Roman" w:hAnsi="Times New Roman"/>
          <w:sz w:val="20"/>
        </w:rPr>
      </w:pPr>
      <w:r>
        <w:rPr>
          <w:rFonts w:ascii="Times New Roman" w:hAnsi="Times New Roman"/>
          <w:color w:val="000000"/>
          <w:sz w:val="24"/>
        </w:rPr>
        <w:t>You will be required to devote all of your business time to the business and affairs of the Company Group and to the promotion of its interests. Notwithstanding the foregoing, you may engage in other activities, such as personal investments and civic and charitable activities, so long as: (i) such activities do not interfere with your duties and obligations hereunder and (ii) such activities are disclosed in advance to the Board of Directors (the “</w:t>
      </w:r>
      <w:r>
        <w:rPr>
          <w:rFonts w:ascii="Times New Roman" w:hAnsi="Times New Roman"/>
          <w:color w:val="000000"/>
          <w:sz w:val="24"/>
          <w:u w:val="single"/>
        </w:rPr>
        <w:t>Board</w:t>
      </w:r>
      <w:r>
        <w:rPr>
          <w:rFonts w:ascii="Times New Roman" w:hAnsi="Times New Roman"/>
          <w:color w:val="000000"/>
          <w:sz w:val="20"/>
        </w:rPr>
        <w:t>”</w:t>
      </w:r>
      <w:r>
        <w:rPr>
          <w:rFonts w:ascii="Times New Roman" w:hAnsi="Times New Roman"/>
          <w:color w:val="000000"/>
          <w:sz w:val="24"/>
        </w:rPr>
        <w:t>) of ProKidney Corp. (“</w:t>
      </w:r>
      <w:r>
        <w:rPr>
          <w:rFonts w:ascii="Times New Roman" w:hAnsi="Times New Roman"/>
          <w:color w:val="000000"/>
          <w:sz w:val="24"/>
          <w:u w:val="single"/>
        </w:rPr>
        <w:t>Parent</w:t>
      </w:r>
      <w:r>
        <w:rPr>
          <w:rFonts w:ascii="Times New Roman" w:hAnsi="Times New Roman"/>
          <w:color w:val="000000"/>
          <w:sz w:val="20"/>
        </w:rPr>
        <w:t>”</w:t>
      </w:r>
      <w:r>
        <w:rPr>
          <w:rFonts w:ascii="Times New Roman" w:hAnsi="Times New Roman"/>
          <w:color w:val="000000"/>
          <w:sz w:val="24"/>
        </w:rPr>
        <w:t>)). In addition, you shall be permitted to serve as a director on any other company’s board of directors subject to the prior consent of the Board (which will not be unreasonably withheld).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 xml:space="preserve">Base Salary: </w:t>
      </w:r>
      <w:r>
        <w:rPr>
          <w:rFonts w:ascii="Times New Roman" w:hAnsi="Times New Roman"/>
          <w:color w:val="000000"/>
          <w:sz w:val="24"/>
        </w:rPr>
        <w:t>During the Term, your annual base salary will be $450,000.00 per year and will be payable in accordance with the Company’s normal payroll practices, less the applicable taxes and elective withholdings. Your base salary may be increased, but not decreased, as determined by the Board or the Compensation Committee of the Board (the “</w:t>
      </w:r>
      <w:r>
        <w:rPr>
          <w:rFonts w:ascii="Times New Roman" w:hAnsi="Times New Roman"/>
          <w:color w:val="000000"/>
          <w:sz w:val="24"/>
          <w:u w:val="single"/>
        </w:rPr>
        <w:t>Compensation Committee</w:t>
      </w:r>
      <w:r>
        <w:rPr>
          <w:rFonts w:ascii="Times New Roman" w:hAnsi="Times New Roman"/>
          <w:color w:val="000000"/>
          <w:sz w:val="20"/>
        </w:rPr>
        <w:t>”</w:t>
      </w:r>
      <w:r>
        <w:rPr>
          <w:rFonts w:ascii="Times New Roman" w:hAnsi="Times New Roman"/>
          <w:color w:val="000000"/>
          <w:sz w:val="24"/>
        </w:rPr>
        <w:t>).</w:t>
      </w:r>
    </w:p>
    <w:p>
      <w:pPr>
        <w:pStyle w:val="TextBody"/>
        <w:bidi w:val="0"/>
        <w:jc w:val="left"/>
        <w:rPr>
          <w:rFonts w:ascii="Times New Roman" w:hAnsi="Times New Roman"/>
          <w:sz w:val="20"/>
        </w:rPr>
      </w:pPr>
      <w:r>
        <w:rPr>
          <w:rFonts w:ascii="Times New Roman" w:hAnsi="Times New Roman"/>
          <w:b/>
          <w:color w:val="000000"/>
          <w:sz w:val="24"/>
        </w:rPr>
        <w:t xml:space="preserve">Incentive Bonus Eligibility: </w:t>
      </w:r>
      <w:r>
        <w:rPr>
          <w:rFonts w:ascii="Times New Roman" w:hAnsi="Times New Roman"/>
          <w:color w:val="000000"/>
          <w:sz w:val="24"/>
        </w:rPr>
        <w:t>During the Term, you will be eligible for an annual cash bonus pursuant to the Company’s annual cash bonus program based on the achievement of performance criteria established by the Compensation Committee for the applicable fiscal year, which may be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corporate goals and/or individual criteria. Your initial target bonus will be in an amount equal to 45% of your base salary (“</w:t>
      </w:r>
      <w:r>
        <w:rPr>
          <w:rFonts w:ascii="Times New Roman" w:hAnsi="Times New Roman"/>
          <w:color w:val="000000"/>
          <w:sz w:val="24"/>
          <w:u w:val="single"/>
        </w:rPr>
        <w:t>Target Bonus</w:t>
      </w:r>
      <w:r>
        <w:rPr>
          <w:rFonts w:ascii="Times New Roman" w:hAnsi="Times New Roman"/>
          <w:color w:val="000000"/>
          <w:sz w:val="20"/>
        </w:rPr>
        <w:t>”</w:t>
      </w:r>
      <w:r>
        <w:rPr>
          <w:rFonts w:ascii="Times New Roman" w:hAnsi="Times New Roman"/>
          <w:color w:val="000000"/>
          <w:sz w:val="24"/>
        </w:rPr>
        <w:t>). The actual amount of any bonus earned shall be determined by the Compensation Committee in its sole discretion after the end of the applicable fiscal year.</w:t>
      </w:r>
    </w:p>
    <w:p>
      <w:pPr>
        <w:pStyle w:val="TextBody"/>
        <w:bidi w:val="0"/>
        <w:jc w:val="left"/>
        <w:rPr>
          <w:rFonts w:ascii="Times New Roman" w:hAnsi="Times New Roman"/>
          <w:color w:val="000000"/>
          <w:sz w:val="24"/>
        </w:rPr>
      </w:pPr>
      <w:r>
        <w:rPr>
          <w:rFonts w:ascii="Times New Roman" w:hAnsi="Times New Roman"/>
          <w:color w:val="000000"/>
          <w:sz w:val="24"/>
        </w:rPr>
        <w:t>Except as otherwise provided herein, the Company will pay any bonus earned for a fiscal year in the year following the year to which the bonus relates, and generally before the end of the first quarter of that year. You will be entitled to receive any earned bonus for a fiscal year of the Company if you are employed on the payment date for such bonus.</w:t>
      </w:r>
    </w:p>
    <w:p>
      <w:pPr>
        <w:pStyle w:val="TextBody"/>
        <w:bidi w:val="0"/>
        <w:jc w:val="left"/>
        <w:rPr>
          <w:rFonts w:ascii="Times New Roman" w:hAnsi="Times New Roman"/>
          <w:sz w:val="20"/>
        </w:rPr>
      </w:pPr>
      <w:r>
        <w:rPr>
          <w:rFonts w:ascii="Times New Roman" w:hAnsi="Times New Roman"/>
          <w:b/>
          <w:color w:val="000000"/>
          <w:sz w:val="24"/>
        </w:rPr>
        <w:t>Long-Term Incentive:</w:t>
      </w:r>
      <w:r>
        <w:rPr>
          <w:rFonts w:ascii="Times New Roman" w:hAnsi="Times New Roman"/>
          <w:color w:val="000000"/>
          <w:sz w:val="20"/>
        </w:rPr>
        <w:t xml:space="preserve"> </w:t>
      </w:r>
      <w:r>
        <w:rPr>
          <w:rFonts w:ascii="Times New Roman" w:hAnsi="Times New Roman"/>
          <w:color w:val="000000"/>
          <w:sz w:val="24"/>
        </w:rPr>
        <w:t>You will be eligible to receive long-term incentive awards pursuant to the terms of the ProKidney Corp. 2022 Incentive Equity Plan (the “Incentive Equity Plan”) (or any successor plan thereto). Long-term incentive awards will be granted at the discretion of the Compensation Committee and in accordance with market guidelines for your role as approved by the Compensation Committee.</w:t>
      </w:r>
    </w:p>
    <w:p>
      <w:pPr>
        <w:pStyle w:val="TextBody"/>
        <w:bidi w:val="0"/>
        <w:jc w:val="left"/>
        <w:rPr>
          <w:rFonts w:ascii="Times New Roman" w:hAnsi="Times New Roman"/>
          <w:sz w:val="20"/>
        </w:rPr>
      </w:pPr>
      <w:r>
        <w:rPr>
          <w:rFonts w:ascii="Times New Roman" w:hAnsi="Times New Roman"/>
          <w:b/>
          <w:color w:val="000000"/>
          <w:sz w:val="24"/>
        </w:rPr>
        <w:t xml:space="preserve">Benefits: </w:t>
      </w:r>
      <w:r>
        <w:rPr>
          <w:rFonts w:ascii="Times New Roman" w:hAnsi="Times New Roman"/>
          <w:color w:val="000000"/>
          <w:sz w:val="24"/>
        </w:rPr>
        <w:t>During your employment with the Company, you will be eligible for participation in employee health and welfare benefits programs, retirement programs, and other fringe benefits maintained by the Company, to the extent consistent with applicable law and the terms of the applicable plans and programs, which may include certain plans and programs available to similarly situated executives of the Company or otherwise applicable to your position from time to time, subject to all plan terms and eligibility requirements. The benefit plans and programs for which you may be eligible are more fully described in the applicable plan summaries and related documents. The Company retains all rights to amend or terminate any such benefit plans and programs, subject to the terms of such employee benefit plans and programs and applicable law, and nothing contained herein shall obligate the Company to continue any benefit plans or programs in the future.</w:t>
      </w:r>
    </w:p>
    <w:p>
      <w:pPr>
        <w:pStyle w:val="TextBody"/>
        <w:bidi w:val="0"/>
        <w:jc w:val="left"/>
        <w:rPr>
          <w:rFonts w:ascii="Times New Roman" w:hAnsi="Times New Roman"/>
          <w:color w:val="000000"/>
          <w:sz w:val="24"/>
        </w:rPr>
      </w:pPr>
      <w:r>
        <w:rPr>
          <w:rFonts w:ascii="Times New Roman" w:hAnsi="Times New Roman"/>
          <w:color w:val="000000"/>
          <w:sz w:val="24"/>
        </w:rPr>
        <w:t>You will be eligible to receive vacation in accordance with the terms of the Company’s vacation/Paid Time Off “PTO” policy.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 xml:space="preserve">Business Expenses: </w:t>
      </w:r>
      <w:r>
        <w:rPr>
          <w:rFonts w:ascii="Times New Roman" w:hAnsi="Times New Roman"/>
          <w:color w:val="000000"/>
          <w:sz w:val="24"/>
        </w:rPr>
        <w:t>During the Term, the Company will reimburse you for reasonable business expenses, including travel, entertainment, and other expenses (including a mobile phone and data service) incurred by you in the furtherance of the performance of your duties hereunder, in accordance with the Company’s Travel and Entertainment policy as in effect from time to time.</w:t>
      </w:r>
    </w:p>
    <w:p>
      <w:pPr>
        <w:pStyle w:val="TextBody"/>
        <w:bidi w:val="0"/>
        <w:jc w:val="left"/>
        <w:rPr>
          <w:rFonts w:ascii="Times New Roman" w:hAnsi="Times New Roman"/>
          <w:sz w:val="20"/>
        </w:rPr>
      </w:pPr>
      <w:r>
        <w:rPr>
          <w:rFonts w:ascii="Times New Roman" w:hAnsi="Times New Roman"/>
          <w:b/>
          <w:color w:val="000000"/>
          <w:sz w:val="24"/>
        </w:rPr>
        <w:t xml:space="preserve">Term: </w:t>
      </w:r>
      <w:r>
        <w:rPr>
          <w:rFonts w:ascii="Times New Roman" w:hAnsi="Times New Roman"/>
          <w:color w:val="000000"/>
          <w:sz w:val="24"/>
        </w:rPr>
        <w:t>The term of your employment with the Company will terminate upon delivery to you of notice to such effect, which notice may be given for any or no reason, or upon your earlier resignation, death or disability (as customarily defined by the Company). You acknowledge that no provision contained in this Agreement will entitle you to remain in the employment of the Company or any of its subsidiaries or affiliates or affect the right of the Company to terminate your employment hereunder at any time for any reason, subject to compliance with the termination provisions set forth herein.</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 xml:space="preserve">Termination: </w:t>
      </w:r>
      <w:r>
        <w:rPr>
          <w:rFonts w:ascii="Times New Roman" w:hAnsi="Times New Roman"/>
          <w:color w:val="000000"/>
          <w:sz w:val="24"/>
        </w:rPr>
        <w:t>(a) Upon your termination of employment for any reason, the Company shall pay to you (i) your base salary earned through the date of such termination, (ii) amounts for accrued but unused vacation days in the year of termination and (iii) any unreimbursed business expenses in accordance with the Company’s reimbursement policy, not later than thirty (30) business days after the customary documentation regarding such expenses has been received and only to the extent that such expenses are submitted within ninety (90) days following the date of your termination (collectively, “</w:t>
      </w:r>
      <w:r>
        <w:rPr>
          <w:rFonts w:ascii="Times New Roman" w:hAnsi="Times New Roman"/>
          <w:color w:val="000000"/>
          <w:sz w:val="24"/>
          <w:u w:val="single"/>
        </w:rPr>
        <w:t>Accrued Amounts</w:t>
      </w:r>
      <w:r>
        <w:rPr>
          <w:rFonts w:ascii="Times New Roman" w:hAnsi="Times New Roman"/>
          <w:color w:val="000000"/>
          <w:sz w:val="20"/>
        </w:rPr>
        <w:t>”</w:t>
      </w:r>
      <w:r>
        <w:rPr>
          <w:rFonts w:ascii="Times New Roman" w:hAnsi="Times New Roman"/>
          <w:color w:val="000000"/>
          <w:sz w:val="24"/>
        </w:rPr>
        <w: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 In the event your employment is terminated during the Term by the Company without Cause (as defined below) or by you for Good Reason (as defined below), in addition to the Accrued Amounts, you will be entitled to receive, subject to your timely execution and non-revocation of a Release (as defined below) (i) any earned but unpaid bonus for any prior completed fiscal year, payable when such payments would otherwise be paid, (ii) salary continuation for a period of nine (9) months following your termination date, payable in accordance with the Company’s normal payroll cycle and (iii) provided you timely elect to continue your and your eligible dependents’ continued coverage under the Company’s group health plan, reimbursement of 100% of the monthly premium to continue such coverage for the lesser of nine (9) calendar months following the month in which the termination of your employment occurs, the month in which you are no longer eligible for continued coverage under COBRA and the month in which you are eligible to participate in a subsequent employer’s group health plans..</w:t>
      </w:r>
    </w:p>
    <w:p>
      <w:pPr>
        <w:pStyle w:val="TextBody"/>
        <w:bidi w:val="0"/>
        <w:jc w:val="left"/>
        <w:rPr>
          <w:rFonts w:ascii="Times New Roman" w:hAnsi="Times New Roman"/>
          <w:color w:val="000000"/>
          <w:sz w:val="24"/>
        </w:rPr>
      </w:pPr>
      <w:r>
        <w:rPr>
          <w:rFonts w:ascii="Times New Roman" w:hAnsi="Times New Roman"/>
          <w:color w:val="000000"/>
          <w:sz w:val="24"/>
        </w:rPr>
        <w:t>Notwithstanding the foregoing, upon a termination of your employment by the Company without Cause or by you for Good Reason within eighteen (18) months following a Change in Control (as defined in the Incentive Equity Plan), in addition to the Accrued Amounts, you will be entitled to receive, subject to your timely execution and non-revocation of a Release (i) a lump sum payment equal to the sum of twelve (12) months of your then-current base salary as of immediately prior to the Change in Control and one hundred percent (100%) of your then-current Target Bonus, (ii) provided you timely elect to continue your and your eligible dependents’ continued coverage under the Company’s group health plan, reimbursement of 100% of the monthly premium to continue such coverage for the lesser of twelve (12) calendar months following the month in which the termination of your employment occurs, the month in which you are no longer eligible for continued coverage under COBRA and the month in which you are eligible to participate in a subsequent employer’s group health plans; and (iii) full vesting of any equity awards then outstanding held by you (with any performance-based equity awards vesting at “target” levels). Notwithstanding anything to the contrary set forth herein, to the extent there is a conflict between any of the terms set forth in this Agreement and any terms set forth in an award agreement relating to the grant of equity awards to you, the terms of the applicable award agreement shall prevail.</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(c) In the event that your employment is terminated other than for reasons described in subsection (b) above, other than the amounts specified in subsection (a) above, you will not be entitled to receive any payments under this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(d) Payment of any severance payments or benefits pursuant to subsection (b) above is expressly conditioned upon your (i) execution of a general waiver and release of claims substantially in the form attached hereto as </w:t>
      </w:r>
      <w:r>
        <w:rPr>
          <w:rFonts w:ascii="Times New Roman" w:hAnsi="Times New Roman"/>
          <w:color w:val="000000"/>
          <w:sz w:val="24"/>
          <w:u w:val="single"/>
        </w:rPr>
        <w:t>Exhibit A</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color w:val="000000"/>
          <w:sz w:val="24"/>
          <w:u w:val="single"/>
        </w:rPr>
        <w:t>Release</w:t>
      </w:r>
      <w:r>
        <w:rPr>
          <w:rFonts w:ascii="Times New Roman" w:hAnsi="Times New Roman"/>
          <w:color w:val="000000"/>
          <w:sz w:val="20"/>
        </w:rPr>
        <w:t>”</w:t>
      </w:r>
      <w:r>
        <w:rPr>
          <w:rFonts w:ascii="Times New Roman" w:hAnsi="Times New Roman"/>
          <w:color w:val="000000"/>
          <w:sz w:val="24"/>
        </w:rPr>
        <w:t>), within fifty (50) days of your termination, and the Release becoming effective upon the expiration of the revocation period (which is 7 days after the Release is executed and returned to the Company) and (ii) continued compliance with this Agreement and the Covenant Agreement (as defined below). If an executed Release is not returned to the Company within fifty (50) days of termination or the Release is revoked by you, the Company shall be relieved of all obligations to pay you severance under this Agreement. The payment described in subsection (b)(ii) will commence on the sixtieth (60th) day following your termination of employment with any payments described in subsection (b)(ii) that would have been paid from the termination date through the sixtieth (60</w:t>
      </w:r>
      <w:r>
        <w:rPr>
          <w:rFonts w:ascii="Times New Roman" w:hAnsi="Times New Roman"/>
          <w:color w:val="000000"/>
          <w:sz w:val="16"/>
        </w:rPr>
        <w:t>th</w:t>
      </w:r>
      <w:r>
        <w:rPr>
          <w:rFonts w:ascii="Times New Roman" w:hAnsi="Times New Roman"/>
          <w:color w:val="000000"/>
          <w:sz w:val="24"/>
        </w:rPr>
        <w:t>) day following your termination of employment paid in a lump sum on the first payroll date following the sixtieth (60</w:t>
      </w:r>
      <w:r>
        <w:rPr>
          <w:rFonts w:ascii="Times New Roman" w:hAnsi="Times New Roman"/>
          <w:color w:val="000000"/>
          <w:sz w:val="16"/>
        </w:rPr>
        <w:t>th</w:t>
      </w:r>
      <w:r>
        <w:rPr>
          <w:rFonts w:ascii="Times New Roman" w:hAnsi="Times New Roman"/>
          <w:color w:val="000000"/>
          <w:sz w:val="24"/>
        </w:rPr>
        <w:t>) day following your termination and the remaining installments will commence with the next payroll period. All severance payments shall be subject to legally required tax withholdings and any elective withholdings.</w:t>
      </w:r>
    </w:p>
    <w:p>
      <w:pPr>
        <w:pStyle w:val="TextBody"/>
        <w:bidi w:val="0"/>
        <w:jc w:val="left"/>
        <w:rPr>
          <w:rFonts w:ascii="Times New Roman" w:hAnsi="Times New Roman"/>
          <w:color w:val="000000"/>
          <w:sz w:val="24"/>
        </w:rPr>
      </w:pPr>
      <w:r>
        <w:rPr>
          <w:rFonts w:ascii="Times New Roman" w:hAnsi="Times New Roman"/>
          <w:color w:val="000000"/>
          <w:sz w:val="24"/>
        </w:rPr>
        <w:t>(e) For purposes of this Agreement:</w:t>
      </w:r>
    </w:p>
    <w:p>
      <w:pPr>
        <w:pStyle w:val="TextBody"/>
        <w:bidi w:val="0"/>
        <w:jc w:val="left"/>
        <w:rPr/>
      </w:pPr>
      <w:r>
        <w:rPr>
          <w:color w:val="000000"/>
        </w:rPr>
        <w:t>“</w:t>
      </w:r>
      <w:r>
        <w:rPr>
          <w:rFonts w:ascii="Times New Roman" w:hAnsi="Times New Roman"/>
          <w:color w:val="000000"/>
          <w:sz w:val="24"/>
          <w:u w:val="single"/>
        </w:rPr>
        <w:t>Cause</w:t>
      </w:r>
      <w:r>
        <w:rPr>
          <w:rFonts w:ascii="Times New Roman" w:hAnsi="Times New Roman"/>
          <w:color w:val="000000"/>
          <w:sz w:val="20"/>
        </w:rPr>
        <w:t xml:space="preserve">” </w:t>
      </w:r>
      <w:r>
        <w:rPr>
          <w:rFonts w:ascii="Times New Roman" w:hAnsi="Times New Roman"/>
          <w:color w:val="000000"/>
          <w:sz w:val="24"/>
        </w:rPr>
        <w:t>means (i) any theft, fraud, embezzlement, dishonesty, willful misconduct, breach of fiduciary duty for personal profit, falsification of any documents or records of the Company or any member of the Company Group, felony or similar act by you (whether or not related to your relationship with the Company); (ii) an act of moral turpitude by you, or any act that causes significant injury to, or is otherwise adversely affecting, the reputation, business, assets, operations or business relationship of the Company (or any member of the Company Group); (iii) any breach by you of any material agreement with or of any material duty of yours to the Company or any member of the Company Group (including breach of the Covenant Agreement) or failure to abide by code of conduct or other policies (including, without limitation, policies relating to confidentiality and reasonable workplace conduct); or (iv) any act which constitutes a breach of your fiduciary duty towards the Company or any member of the Company Group including disclosure of confidential or proprietary information thereof or acceptance or solicitation to receive unauthorized or undisclosed benefits, irrespective of their nature, or funds, or promises to receive either, from individuals, consultants or corporate entities that the Company or a Subsidiary does business with; (v) your unauthorized use, misappropriation, destruction, or diversion of any tangible or intangible asset or corporate opportunity of the Company or any member of the Company Group (including, without limitation, the improper use or disclosure of confidential or proprietary information). For the avoidance of doubt, the determination as to whether a termination is for Cause for purposes of this Agreement shall be made in good faith by the Compensation Committee and shall be final and binding on you.</w:t>
      </w:r>
    </w:p>
    <w:p>
      <w:pPr>
        <w:pStyle w:val="TextBody"/>
        <w:bidi w:val="0"/>
        <w:jc w:val="left"/>
        <w:rPr/>
      </w:pPr>
      <w:r>
        <w:rPr>
          <w:color w:val="000000"/>
        </w:rPr>
        <w:t>“</w:t>
      </w:r>
      <w:r>
        <w:rPr>
          <w:rFonts w:ascii="Times New Roman" w:hAnsi="Times New Roman"/>
          <w:color w:val="000000"/>
          <w:sz w:val="24"/>
          <w:u w:val="single"/>
        </w:rPr>
        <w:t>Good Reason</w:t>
      </w:r>
      <w:r>
        <w:rPr>
          <w:rFonts w:ascii="Times New Roman" w:hAnsi="Times New Roman"/>
          <w:color w:val="000000"/>
          <w:sz w:val="20"/>
        </w:rPr>
        <w:t xml:space="preserve">” </w:t>
      </w:r>
      <w:r>
        <w:rPr>
          <w:rFonts w:ascii="Times New Roman" w:hAnsi="Times New Roman"/>
          <w:color w:val="000000"/>
          <w:sz w:val="24"/>
        </w:rPr>
        <w:t>means the occurrence of any of the following without your consent: (i) a material reduction in your then-current base salary, other than any such reduction that applies generally to similarly situated employees of the Company; (ii) a material diminution in your</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authority, duties or responsibilities under this Agreement; </w:t>
      </w:r>
      <w:r>
        <w:rPr>
          <w:rFonts w:ascii="Times New Roman" w:hAnsi="Times New Roman"/>
          <w:i/>
          <w:color w:val="000000"/>
          <w:sz w:val="24"/>
        </w:rPr>
        <w:t>provided</w:t>
      </w:r>
      <w:r>
        <w:rPr>
          <w:rFonts w:ascii="Times New Roman" w:hAnsi="Times New Roman"/>
          <w:color w:val="000000"/>
          <w:sz w:val="24"/>
        </w:rPr>
        <w:t>, that you will not have the right to resign for Good Reason pursuant to this provision of the Good Reason definition due to a change in authority, duties or responsibilities solely as a result of Parent or the Company no longer being a publicly traded company; or (iii) a relocation of your principal place of employment by more than 50 miles from its location as of the date hereof. Notwithstanding the foregoing, you will not be deemed to have resigned for Good Reason unless (x) you have provided written notice to the Company of the existence of the circumstances providing grounds for termination for Good Reason within 60 days of the initial existence of such grounds, (y) the Company has not cured such circumstances within 30 days from the date on which such notice is provided and (z) you resign from your employment effective no later than 60 days after the initial existence of such grounds.</w:t>
      </w:r>
    </w:p>
    <w:p>
      <w:pPr>
        <w:pStyle w:val="TextBody"/>
        <w:bidi w:val="0"/>
        <w:jc w:val="left"/>
        <w:rPr>
          <w:rFonts w:ascii="Times New Roman" w:hAnsi="Times New Roman"/>
          <w:sz w:val="20"/>
        </w:rPr>
      </w:pPr>
      <w:r>
        <w:rPr>
          <w:rFonts w:ascii="Times New Roman" w:hAnsi="Times New Roman"/>
          <w:b/>
          <w:color w:val="000000"/>
          <w:sz w:val="24"/>
        </w:rPr>
        <w:t xml:space="preserve">Resignation: </w:t>
      </w:r>
      <w:r>
        <w:rPr>
          <w:rFonts w:ascii="Times New Roman" w:hAnsi="Times New Roman"/>
          <w:color w:val="000000"/>
          <w:sz w:val="24"/>
        </w:rPr>
        <w:t>Effective as of the date of your termination of employment, unless otherwise requested by the Company in writing, you will, automatically and without further action on your part or any other person or entity, resign from all offices, boards of directors (or similar governing bodies) and committees of each member of the Company Group. You agree that you will, at the request of the Company, execute and deliver such documentation as may be required to effect such resignations, and authorize any member of the Company Group to file (or cause to be filed) such documentation, as necessary, with any applicable governmental authority.</w:t>
      </w:r>
    </w:p>
    <w:p>
      <w:pPr>
        <w:pStyle w:val="TextBody"/>
        <w:bidi w:val="0"/>
        <w:jc w:val="left"/>
        <w:rPr>
          <w:rFonts w:ascii="Times New Roman" w:hAnsi="Times New Roman"/>
          <w:sz w:val="20"/>
        </w:rPr>
      </w:pPr>
      <w:r>
        <w:rPr>
          <w:rFonts w:ascii="Times New Roman" w:hAnsi="Times New Roman"/>
          <w:b/>
          <w:color w:val="000000"/>
          <w:sz w:val="24"/>
        </w:rPr>
        <w:t xml:space="preserve">Cooperation: </w:t>
      </w:r>
      <w:r>
        <w:rPr>
          <w:rFonts w:ascii="Times New Roman" w:hAnsi="Times New Roman"/>
          <w:color w:val="000000"/>
          <w:sz w:val="24"/>
        </w:rPr>
        <w:t xml:space="preserve">In consideration for the promises and payments by the Company pursuant to this Agreement, at the request of the Company, for a one-year period following your termination of employment for any reason, you agree to cooperate to the fullest extent possible with respect to matters involving any member of the Company Group about which you have or may have knowledge, including any such matters which may arise before or after the Term; </w:t>
      </w:r>
      <w:r>
        <w:rPr>
          <w:rFonts w:ascii="Times New Roman" w:hAnsi="Times New Roman"/>
          <w:i/>
          <w:color w:val="000000"/>
          <w:sz w:val="24"/>
        </w:rPr>
        <w:t xml:space="preserve">provided </w:t>
      </w:r>
      <w:r>
        <w:rPr>
          <w:rFonts w:ascii="Times New Roman" w:hAnsi="Times New Roman"/>
          <w:color w:val="000000"/>
          <w:sz w:val="24"/>
        </w:rPr>
        <w:t>such cooperation shall not unreasonably interfere with any obligations you may have to your current employer at the time. The Company will reimburse you for any reasonable, properly documented out-of-pocket expenses, including your travel expenses and attorneys’ fees that you actually incur in connection with such cooperation.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 xml:space="preserve">Section 409A: </w:t>
      </w:r>
      <w:r>
        <w:rPr>
          <w:rFonts w:ascii="Times New Roman" w:hAnsi="Times New Roman"/>
          <w:color w:val="000000"/>
          <w:sz w:val="24"/>
        </w:rPr>
        <w:t>All references in this Agreement to your termination of employment shall mean your “separation from service” within the meaning of Section 409A of the Code and Treasury regulations promulgated thereunder. This Agreement is intended to comply with Section 409A of the Code or an exemption thereunder and shall be construed and administered in accordance with Section 409A. Any payments under this Agreement that may be excluded from Section 409A either as separation pay due to an involuntary separation from service or as a short-term deferral shall be excluded from Section 409A to the maximum extent possible. In the event the terms of this Agreement would subject you to the imposition of taxes and penalties under Section 409A (“</w:t>
      </w:r>
      <w:r>
        <w:rPr>
          <w:rFonts w:ascii="Times New Roman" w:hAnsi="Times New Roman"/>
          <w:color w:val="000000"/>
          <w:sz w:val="24"/>
          <w:u w:val="single"/>
        </w:rPr>
        <w:t>409A Penalties</w:t>
      </w:r>
      <w:r>
        <w:rPr>
          <w:rFonts w:ascii="Times New Roman" w:hAnsi="Times New Roman"/>
          <w:color w:val="000000"/>
          <w:sz w:val="20"/>
        </w:rPr>
        <w:t>”</w:t>
      </w:r>
      <w:r>
        <w:rPr>
          <w:rFonts w:ascii="Times New Roman" w:hAnsi="Times New Roman"/>
          <w:color w:val="000000"/>
          <w:sz w:val="24"/>
        </w:rPr>
        <w:t xml:space="preserve">), the Company and you shall cooperate diligently to amend the terms of this Agreement to avoid such 409A Penalties, to the extent possible; </w:t>
      </w:r>
      <w:r>
        <w:rPr>
          <w:rFonts w:ascii="Times New Roman" w:hAnsi="Times New Roman"/>
          <w:i/>
          <w:color w:val="000000"/>
          <w:sz w:val="24"/>
        </w:rPr>
        <w:t xml:space="preserve">provided </w:t>
      </w:r>
      <w:r>
        <w:rPr>
          <w:rFonts w:ascii="Times New Roman" w:hAnsi="Times New Roman"/>
          <w:color w:val="000000"/>
          <w:sz w:val="24"/>
        </w:rPr>
        <w:t>that, for the avoidance of doubt, you shall be solely liable for any 409A Penalties incurred by you. To the extent that any amounts payable in installments under this Agreement are reasonably determined to be “nonqualified deferred compensation” within the meaning of Section 409A of the Code, then</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each such installment shall be treated as a right to receive a series of separate payments and, accordingly, each such installment payment shall at all times be considered a separate and distinct payment as permitted under Section 409A of the Code.</w:t>
      </w:r>
    </w:p>
    <w:p>
      <w:pPr>
        <w:pStyle w:val="TextBody"/>
        <w:bidi w:val="0"/>
        <w:jc w:val="left"/>
        <w:rPr>
          <w:rFonts w:ascii="Times New Roman" w:hAnsi="Times New Roman"/>
          <w:color w:val="000000"/>
          <w:sz w:val="24"/>
        </w:rPr>
      </w:pPr>
      <w:r>
        <w:rPr>
          <w:rFonts w:ascii="Times New Roman" w:hAnsi="Times New Roman"/>
          <w:color w:val="000000"/>
          <w:sz w:val="24"/>
        </w:rPr>
        <w:t>Notwithstanding any other provision in this Agreement, if as of the date on which your employment terminates, you are a “specified employee”, as determined by the Company, then with respect to any amount payable or benefit provided under this Agreement or otherwise that the Company reasonably determines would be nonqualified deferred compensation within the meaning of Section 409A of the Code and that under the terms of this Agreement would be payable prior to the six-month anniversary of your effective date of termination, then if required in order to avoid any penalties under Section 409A of the Code, such payment or benefit shall be delayed until the earlier to occur of (a) the first payroll date following the six-month anniversary of such termination date and (b) the date of your death.</w:t>
      </w:r>
    </w:p>
    <w:p>
      <w:pPr>
        <w:pStyle w:val="TextBody"/>
        <w:bidi w:val="0"/>
        <w:jc w:val="left"/>
        <w:rPr>
          <w:rFonts w:ascii="Times New Roman" w:hAnsi="Times New Roman"/>
          <w:color w:val="000000"/>
          <w:sz w:val="24"/>
        </w:rPr>
      </w:pPr>
      <w:r>
        <w:rPr>
          <w:rFonts w:ascii="Times New Roman" w:hAnsi="Times New Roman"/>
          <w:color w:val="000000"/>
          <w:sz w:val="24"/>
        </w:rPr>
        <w:t>With respect to any reimbursements under this Agreement, such reimbursement shall be made on or before the last day of your taxable year following the taxable year in which you incurred the expense. The amount of any expenses eligible for reimbursement or the amount of any in-kind benefits provided, as the case may be, under this Agreement during any calendar year shall not affect the amount of expenses eligible for reimbursement or the amount of any in-kind benefits provided during any other calendar year. The right to reimbursement or to any in-kind benefit pursuant to this Agreement shall not be subject to liquidation or exchange for any other benefit.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You acknowledge and agree that notwithstanding any provision of this Agreement, the Company and its affiliates are not providing you with any tax advice with respect to Section 409A of the Code or otherwise and are not making any guarantees or other assurances of any kind to you with respect to the tax consequences or treatment of any amounts paid or payable to you under this Agreement.</w:t>
      </w:r>
    </w:p>
    <w:p>
      <w:pPr>
        <w:pStyle w:val="TextBody"/>
        <w:bidi w:val="0"/>
        <w:jc w:val="left"/>
        <w:rPr>
          <w:rFonts w:ascii="Times New Roman" w:hAnsi="Times New Roman"/>
          <w:sz w:val="20"/>
        </w:rPr>
      </w:pPr>
      <w:r>
        <w:rPr>
          <w:rFonts w:ascii="Times New Roman" w:hAnsi="Times New Roman"/>
          <w:b/>
          <w:color w:val="000000"/>
          <w:sz w:val="24"/>
        </w:rPr>
        <w:t xml:space="preserve">Section 280G: </w:t>
      </w:r>
      <w:r>
        <w:rPr>
          <w:rFonts w:ascii="Times New Roman" w:hAnsi="Times New Roman"/>
          <w:color w:val="000000"/>
          <w:sz w:val="24"/>
        </w:rPr>
        <w:t>If the present value of your Severance Benefits, either alone or together with other payments which you have the right to receive from the Company (the “</w:t>
      </w:r>
      <w:r>
        <w:rPr>
          <w:rFonts w:ascii="Times New Roman" w:hAnsi="Times New Roman"/>
          <w:b/>
          <w:color w:val="000000"/>
          <w:sz w:val="24"/>
        </w:rPr>
        <w:t>Benefits</w:t>
      </w:r>
      <w:r>
        <w:rPr>
          <w:rFonts w:ascii="Times New Roman" w:hAnsi="Times New Roman"/>
          <w:color w:val="000000"/>
          <w:sz w:val="20"/>
        </w:rPr>
        <w:t>”</w:t>
      </w:r>
      <w:r>
        <w:rPr>
          <w:rFonts w:ascii="Times New Roman" w:hAnsi="Times New Roman"/>
          <w:color w:val="000000"/>
          <w:sz w:val="24"/>
        </w:rPr>
        <w:t>), would constitute a “parachute payment” as defined in Section 280G of the Code, then your Benefits shall be either (i) provided to you in full, or (ii) provided to you only as to such lesser extent that would result in no portion of such Benefits being subject to the excise tax imposed by Section 4999 of the Code (the “</w:t>
      </w:r>
      <w:r>
        <w:rPr>
          <w:rFonts w:ascii="Times New Roman" w:hAnsi="Times New Roman"/>
          <w:b/>
          <w:color w:val="000000"/>
          <w:sz w:val="24"/>
        </w:rPr>
        <w:t>Excise Tax</w:t>
      </w:r>
      <w:r>
        <w:rPr>
          <w:rFonts w:ascii="Times New Roman" w:hAnsi="Times New Roman"/>
          <w:color w:val="000000"/>
          <w:sz w:val="20"/>
        </w:rPr>
        <w:t>”</w:t>
      </w:r>
      <w:r>
        <w:rPr>
          <w:rFonts w:ascii="Times New Roman" w:hAnsi="Times New Roman"/>
          <w:color w:val="000000"/>
          <w:sz w:val="24"/>
        </w:rPr>
        <w:t>), whichever of the foregoing amounts, taking into account the applicable federal, state, and local income and employment taxes and the Excise Tax, results in the receipt by you, on an after-tax basis, of the greatest amount of benefits, notwithstanding that all or some portion of such Benefits may be taxable under the Excise Tax.</w:t>
      </w:r>
    </w:p>
    <w:p>
      <w:pPr>
        <w:pStyle w:val="TextBody"/>
        <w:bidi w:val="0"/>
        <w:jc w:val="left"/>
        <w:rPr>
          <w:rFonts w:ascii="Times New Roman" w:hAnsi="Times New Roman"/>
          <w:sz w:val="20"/>
        </w:rPr>
      </w:pPr>
      <w:r>
        <w:rPr>
          <w:rFonts w:ascii="Times New Roman" w:hAnsi="Times New Roman"/>
          <w:color w:val="000000"/>
          <w:sz w:val="24"/>
        </w:rPr>
        <w:t>Unless the Company and you otherwise agree, any determination required under section shall be made in writing in good faith by the Company’s independent accounting firm or such other nationally or regionally recognized accounting firm selected by the Company (the “</w:t>
      </w:r>
      <w:r>
        <w:rPr>
          <w:rFonts w:ascii="Times New Roman" w:hAnsi="Times New Roman"/>
          <w:b/>
          <w:color w:val="000000"/>
          <w:sz w:val="24"/>
        </w:rPr>
        <w:t>Accountants</w:t>
      </w:r>
      <w:r>
        <w:rPr>
          <w:rFonts w:ascii="Times New Roman" w:hAnsi="Times New Roman"/>
          <w:color w:val="000000"/>
          <w:sz w:val="20"/>
        </w:rPr>
        <w:t>”</w:t>
      </w:r>
      <w:r>
        <w:rPr>
          <w:rFonts w:ascii="Times New Roman" w:hAnsi="Times New Roman"/>
          <w:color w:val="000000"/>
          <w:sz w:val="24"/>
        </w:rPr>
        <w:t>), whose determination shall be conclusive and binding upon you and the Company for all purposes. In the event that a reduction to the Benefits under this section, the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reduction shall apply first to the Benefits that are not deferred compensation subject to Section 409A of the Code and you shall be given the choice, subject to approval by the Company, of which of such Benefits to reduce;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 xml:space="preserve">that </w:t>
      </w:r>
      <w:r>
        <w:rPr>
          <w:rFonts w:ascii="Times New Roman" w:hAnsi="Times New Roman"/>
          <w:color w:val="000000"/>
          <w:sz w:val="24"/>
        </w:rPr>
        <w:t>such reduction achieves the result specified in clause (ii) above of this section. If a reduction in the Benefits that are subject to Section 409A of the Code is required, such Benefits shall be reduced pro rata, but with no change in the time at which such Benefits shall be paid. For purposes of making the calculations required by this section, the Accountants may make reasonable assumptions and approximations concerning applicable taxes and may rely on reasonable, good faith interpretations concerning the application of the Code. The Company and you shall furnish to the Accountants such information and documents as the Accountants may reasonably request in order to make a determination under this section. The Company shall bear all costs the Accountants may reasonably incur in connection with any calculations contemplated by this section.</w:t>
      </w:r>
    </w:p>
    <w:p>
      <w:pPr>
        <w:pStyle w:val="TextBody"/>
        <w:bidi w:val="0"/>
        <w:spacing w:before="0" w:after="0"/>
        <w:jc w:val="left"/>
        <w:rPr>
          <w:rFonts w:ascii="Cambria" w:hAnsi="Cambria"/>
          <w:b/>
          <w:color w:val="000000"/>
          <w:sz w:val="24"/>
        </w:rPr>
      </w:pPr>
      <w:r>
        <w:rPr>
          <w:rFonts w:ascii="Cambria" w:hAnsi="Cambria"/>
          <w:b/>
          <w:color w:val="000000"/>
          <w:sz w:val="24"/>
        </w:rPr>
        <w:t>2.</w:t>
      </w:r>
    </w:p>
    <w:p>
      <w:pPr>
        <w:pStyle w:val="TextBody"/>
        <w:bidi w:val="0"/>
        <w:jc w:val="left"/>
        <w:rPr/>
      </w:pPr>
      <w:r>
        <w:rPr>
          <w:rFonts w:ascii="Times New Roman" w:hAnsi="Times New Roman"/>
          <w:color w:val="000000"/>
          <w:sz w:val="24"/>
        </w:rPr>
        <w:t>You acknowledge and agree that you will continue to be subject to any confidentiality, non-disclosure, non-use, non-competition, non-solicitation or other covenants that you may be subject to under any agreement with the Company or any member of the Company Group (collectively, the “</w:t>
      </w:r>
      <w:r>
        <w:rPr>
          <w:rFonts w:ascii="Times New Roman" w:hAnsi="Times New Roman"/>
          <w:color w:val="000000"/>
          <w:sz w:val="24"/>
          <w:u w:val="single"/>
        </w:rPr>
        <w:t>Covenant Agreement</w:t>
      </w:r>
      <w:r>
        <w:rPr>
          <w:color w:val="000000"/>
        </w:rPr>
        <w:t>”</w:t>
      </w:r>
      <w:r>
        <w:rPr>
          <w:rFonts w:ascii="Times New Roman" w:hAnsi="Times New Roman"/>
          <w:color w:val="000000"/>
          <w:sz w:val="24"/>
        </w:rPr>
        <w:t>). Notwithstanding any provision in this Agreement, the Covenant Agreement or otherwise to the contrary, nothing in this Agreement, the Covenant Agreement or otherwise precludes or otherwise limits your ability to (A) communicate directly with and provide information, including documents, not otherwise protected from disclosure by any applicable law or privilege to the Securities and Exchange Commission (the “</w:t>
      </w:r>
      <w:r>
        <w:rPr>
          <w:rFonts w:ascii="Times New Roman" w:hAnsi="Times New Roman"/>
          <w:color w:val="000000"/>
          <w:sz w:val="24"/>
          <w:u w:val="single"/>
        </w:rPr>
        <w:t>SEC</w:t>
      </w:r>
      <w:r>
        <w:rPr>
          <w:color w:val="000000"/>
        </w:rPr>
        <w:t>”</w:t>
      </w:r>
      <w:r>
        <w:rPr>
          <w:rFonts w:ascii="Times New Roman" w:hAnsi="Times New Roman"/>
          <w:color w:val="000000"/>
          <w:sz w:val="24"/>
        </w:rPr>
        <w:t>) or any other federal, state or local governmental agency or commission (“</w:t>
      </w:r>
      <w:r>
        <w:rPr>
          <w:rFonts w:ascii="Times New Roman" w:hAnsi="Times New Roman"/>
          <w:color w:val="000000"/>
          <w:sz w:val="24"/>
          <w:u w:val="single"/>
        </w:rPr>
        <w:t>Government</w:t>
      </w:r>
      <w:r>
        <w:rPr>
          <w:color w:val="000000"/>
        </w:rPr>
        <w:t xml:space="preserve"> </w:t>
      </w:r>
      <w:r>
        <w:rPr>
          <w:rFonts w:ascii="Times New Roman" w:hAnsi="Times New Roman"/>
          <w:color w:val="000000"/>
          <w:sz w:val="24"/>
          <w:u w:val="single"/>
        </w:rPr>
        <w:t>Agency</w:t>
      </w:r>
      <w:r>
        <w:rPr>
          <w:color w:val="000000"/>
        </w:rPr>
        <w:t>”</w:t>
      </w:r>
      <w:r>
        <w:rPr>
          <w:rFonts w:ascii="Times New Roman" w:hAnsi="Times New Roman"/>
          <w:color w:val="000000"/>
          <w:sz w:val="24"/>
        </w:rPr>
        <w:t>) or self-regulatory organization regarding possible legal violations, without disclosure to the Company, or (B) disclose information which is required to be disclosed by applicable law, regulation, or order or requirement (including without limitation, by deposition, interrogatory, requests for documents, subpoena, civil investigative demand or similar process) of courts, administrative agencies, the SEC, any Government Agency or self-regulatory organizations, provided that you provide the Company with prior notice of the contemplated disclosure and cooperate with the Company in seeking a protective order or other appropriate protection of such information. The Company may not retaliate against you for any of these activities.</w:t>
      </w:r>
    </w:p>
    <w:p>
      <w:pPr>
        <w:pStyle w:val="TextBody"/>
        <w:bidi w:val="0"/>
        <w:spacing w:before="0" w:after="0"/>
        <w:jc w:val="left"/>
        <w:rPr>
          <w:rFonts w:ascii="Cambria" w:hAnsi="Cambria"/>
          <w:b/>
          <w:color w:val="000000"/>
          <w:sz w:val="24"/>
        </w:rPr>
      </w:pPr>
      <w:r>
        <w:rPr>
          <w:rFonts w:ascii="Cambria" w:hAnsi="Cambria"/>
          <w:b/>
          <w:color w:val="000000"/>
          <w:sz w:val="24"/>
        </w:rPr>
        <w:t>3.</w:t>
      </w:r>
    </w:p>
    <w:p>
      <w:pPr>
        <w:pStyle w:val="TextBody"/>
        <w:bidi w:val="0"/>
        <w:jc w:val="left"/>
        <w:rPr>
          <w:rFonts w:ascii="Times New Roman" w:hAnsi="Times New Roman"/>
          <w:color w:val="000000"/>
          <w:sz w:val="24"/>
        </w:rPr>
      </w:pPr>
      <w:r>
        <w:rPr>
          <w:rFonts w:ascii="Times New Roman" w:hAnsi="Times New Roman"/>
          <w:color w:val="000000"/>
          <w:sz w:val="24"/>
        </w:rPr>
        <w:t>You represent that your performance of all of the terms of this Agreement and the performance of the services for the Company Group do not and will not breach or conflict with any agreement with a third party, including an agreement not to compete or to keep in confidence any proprietary information of another entity acquired by you in confidence or in trust prior to the date of this Agreement. You agree that you will not enter into any agreement that conflicts with this Agreement at any time prior to the Effective Date or during the term of your employment with the Company.</w:t>
      </w:r>
    </w:p>
    <w:p>
      <w:pPr>
        <w:pStyle w:val="TextBody"/>
        <w:bidi w:val="0"/>
        <w:spacing w:before="0" w:after="0"/>
        <w:jc w:val="left"/>
        <w:rPr>
          <w:rFonts w:ascii="Cambria" w:hAnsi="Cambria"/>
          <w:b/>
          <w:color w:val="000000"/>
          <w:sz w:val="24"/>
        </w:rPr>
      </w:pPr>
      <w:r>
        <w:rPr>
          <w:rFonts w:ascii="Cambria" w:hAnsi="Cambria"/>
          <w:b/>
          <w:color w:val="000000"/>
          <w:sz w:val="24"/>
        </w:rPr>
        <w:t>4.</w:t>
      </w:r>
    </w:p>
    <w:p>
      <w:pPr>
        <w:pStyle w:val="TextBody"/>
        <w:bidi w:val="0"/>
        <w:jc w:val="left"/>
        <w:rPr>
          <w:rFonts w:ascii="Times New Roman" w:hAnsi="Times New Roman"/>
          <w:color w:val="000000"/>
          <w:sz w:val="24"/>
        </w:rPr>
      </w:pPr>
      <w:r>
        <w:rPr>
          <w:rFonts w:ascii="Times New Roman" w:hAnsi="Times New Roman"/>
          <w:color w:val="000000"/>
          <w:sz w:val="24"/>
        </w:rPr>
        <w:t>All payments made under this Agreement shall be reduced by any tax or other amounts required to be withheld under applicable law.</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Cambria" w:hAnsi="Cambria"/>
          <w:b/>
          <w:color w:val="000000"/>
          <w:sz w:val="24"/>
        </w:rPr>
      </w:pPr>
      <w:r>
        <w:rPr>
          <w:rFonts w:ascii="Cambria" w:hAnsi="Cambria"/>
          <w:b/>
          <w:color w:val="000000"/>
          <w:sz w:val="24"/>
        </w:rPr>
        <w:t>5.</w:t>
      </w:r>
    </w:p>
    <w:p>
      <w:pPr>
        <w:pStyle w:val="TextBody"/>
        <w:bidi w:val="0"/>
        <w:jc w:val="left"/>
        <w:rPr>
          <w:rFonts w:ascii="Times New Roman" w:hAnsi="Times New Roman"/>
          <w:color w:val="000000"/>
          <w:sz w:val="24"/>
        </w:rPr>
      </w:pPr>
      <w:r>
        <w:rPr>
          <w:rFonts w:ascii="Times New Roman" w:hAnsi="Times New Roman"/>
          <w:color w:val="000000"/>
          <w:sz w:val="24"/>
        </w:rPr>
        <w:t>The parties hereby agree that any suit, action or proceeding seeking to enforce any provision of, or based on any matter arising out of or in connection with, this Agreement shall only be brought in the Chancery Court of the State of Delaware (or other appropriate state court in the State of Delaware) or the Federal courts located in the State of Delaware and not in any other State or Federal courts located in the United States of America or any court in any other country, and each of the parties hereby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which is brought in any such court has been brought in an inconvenient form. The parties hereby agree that process in any such suit, action or proceeding may be served on either party anywhere in the world, whether within or without the jurisdiction of any such court. EACH OF THE PARTIES HERETO HEREBY IRREVOCABLY WAIVES ANY AND ALL RIGHTS TO TRIAL BY JURY IN ANY LEGAL PROCEEDING ARISING OUT OF OR RELATED TO THIS AGREEMENT OR THE TRANSACTIONS CONTEMPLATED HEREBY.</w:t>
      </w:r>
    </w:p>
    <w:p>
      <w:pPr>
        <w:pStyle w:val="TextBody"/>
        <w:bidi w:val="0"/>
        <w:spacing w:before="0" w:after="0"/>
        <w:jc w:val="left"/>
        <w:rPr>
          <w:rFonts w:ascii="Cambria" w:hAnsi="Cambria"/>
          <w:b/>
          <w:color w:val="000000"/>
          <w:sz w:val="24"/>
        </w:rPr>
      </w:pPr>
      <w:r>
        <w:rPr>
          <w:rFonts w:ascii="Cambria" w:hAnsi="Cambria"/>
          <w:b/>
          <w:color w:val="000000"/>
          <w:sz w:val="24"/>
        </w:rPr>
        <w:t>6.</w:t>
      </w:r>
    </w:p>
    <w:p>
      <w:pPr>
        <w:pStyle w:val="TextBody"/>
        <w:bidi w:val="0"/>
        <w:jc w:val="left"/>
        <w:rPr>
          <w:rFonts w:ascii="Times New Roman" w:hAnsi="Times New Roman"/>
          <w:color w:val="000000"/>
          <w:sz w:val="24"/>
        </w:rPr>
      </w:pPr>
      <w:r>
        <w:rPr>
          <w:rFonts w:ascii="Times New Roman" w:hAnsi="Times New Roman"/>
          <w:color w:val="000000"/>
          <w:sz w:val="24"/>
        </w:rPr>
        <w:t>This Agreement shall be governed, construed, interpreted and enforced in accordance with its express terms, and otherwise in accordance with the substantive laws of the State of Delaware, without reference to the principles of conflicts of law or choice of law of the State of Delaware, or any other jurisdiction, and where applicable, the laws of the United States.</w:t>
      </w:r>
    </w:p>
    <w:p>
      <w:pPr>
        <w:pStyle w:val="TextBody"/>
        <w:bidi w:val="0"/>
        <w:spacing w:before="0" w:after="0"/>
        <w:jc w:val="left"/>
        <w:rPr>
          <w:rFonts w:ascii="Cambria" w:hAnsi="Cambria"/>
          <w:b/>
          <w:color w:val="000000"/>
          <w:sz w:val="24"/>
        </w:rPr>
      </w:pPr>
      <w:r>
        <w:rPr>
          <w:rFonts w:ascii="Cambria" w:hAnsi="Cambria"/>
          <w:b/>
          <w:color w:val="000000"/>
          <w:sz w:val="24"/>
        </w:rPr>
        <w:t>7.</w:t>
      </w:r>
    </w:p>
    <w:p>
      <w:pPr>
        <w:pStyle w:val="TextBody"/>
        <w:bidi w:val="0"/>
        <w:jc w:val="left"/>
        <w:rPr>
          <w:rFonts w:ascii="Times New Roman" w:hAnsi="Times New Roman"/>
          <w:color w:val="000000"/>
          <w:sz w:val="24"/>
        </w:rPr>
      </w:pPr>
      <w:r>
        <w:rPr>
          <w:rFonts w:ascii="Times New Roman" w:hAnsi="Times New Roman"/>
          <w:color w:val="000000"/>
          <w:sz w:val="24"/>
        </w:rPr>
        <w:t>The invalidity or unenforceability of any provision or provisions of this Agreement shall not affect the validity or enforceability of any other provision of this Agreement, which shall remain in full force and effect.</w:t>
      </w:r>
    </w:p>
    <w:p>
      <w:pPr>
        <w:pStyle w:val="TextBody"/>
        <w:bidi w:val="0"/>
        <w:spacing w:before="0" w:after="0"/>
        <w:jc w:val="left"/>
        <w:rPr>
          <w:rFonts w:ascii="Cambria" w:hAnsi="Cambria"/>
          <w:b/>
          <w:color w:val="000000"/>
          <w:sz w:val="24"/>
        </w:rPr>
      </w:pPr>
      <w:r>
        <w:rPr>
          <w:rFonts w:ascii="Cambria" w:hAnsi="Cambria"/>
          <w:b/>
          <w:color w:val="000000"/>
          <w:sz w:val="24"/>
        </w:rPr>
        <w:t>8.</w:t>
      </w:r>
    </w:p>
    <w:p>
      <w:pPr>
        <w:pStyle w:val="TextBody"/>
        <w:bidi w:val="0"/>
        <w:jc w:val="left"/>
        <w:rPr/>
      </w:pPr>
      <w:r>
        <w:rPr>
          <w:rFonts w:ascii="Times New Roman" w:hAnsi="Times New Roman"/>
          <w:color w:val="000000"/>
          <w:sz w:val="24"/>
        </w:rPr>
        <w:t xml:space="preserve">The terms of this Agreement and the Covenant Agreement are intended by the parties to be the final expression of their agreement with respect to your employment by the Company and supersede, effective as of the Effective Date, all prior understandings and agreements with respect to your employment by the Company, whether written or oral. For the avoidance of doubt, if the Effective Date does not occur, this Agreement will be void </w:t>
      </w:r>
      <w:r>
        <w:rPr>
          <w:rFonts w:ascii="Times New Roman" w:hAnsi="Times New Roman"/>
          <w:i/>
          <w:color w:val="000000"/>
          <w:sz w:val="24"/>
        </w:rPr>
        <w:t>ab initio</w:t>
      </w:r>
      <w:r>
        <w:rPr>
          <w:rFonts w:ascii="Times New Roman" w:hAnsi="Times New Roman"/>
          <w:color w:val="000000"/>
          <w:sz w:val="24"/>
        </w:rPr>
        <w:t>.</w:t>
      </w:r>
    </w:p>
    <w:p>
      <w:pPr>
        <w:pStyle w:val="TextBody"/>
        <w:bidi w:val="0"/>
        <w:spacing w:before="0" w:after="0"/>
        <w:jc w:val="left"/>
        <w:rPr>
          <w:rFonts w:ascii="Cambria" w:hAnsi="Cambria"/>
          <w:b/>
          <w:color w:val="000000"/>
          <w:sz w:val="24"/>
        </w:rPr>
      </w:pPr>
      <w:r>
        <w:rPr>
          <w:rFonts w:ascii="Cambria" w:hAnsi="Cambria"/>
          <w:b/>
          <w:color w:val="000000"/>
          <w:sz w:val="24"/>
        </w:rPr>
        <w:t>9.</w:t>
      </w:r>
    </w:p>
    <w:p>
      <w:pPr>
        <w:pStyle w:val="TextBody"/>
        <w:bidi w:val="0"/>
        <w:jc w:val="left"/>
        <w:rPr>
          <w:rFonts w:ascii="Times New Roman" w:hAnsi="Times New Roman"/>
          <w:color w:val="000000"/>
          <w:sz w:val="24"/>
        </w:rPr>
      </w:pPr>
      <w:r>
        <w:rPr>
          <w:rFonts w:ascii="Times New Roman" w:hAnsi="Times New Roman"/>
          <w:color w:val="000000"/>
          <w:sz w:val="24"/>
        </w:rPr>
        <w:t>By signing this Agreement, you acknowledge that the terms of this Agreement are confidential and may not be disclosed in any manner or form to any party, other than as required by applicable law (including any public disclosure requirements) or as necessary to enforce the terms of this Agreement or to your spouse, attorney and/or tax advisor (if any), without the prior written approval of the Company. You further acknowledge that you will be bound by the terms and conditions contained in the Company’s employee handbook, as it may be amended from time to time to the extent not inconsistent with this Agreement and will, upon request of the Company, sign a copy thereof from time to time.</w:t>
      </w:r>
    </w:p>
    <w:p>
      <w:pPr>
        <w:pStyle w:val="TextBody"/>
        <w:bidi w:val="0"/>
        <w:spacing w:before="0" w:after="0"/>
        <w:jc w:val="left"/>
        <w:rPr>
          <w:rFonts w:ascii="Cambria" w:hAnsi="Cambria"/>
          <w:b/>
          <w:color w:val="000000"/>
          <w:sz w:val="24"/>
        </w:rPr>
      </w:pPr>
      <w:r>
        <w:rPr>
          <w:rFonts w:ascii="Cambria" w:hAnsi="Cambria"/>
          <w:b/>
          <w:color w:val="000000"/>
          <w:sz w:val="24"/>
        </w:rPr>
        <w:t>10.</w:t>
      </w:r>
    </w:p>
    <w:p>
      <w:pPr>
        <w:pStyle w:val="TextBody"/>
        <w:bidi w:val="0"/>
        <w:jc w:val="left"/>
        <w:rPr>
          <w:rFonts w:ascii="Times New Roman" w:hAnsi="Times New Roman"/>
          <w:color w:val="000000"/>
          <w:sz w:val="24"/>
        </w:rPr>
      </w:pPr>
      <w:r>
        <w:rPr>
          <w:rFonts w:ascii="Times New Roman" w:hAnsi="Times New Roman"/>
          <w:color w:val="000000"/>
          <w:sz w:val="24"/>
        </w:rPr>
        <w:t xml:space="preserve">The rights and benefits under this Agreement are personal to you and such rights and benefits shall not be subject to assignment, alienation or transfer, except to the extent such rights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and benefits are lawfully available to your estate or any of your beneficiaries upon your death. The Company may assign this Agreement to any affiliate or subsidiary at any time and shall require any entity which at any time becomes a successor, whether by merger, purchase, or otherwise, or otherwise acquires all or substantially all of the assets, membership interests or business of the Company, to expressly assume this Agreement.</w:t>
      </w:r>
    </w:p>
    <w:p>
      <w:pPr>
        <w:pStyle w:val="TextBody"/>
        <w:bidi w:val="0"/>
        <w:spacing w:before="0" w:after="0"/>
        <w:jc w:val="left"/>
        <w:rPr>
          <w:rFonts w:ascii="Cambria" w:hAnsi="Cambria"/>
          <w:b/>
          <w:color w:val="000000"/>
          <w:sz w:val="24"/>
        </w:rPr>
      </w:pPr>
      <w:r>
        <w:rPr>
          <w:rFonts w:ascii="Cambria" w:hAnsi="Cambria"/>
          <w:b/>
          <w:color w:val="000000"/>
          <w:sz w:val="24"/>
        </w:rPr>
        <w:t>11.</w:t>
      </w:r>
    </w:p>
    <w:p>
      <w:pPr>
        <w:pStyle w:val="TextBody"/>
        <w:bidi w:val="0"/>
        <w:jc w:val="left"/>
        <w:rPr>
          <w:rFonts w:ascii="Times New Roman" w:hAnsi="Times New Roman"/>
          <w:color w:val="000000"/>
          <w:sz w:val="24"/>
        </w:rPr>
      </w:pPr>
      <w:r>
        <w:rPr>
          <w:rFonts w:ascii="Times New Roman" w:hAnsi="Times New Roman"/>
          <w:color w:val="000000"/>
          <w:sz w:val="24"/>
        </w:rPr>
        <w:t>This Agreement may be executed in several counterparts, each of which shall be deemed to be an original, but all of which together will constitute one and the same Agreement. Signatures delivered by facsimile shall be deemed effective for all purposes.</w:t>
      </w:r>
    </w:p>
    <w:p>
      <w:pPr>
        <w:pStyle w:val="TextBody"/>
        <w:bidi w:val="0"/>
        <w:jc w:val="left"/>
        <w:rPr>
          <w:rFonts w:ascii="Times New Roman" w:hAnsi="Times New Roman"/>
          <w:i/>
          <w:color w:val="000000"/>
          <w:sz w:val="24"/>
        </w:rPr>
      </w:pPr>
      <w:r>
        <w:rPr>
          <w:rFonts w:ascii="Times New Roman" w:hAnsi="Times New Roman"/>
          <w:i/>
          <w:color w:val="000000"/>
          <w:sz w:val="24"/>
        </w:rPr>
        <w:t>[Signature page follows]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Please sign and date this Agreement in the space indicated and return it to my attention to evidence your understanding and acceptance of the terms set forth herein.</w:t>
      </w:r>
    </w:p>
    <w:p>
      <w:pPr>
        <w:pStyle w:val="TextBody"/>
        <w:bidi w:val="0"/>
        <w:jc w:val="left"/>
        <w:rPr>
          <w:rFonts w:ascii="Times New Roman" w:hAnsi="Times New Roman"/>
          <w:color w:val="000000"/>
          <w:sz w:val="24"/>
        </w:rPr>
      </w:pPr>
      <w:r>
        <w:rPr>
          <w:rFonts w:ascii="Times New Roman" w:hAnsi="Times New Roman"/>
          <w:color w:val="000000"/>
          <w:sz w:val="24"/>
        </w:rPr>
        <w:t>Sincerely,</w:t>
      </w:r>
    </w:p>
    <w:tbl>
      <w:tblPr>
        <w:tblW w:w="3362" w:type="dxa"/>
        <w:jc w:val="left"/>
        <w:tblInd w:w="0" w:type="dxa"/>
        <w:tblLayout w:type="fixed"/>
        <w:tblCellMar>
          <w:top w:w="28" w:type="dxa"/>
          <w:left w:w="28" w:type="dxa"/>
          <w:bottom w:w="28" w:type="dxa"/>
          <w:right w:w="28" w:type="dxa"/>
        </w:tblCellMar>
      </w:tblPr>
      <w:tblGrid>
        <w:gridCol w:w="946"/>
        <w:gridCol w:w="2416"/>
      </w:tblGrid>
      <w:tr>
        <w:trPr/>
        <w:tc>
          <w:tcPr>
            <w:tcW w:w="9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By:</w:t>
            </w:r>
          </w:p>
        </w:tc>
        <w:tc>
          <w:tcPr>
            <w:tcW w:w="2416" w:type="dxa"/>
            <w:tcBorders>
              <w:bottom w:val="single" w:sz="2" w:space="0" w:color="000000"/>
            </w:tcBorders>
            <w:shd w:fill="FFFFFF" w:val="clear"/>
            <w:tcMar>
              <w:top w:w="0" w:type="dxa"/>
              <w:left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/s/ Bruce Culleton</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Name:</w:t>
            </w:r>
          </w:p>
        </w:tc>
        <w:tc>
          <w:tcPr>
            <w:tcW w:w="241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Bruce Culleton, MD</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Position:</w:t>
            </w:r>
          </w:p>
        </w:tc>
        <w:tc>
          <w:tcPr>
            <w:tcW w:w="241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Chief Executive Officer</w:t>
            </w:r>
          </w:p>
        </w:tc>
      </w:tr>
    </w:tbl>
    <w:p>
      <w:pPr>
        <w:pStyle w:val="TextBody"/>
        <w:bidi w:val="0"/>
        <w:spacing w:before="0" w:after="120"/>
        <w:jc w:val="left"/>
        <w:rPr>
          <w:rFonts w:ascii="Times New Roman" w:hAnsi="Times New Roman"/>
          <w:color w:val="000000"/>
          <w:sz w:val="24"/>
        </w:rPr>
      </w:pPr>
      <w:r>
        <w:rPr>
          <w:rFonts w:ascii="Times New Roman" w:hAnsi="Times New Roman"/>
          <w:color w:val="000000"/>
          <w:sz w:val="24"/>
        </w:rPr>
        <w:t>Agreed to and Accepted:</w:t>
      </w:r>
    </w:p>
    <w:tbl>
      <w:tblPr>
        <w:tblW w:w="2642" w:type="dxa"/>
        <w:jc w:val="left"/>
        <w:tblInd w:w="0" w:type="dxa"/>
        <w:tblLayout w:type="fixed"/>
        <w:tblCellMar>
          <w:top w:w="28" w:type="dxa"/>
          <w:left w:w="28" w:type="dxa"/>
          <w:bottom w:w="28" w:type="dxa"/>
          <w:right w:w="28" w:type="dxa"/>
        </w:tblCellMar>
      </w:tblPr>
      <w:tblGrid>
        <w:gridCol w:w="751"/>
        <w:gridCol w:w="1891"/>
      </w:tblGrid>
      <w:tr>
        <w:trPr/>
        <w:tc>
          <w:tcPr>
            <w:tcW w:w="751"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By:</w:t>
            </w:r>
          </w:p>
        </w:tc>
        <w:tc>
          <w:tcPr>
            <w:tcW w:w="1891" w:type="dxa"/>
            <w:tcBorders>
              <w:bottom w:val="single" w:sz="2" w:space="0" w:color="000000"/>
            </w:tcBorders>
            <w:shd w:fill="FFFFFF" w:val="clear"/>
            <w:tcMar>
              <w:top w:w="0" w:type="dxa"/>
              <w:left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/s/ Todd Girolamo</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Name:</w:t>
            </w:r>
          </w:p>
        </w:tc>
        <w:tc>
          <w:tcPr>
            <w:tcW w:w="189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Todd Girolamo</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Date:</w:t>
            </w:r>
          </w:p>
        </w:tc>
        <w:tc>
          <w:tcPr>
            <w:tcW w:w="189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5/9/2025</w:t>
            </w:r>
          </w:p>
        </w:tc>
      </w:tr>
    </w:tbl>
    <w:p>
      <w:pPr>
        <w:pStyle w:val="TextBody"/>
        <w:bidi w:val="0"/>
        <w:spacing w:before="0" w:after="120"/>
        <w:jc w:val="left"/>
        <w:rPr/>
      </w:pPr>
      <w:r>
        <w:rPr/>
        <w:t> </w:t>
      </w:r>
    </w:p>
    <w:p>
      <w:pPr>
        <w:pStyle w:val="TextBody"/>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EXHIBIT A</w:t>
      </w:r>
    </w:p>
    <w:p>
      <w:pPr>
        <w:pStyle w:val="TextBody"/>
        <w:bidi w:val="0"/>
        <w:jc w:val="left"/>
        <w:rPr>
          <w:rFonts w:ascii="Times New Roman" w:hAnsi="Times New Roman"/>
          <w:sz w:val="20"/>
        </w:rPr>
      </w:pPr>
      <w:r>
        <w:rPr>
          <w:rFonts w:ascii="Times New Roman" w:hAnsi="Times New Roman"/>
          <w:color w:val="000000"/>
          <w:sz w:val="24"/>
        </w:rPr>
        <w:t>[</w:t>
      </w:r>
      <w:r>
        <w:rPr>
          <w:rFonts w:ascii="Times New Roman" w:hAnsi="Times New Roman"/>
          <w:b/>
          <w:i/>
          <w:color w:val="000000"/>
          <w:sz w:val="24"/>
          <w:u w:val="single"/>
        </w:rPr>
        <w:t>The language in this Release may change based on legal developments and evolving best</w:t>
      </w:r>
      <w:r>
        <w:rPr>
          <w:rFonts w:ascii="Times New Roman" w:hAnsi="Times New Roman"/>
          <w:color w:val="000000"/>
          <w:sz w:val="20"/>
        </w:rPr>
        <w:t xml:space="preserve"> </w:t>
      </w:r>
      <w:r>
        <w:rPr>
          <w:rFonts w:ascii="Times New Roman" w:hAnsi="Times New Roman"/>
          <w:b/>
          <w:i/>
          <w:color w:val="000000"/>
          <w:sz w:val="24"/>
          <w:u w:val="single"/>
        </w:rPr>
        <w:t>practices; this form is provided as an example of what will be included in the final Release</w:t>
      </w:r>
      <w:r>
        <w:rPr>
          <w:rFonts w:ascii="Times New Roman" w:hAnsi="Times New Roman"/>
          <w:color w:val="000000"/>
          <w:sz w:val="20"/>
        </w:rPr>
        <w:t xml:space="preserve"> </w:t>
      </w:r>
      <w:r>
        <w:rPr>
          <w:rFonts w:ascii="Times New Roman" w:hAnsi="Times New Roman"/>
          <w:b/>
          <w:i/>
          <w:color w:val="000000"/>
          <w:sz w:val="24"/>
          <w:u w:val="single"/>
        </w:rPr>
        <w:t>document.</w:t>
      </w:r>
      <w:r>
        <w:rPr>
          <w:rFonts w:ascii="Times New Roman" w:hAnsi="Times New Roman"/>
          <w:color w:val="000000"/>
          <w:sz w:val="24"/>
        </w:rPr>
        <w:t>]</w:t>
      </w:r>
      <w:r>
        <w:rPr>
          <w:rFonts w:ascii="Times New Roman" w:hAnsi="Times New Roman"/>
          <w:color w:val="000000"/>
          <w:sz w:val="16"/>
        </w:rPr>
        <w:t>1</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GENERAL RELEASE OF ALL CLAIMS</w:t>
      </w:r>
    </w:p>
    <w:p>
      <w:pPr>
        <w:pStyle w:val="TextBody"/>
        <w:bidi w:val="0"/>
        <w:jc w:val="left"/>
        <w:rPr>
          <w:rFonts w:ascii="Times New Roman" w:hAnsi="Times New Roman"/>
          <w:sz w:val="20"/>
        </w:rPr>
      </w:pPr>
      <w:r>
        <w:rPr>
          <w:rFonts w:ascii="Times New Roman" w:hAnsi="Times New Roman"/>
          <w:color w:val="000000"/>
          <w:sz w:val="24"/>
        </w:rPr>
        <w:t>1. For valuable consideration, the adequacy of which is hereby acknowledged, [NAME] (“</w:t>
      </w:r>
      <w:r>
        <w:rPr>
          <w:rFonts w:ascii="Times New Roman" w:hAnsi="Times New Roman"/>
          <w:color w:val="000000"/>
          <w:sz w:val="24"/>
          <w:u w:val="single"/>
        </w:rPr>
        <w:t>Executive</w:t>
      </w:r>
      <w:r>
        <w:rPr>
          <w:rFonts w:ascii="Times New Roman" w:hAnsi="Times New Roman"/>
          <w:color w:val="000000"/>
          <w:sz w:val="20"/>
        </w:rPr>
        <w:t>”</w:t>
      </w:r>
      <w:r>
        <w:rPr>
          <w:rFonts w:ascii="Times New Roman" w:hAnsi="Times New Roman"/>
          <w:color w:val="000000"/>
          <w:sz w:val="24"/>
        </w:rPr>
        <w:t>), for himself, his spouse, heirs, administrators, children, representatives, executors, successors, assigns, trusts for his benefit and all other persons claiming through Executive, if any (collectively, “</w:t>
      </w:r>
      <w:r>
        <w:rPr>
          <w:rFonts w:ascii="Times New Roman" w:hAnsi="Times New Roman"/>
          <w:color w:val="000000"/>
          <w:sz w:val="24"/>
          <w:u w:val="single"/>
        </w:rPr>
        <w:t>Releasers</w:t>
      </w:r>
      <w:r>
        <w:rPr>
          <w:rFonts w:ascii="Times New Roman" w:hAnsi="Times New Roman"/>
          <w:color w:val="000000"/>
          <w:sz w:val="20"/>
        </w:rPr>
        <w:t>”</w:t>
      </w:r>
      <w:r>
        <w:rPr>
          <w:rFonts w:ascii="Times New Roman" w:hAnsi="Times New Roman"/>
          <w:color w:val="000000"/>
          <w:sz w:val="24"/>
        </w:rPr>
        <w:t>), does hereby release, waive, and forever discharge [ProKidney, LLC, a Delaware limited liability company]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ProKidney Corp. and their respective subsidiaries, parents, affiliates, related organizations, and equity holders, and their respective affiliates (including trustees and beneficiaries of trusts that are direct and indirect equity holders), employees, officers, directors, attorneys, successors, and assigns or each of the foregoing (collectively, the “</w:t>
      </w:r>
      <w:r>
        <w:rPr>
          <w:rFonts w:ascii="Times New Roman" w:hAnsi="Times New Roman"/>
          <w:color w:val="000000"/>
          <w:sz w:val="24"/>
          <w:u w:val="single"/>
        </w:rPr>
        <w:t>Releasees</w:t>
      </w:r>
      <w:r>
        <w:rPr>
          <w:rFonts w:ascii="Times New Roman" w:hAnsi="Times New Roman"/>
          <w:color w:val="000000"/>
          <w:sz w:val="20"/>
        </w:rPr>
        <w:t>”</w:t>
      </w:r>
      <w:r>
        <w:rPr>
          <w:rFonts w:ascii="Times New Roman" w:hAnsi="Times New Roman"/>
          <w:color w:val="000000"/>
          <w:sz w:val="24"/>
        </w:rPr>
        <w:t>) from, and does fully waive any obligations or liabilities of Releasees to Releasers of any kind and nature that Releasers had, have, or might claim to have against Releasees at the time Executive executes this General Release for or in respect of any and all liability, actions, charges, causes of action, demands, damages, or claims for relief, remuneration, sums of money, accounts or expenses, and any action arising in tort including libel, slander, defamation or intentional infliction of emotional distress, and claims under any federal, state or local statute including Title VII of the Civil Rights Act of 1964, the Civil Rights Act of 1866 and 1871 (42 U.S.C. § 1981), the Equal Pay Act, Employee Retirement Income Security Act, Family and Medical Leave Act, the National Labor Relations Act, the Fair Labor Standards Act, the Americans with Disabilities Act of 1990, the Age Discrimination in Employment Act of 1967, the Rehabilitation Act of 1973, or the discrimination or employment laws of any state or municipality, and/or any claims under any express or implied contract which Releasers may claim existed with Releasees. This also includes a release by Executive of any claims for breach of contract, wrongful discharge and all claims for alleged physical or personal injury, emotional distress relating to or arising out of Executive’s employment with Company or the termination of that employment; and any claims under the WARN Act or any similar law, which requires, among other things, that advance notice be given of certain work force reductions. This release and waiver does not apply to any claims or rights that may arise after the date Executive signs this General Release. The foregoing release does not apply to (a) any claims or rights for compensation, benefits, indemnification and any other surviving rights now existing under the Employment Letter between the Company and Executive dated as of [●](the “</w:t>
      </w:r>
      <w:r>
        <w:rPr>
          <w:rFonts w:ascii="Times New Roman" w:hAnsi="Times New Roman"/>
          <w:color w:val="000000"/>
          <w:sz w:val="24"/>
          <w:u w:val="single"/>
        </w:rPr>
        <w:t>Employment Letter</w:t>
      </w:r>
      <w:r>
        <w:rPr>
          <w:rFonts w:ascii="Times New Roman" w:hAnsi="Times New Roman"/>
          <w:color w:val="000000"/>
          <w:sz w:val="20"/>
        </w:rPr>
        <w:t>”</w:t>
      </w:r>
      <w:r>
        <w:rPr>
          <w:rFonts w:ascii="Times New Roman" w:hAnsi="Times New Roman"/>
          <w:color w:val="000000"/>
          <w:sz w:val="24"/>
        </w:rPr>
        <w:t>), the organizational documents of the Company or any of its affiliates or any other agreement providing for indemnification regardless of when any claim is filed, (b) any claims or rights under directors and officers liability insurance, (c) any claims or rights accruing to any Releaser in its capacity as an equity holder of ProKidney Corp. or any of its subsidiaries, (d) any claims for vested benefits under an employee benefit plan in which Executive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participated during his employment; and (e) any claims that cannot be waived as a matter of law, including unemployment insurance and workers’ compensation insurance..</w:t>
      </w:r>
    </w:p>
    <w:p>
      <w:pPr>
        <w:pStyle w:val="TextBody"/>
        <w:bidi w:val="0"/>
        <w:jc w:val="left"/>
        <w:rPr>
          <w:rFonts w:ascii="Times New Roman" w:hAnsi="Times New Roman"/>
          <w:color w:val="000000"/>
          <w:sz w:val="24"/>
        </w:rPr>
      </w:pPr>
      <w:r>
        <w:rPr>
          <w:rFonts w:ascii="Times New Roman" w:hAnsi="Times New Roman"/>
          <w:color w:val="000000"/>
          <w:sz w:val="24"/>
        </w:rPr>
        <w:t>2. Excluded from this release and waiver are any claims which cannot be waived by law, including but not limited to the right to participate in an investigation conducted by certain</w:t>
      </w:r>
    </w:p>
    <w:p>
      <w:pPr>
        <w:pStyle w:val="TextBody"/>
        <w:bidi w:val="0"/>
        <w:jc w:val="left"/>
        <w:rPr>
          <w:rFonts w:ascii="Times New Roman" w:hAnsi="Times New Roman"/>
          <w:color w:val="000000"/>
          <w:sz w:val="24"/>
        </w:rPr>
      </w:pPr>
      <w:r>
        <w:rPr>
          <w:rFonts w:ascii="Times New Roman" w:hAnsi="Times New Roman"/>
          <w:color w:val="000000"/>
          <w:sz w:val="24"/>
        </w:rPr>
        <w:t>government agencies. Executive does, however, waive Executive’s right to any monetary recovery should any agency (such as the Equal Employment Opportunity Commission) pursue any claims on Executive’s behalf. Executive represents and warrants that Executive has not filed any complaint, charge, or lawsuit against the Releasees with any government agency or any court.</w:t>
      </w:r>
    </w:p>
    <w:p>
      <w:pPr>
        <w:pStyle w:val="TextBody"/>
        <w:bidi w:val="0"/>
        <w:jc w:val="left"/>
        <w:rPr>
          <w:rFonts w:ascii="Times New Roman" w:hAnsi="Times New Roman"/>
          <w:color w:val="000000"/>
          <w:sz w:val="24"/>
        </w:rPr>
      </w:pPr>
      <w:r>
        <w:rPr>
          <w:rFonts w:ascii="Times New Roman" w:hAnsi="Times New Roman"/>
          <w:color w:val="000000"/>
          <w:sz w:val="24"/>
        </w:rPr>
        <w:t>3. Executive agrees never to sue Releasees in any forum for any claim covered by the above waiver and release language. If Executive violates this General Release by suing Releasees, other than as set forth in Section 1 hereof, Executive shall be liable to the Company for its reasonable attorneys’ fees and other litigation costs incurred in defending against such a suit. Executive represents and warrants that he has not assigned or transferred, in any manner, including by subrogation or operation of law, any portion of any claim, action, complaint, charge or suit encompassed by the releases set forth in this General Release.</w:t>
      </w:r>
    </w:p>
    <w:p>
      <w:pPr>
        <w:pStyle w:val="TextBody"/>
        <w:bidi w:val="0"/>
        <w:jc w:val="left"/>
        <w:rPr>
          <w:rFonts w:ascii="Times New Roman" w:hAnsi="Times New Roman"/>
          <w:color w:val="000000"/>
          <w:sz w:val="24"/>
        </w:rPr>
      </w:pPr>
      <w:r>
        <w:rPr>
          <w:rFonts w:ascii="Times New Roman" w:hAnsi="Times New Roman"/>
          <w:color w:val="000000"/>
          <w:sz w:val="24"/>
        </w:rPr>
        <w:t>4. Executive acknowledges and recites that:</w:t>
      </w:r>
    </w:p>
    <w:p>
      <w:pPr>
        <w:pStyle w:val="TextBody"/>
        <w:bidi w:val="0"/>
        <w:jc w:val="left"/>
        <w:rPr>
          <w:rFonts w:ascii="Times New Roman" w:hAnsi="Times New Roman"/>
          <w:color w:val="000000"/>
          <w:sz w:val="24"/>
        </w:rPr>
      </w:pPr>
      <w:r>
        <w:rPr>
          <w:rFonts w:ascii="Times New Roman" w:hAnsi="Times New Roman"/>
          <w:color w:val="000000"/>
          <w:sz w:val="24"/>
        </w:rPr>
        <w:t>(a) Executive has executed this General Release knowingly and voluntarily;</w:t>
      </w:r>
    </w:p>
    <w:p>
      <w:pPr>
        <w:pStyle w:val="TextBody"/>
        <w:bidi w:val="0"/>
        <w:jc w:val="left"/>
        <w:rPr>
          <w:rFonts w:ascii="Times New Roman" w:hAnsi="Times New Roman"/>
          <w:color w:val="000000"/>
          <w:sz w:val="24"/>
        </w:rPr>
      </w:pPr>
      <w:r>
        <w:rPr>
          <w:rFonts w:ascii="Times New Roman" w:hAnsi="Times New Roman"/>
          <w:color w:val="000000"/>
          <w:sz w:val="24"/>
        </w:rPr>
        <w:t>(b) Executive has read and understands this General Release in its entirety;</w:t>
      </w:r>
    </w:p>
    <w:p>
      <w:pPr>
        <w:pStyle w:val="TextBody"/>
        <w:bidi w:val="0"/>
        <w:jc w:val="left"/>
        <w:rPr>
          <w:rFonts w:ascii="Times New Roman" w:hAnsi="Times New Roman"/>
          <w:color w:val="000000"/>
          <w:sz w:val="24"/>
        </w:rPr>
      </w:pPr>
      <w:r>
        <w:rPr>
          <w:rFonts w:ascii="Times New Roman" w:hAnsi="Times New Roman"/>
          <w:color w:val="000000"/>
          <w:sz w:val="24"/>
        </w:rPr>
        <w:t>(c) Executive has been advised and directed orally and in writing (and this subsection (c) constitutes such written direction) to seek legal counsel and any other advice he wishes with respect to the terms of this General Release before executing it;</w:t>
      </w:r>
    </w:p>
    <w:p>
      <w:pPr>
        <w:pStyle w:val="TextBody"/>
        <w:bidi w:val="0"/>
        <w:jc w:val="left"/>
        <w:rPr>
          <w:rFonts w:ascii="Times New Roman" w:hAnsi="Times New Roman"/>
          <w:color w:val="000000"/>
          <w:sz w:val="24"/>
        </w:rPr>
      </w:pPr>
      <w:r>
        <w:rPr>
          <w:rFonts w:ascii="Times New Roman" w:hAnsi="Times New Roman"/>
          <w:color w:val="000000"/>
          <w:sz w:val="24"/>
        </w:rPr>
        <w:t>(d) Executive’s execution of this General Release has not been forced by any employee or agent of the Company, and Executive has had an opportunity to negotiate about the terms of this General Release;</w:t>
      </w:r>
    </w:p>
    <w:p>
      <w:pPr>
        <w:pStyle w:val="TextBody"/>
        <w:bidi w:val="0"/>
        <w:jc w:val="left"/>
        <w:rPr>
          <w:rFonts w:ascii="Times New Roman" w:hAnsi="Times New Roman"/>
          <w:color w:val="000000"/>
          <w:sz w:val="24"/>
        </w:rPr>
      </w:pPr>
      <w:r>
        <w:rPr>
          <w:rFonts w:ascii="Times New Roman" w:hAnsi="Times New Roman"/>
          <w:color w:val="000000"/>
          <w:sz w:val="24"/>
        </w:rPr>
        <w:t>(e) Executive has been given at least twenty-one (21) days to consider this General Release, and if executed prior to the expiration of the twenty-one (21) day period, such execution is knowing and voluntary; and</w:t>
      </w:r>
    </w:p>
    <w:p>
      <w:pPr>
        <w:pStyle w:val="TextBody"/>
        <w:bidi w:val="0"/>
        <w:jc w:val="left"/>
        <w:rPr>
          <w:rFonts w:ascii="Times New Roman" w:hAnsi="Times New Roman"/>
          <w:color w:val="000000"/>
          <w:sz w:val="24"/>
        </w:rPr>
      </w:pPr>
      <w:r>
        <w:rPr>
          <w:rFonts w:ascii="Times New Roman" w:hAnsi="Times New Roman"/>
          <w:color w:val="000000"/>
          <w:sz w:val="24"/>
        </w:rPr>
        <w:t>(f) The additional benefits and other promises that Executive is to receive under the Employment Letter are sufficient consideration for this General Release.</w:t>
      </w:r>
    </w:p>
    <w:p>
      <w:pPr>
        <w:pStyle w:val="TextBody"/>
        <w:bidi w:val="0"/>
        <w:jc w:val="left"/>
        <w:rPr>
          <w:rFonts w:ascii="Times New Roman" w:hAnsi="Times New Roman"/>
          <w:color w:val="000000"/>
          <w:sz w:val="24"/>
        </w:rPr>
      </w:pPr>
      <w:r>
        <w:rPr>
          <w:rFonts w:ascii="Times New Roman" w:hAnsi="Times New Roman"/>
          <w:color w:val="000000"/>
          <w:sz w:val="24"/>
        </w:rPr>
        <w:t>5. This General Release shall be governed by the internal laws (and not the choice of laws) of the State of Delaware, except for the application of pre-emptive Federal law.</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6. The parties hereby agree that any suit, action or proceeding seeking to enforce any provision of, or based on any matter arising out of or in connection with, this General Release shall only be brought in the Chancery Court of the State of Delaware (or other appropriate state court in the State of Delaware) or the Federal courts located in the State of Delaware and not in any other State or Federal courts located in the United States of America or any court in any other country, and each of the parties hereby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which is brought in any such court has been brought in an inconvenient form. The parties hereby agree that process in any such suit, action or proceeding may be served on either party anywhere in the world, whether within or without the jurisdiction of any such court. EACH OF THE PARTIES HERETO HEREBY IRREVOCABLY WAIVES ANY AND ALL RIGHTS TO TRIAL BY JURY IN ANY LEGAL PROCEEDING ARISING OUT OF OR RELATED TO THIS AGREEMENT OR THE TRANSACTIONS CONTEMPLATED HEREBY..</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7. Executive may revoke this General Release within seven (7) calendar days after signing it. To be effective, such revocation must be made in writing to the Board of Directors of ProKidney Corp., with a copy received at 2000 Frontis Plaza Blvd., Ste. 250 Winston-Salem, NC 27103, Attention: Todd Girolamo. Revocation can be made by hand delivery, telegram, facsimile, or postmarking before the expiration of this seven (7) day period. None of the obligations of the Company under the Employment Letter shall be effective in the event that Executive revokes this General Release pursuant to this Section 7.</w:t>
      </w:r>
    </w:p>
    <w:p>
      <w:pPr>
        <w:pStyle w:val="TextBody"/>
        <w:bidi w:val="0"/>
        <w:jc w:val="left"/>
        <w:rPr/>
      </w:pPr>
      <w:r>
        <w:rPr/>
        <w:t> </w:t>
      </w:r>
    </w:p>
    <w:p>
      <w:pPr>
        <w:pStyle w:val="TextBody"/>
        <w:pBdr>
          <w:bottom w:val="single" w:sz="8" w:space="1" w:color="000000"/>
        </w:pBdr>
        <w:bidi w:val="0"/>
        <w:jc w:val="left"/>
        <w:rPr/>
      </w:pPr>
      <w:r>
        <w:rPr/>
        <w:t> </w:t>
      </w:r>
    </w:p>
    <w:p>
      <w:pPr>
        <w:pStyle w:val="TextBody"/>
        <w:bidi w:val="0"/>
        <w:jc w:val="left"/>
        <w:rPr/>
      </w:pPr>
      <w:r>
        <w:rPr/>
        <w:t> </w:t>
      </w:r>
    </w:p>
    <w:p>
      <w:pPr>
        <w:pStyle w:val="TextBody"/>
        <w:bidi w:val="0"/>
        <w:jc w:val="left"/>
        <w:rPr>
          <w:rFonts w:ascii="Times New Roman" w:hAnsi="Times New Roman"/>
          <w:i/>
          <w:color w:val="000000"/>
          <w:sz w:val="24"/>
        </w:rPr>
      </w:pPr>
      <w:r>
        <w:rPr>
          <w:rFonts w:ascii="Times New Roman" w:hAnsi="Times New Roman"/>
          <w:i/>
          <w:color w:val="000000"/>
          <w:sz w:val="24"/>
        </w:rPr>
        <w:t>(Signature page follows)</w:t>
      </w:r>
    </w:p>
    <w:p>
      <w:pPr>
        <w:pStyle w:val="TextBody"/>
        <w:pBdr>
          <w:bottom w:val="single" w:sz="8" w:space="1" w:color="000000"/>
        </w:pBdr>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PLEASE READ THIS AGREEMENT CAREFULLY. IT CONTAINS A RELEASE OF ALL KNOWN AND UNKNOWN CLAIMS.</w:t>
      </w:r>
    </w:p>
    <w:p>
      <w:pPr>
        <w:pStyle w:val="TextBody"/>
        <w:bidi w:val="0"/>
        <w:jc w:val="left"/>
        <w:rPr>
          <w:rFonts w:ascii="Times New Roman" w:hAnsi="Times New Roman"/>
          <w:sz w:val="20"/>
        </w:rPr>
      </w:pPr>
      <w:r>
        <w:rPr>
          <w:rFonts w:ascii="Times New Roman" w:hAnsi="Times New Roman"/>
          <w:color w:val="000000"/>
          <w:sz w:val="24"/>
        </w:rPr>
        <w:t>Date: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Executive:</w:t>
      </w:r>
      <w:r>
        <w:rPr>
          <w:rFonts w:ascii="Times New Roman" w:hAnsi="Times New Roman"/>
          <w:color w:val="000000"/>
          <w:sz w:val="20"/>
        </w:rPr>
        <w:t xml:space="preserve"> </w:t>
      </w:r>
    </w:p>
    <w:p>
      <w:pPr>
        <w:pStyle w:val="TextBody"/>
        <w:pBdr>
          <w:bottom w:val="single" w:sz="8"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39" w:name="prok-ex10_11.htm"/>
      <w:bookmarkStart w:id="40" w:name="ksprokex10_11"/>
      <w:bookmarkEnd w:id="39"/>
      <w:bookmarkEnd w:id="40"/>
      <w:r>
        <w:rPr>
          <w:rFonts w:ascii="Times New Roman" w:hAnsi="Times New Roman"/>
          <w:b/>
          <w:color w:val="000000"/>
          <w:sz w:val="22"/>
        </w:rPr>
        <w:t>Exhibit 10.11</w:t>
      </w:r>
      <w:r>
        <w:br w:type="page"/>
      </w:r>
    </w:p>
    <w:p>
      <w:pPr>
        <w:pStyle w:val="TextBody"/>
        <w:bidi w:val="0"/>
        <w:jc w:val="left"/>
        <w:rPr>
          <w:rFonts w:ascii="Times New Roman" w:hAnsi="Times New Roman"/>
          <w:color w:val="000000"/>
          <w:sz w:val="24"/>
        </w:rPr>
      </w:pPr>
      <w:r>
        <w:rPr>
          <w:rFonts w:ascii="Times New Roman" w:hAnsi="Times New Roman"/>
          <w:color w:val="000000"/>
          <w:sz w:val="24"/>
        </w:rPr>
        <w:t>June 11, 2025</w:t>
      </w:r>
    </w:p>
    <w:p>
      <w:pPr>
        <w:pStyle w:val="TextBody"/>
        <w:bidi w:val="0"/>
        <w:jc w:val="left"/>
        <w:rPr>
          <w:rFonts w:ascii="Times New Roman" w:hAnsi="Times New Roman"/>
          <w:color w:val="000000"/>
          <w:sz w:val="24"/>
        </w:rPr>
      </w:pPr>
      <w:r>
        <w:rPr>
          <w:rFonts w:ascii="Times New Roman" w:hAnsi="Times New Roman"/>
          <w:color w:val="000000"/>
          <w:sz w:val="24"/>
        </w:rPr>
        <w:t>Darin Weber</w:t>
      </w:r>
    </w:p>
    <w:p>
      <w:pPr>
        <w:pStyle w:val="TextBody"/>
        <w:bidi w:val="0"/>
        <w:jc w:val="left"/>
        <w:rPr>
          <w:rFonts w:ascii="Times New Roman" w:hAnsi="Times New Roman"/>
          <w:color w:val="000000"/>
          <w:sz w:val="24"/>
        </w:rPr>
      </w:pPr>
      <w:r>
        <w:rPr>
          <w:rFonts w:ascii="Times New Roman" w:hAnsi="Times New Roman"/>
          <w:color w:val="000000"/>
          <w:sz w:val="24"/>
        </w:rPr>
        <w:t>27061 7th Pl S</w:t>
      </w:r>
    </w:p>
    <w:p>
      <w:pPr>
        <w:pStyle w:val="TextBody"/>
        <w:bidi w:val="0"/>
        <w:jc w:val="left"/>
        <w:rPr>
          <w:rFonts w:ascii="Times New Roman" w:hAnsi="Times New Roman"/>
          <w:sz w:val="20"/>
        </w:rPr>
      </w:pPr>
      <w:r>
        <w:rPr>
          <w:rFonts w:ascii="Times New Roman" w:hAnsi="Times New Roman"/>
          <w:color w:val="000000"/>
          <w:sz w:val="24"/>
        </w:rPr>
        <w:t>Des Moines, WA 98198-9306</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Dear Darin:</w:t>
      </w:r>
    </w:p>
    <w:p>
      <w:pPr>
        <w:pStyle w:val="TextBody"/>
        <w:bidi w:val="0"/>
        <w:spacing w:before="0" w:after="0"/>
        <w:jc w:val="left"/>
        <w:rPr>
          <w:rFonts w:ascii="Cambria" w:hAnsi="Cambria"/>
          <w:b/>
          <w:color w:val="000000"/>
          <w:sz w:val="24"/>
        </w:rPr>
      </w:pPr>
      <w:r>
        <w:rPr>
          <w:rFonts w:ascii="Cambria" w:hAnsi="Cambria"/>
          <w:b/>
          <w:color w:val="000000"/>
          <w:sz w:val="24"/>
        </w:rPr>
        <w:t>1.</w:t>
      </w:r>
    </w:p>
    <w:p>
      <w:pPr>
        <w:pStyle w:val="TextBody"/>
        <w:bidi w:val="0"/>
        <w:jc w:val="left"/>
        <w:rPr/>
      </w:pPr>
      <w:r>
        <w:rPr>
          <w:rFonts w:ascii="Times New Roman" w:hAnsi="Times New Roman"/>
          <w:color w:val="000000"/>
          <w:sz w:val="24"/>
        </w:rPr>
        <w:t>This letter agreement (this “</w:t>
      </w:r>
      <w:r>
        <w:rPr>
          <w:rFonts w:ascii="Times New Roman" w:hAnsi="Times New Roman"/>
          <w:color w:val="000000"/>
          <w:sz w:val="24"/>
          <w:u w:val="single"/>
        </w:rPr>
        <w:t>Agreement</w:t>
      </w:r>
      <w:r>
        <w:rPr>
          <w:color w:val="000000"/>
        </w:rPr>
        <w:t>”</w:t>
      </w:r>
      <w:r>
        <w:rPr>
          <w:rFonts w:ascii="Times New Roman" w:hAnsi="Times New Roman"/>
          <w:color w:val="000000"/>
          <w:sz w:val="24"/>
        </w:rPr>
        <w:t>) sets forth the terms and conditions of your</w:t>
      </w:r>
    </w:p>
    <w:p>
      <w:pPr>
        <w:pStyle w:val="TextBody"/>
        <w:bidi w:val="0"/>
        <w:jc w:val="left"/>
        <w:rPr>
          <w:rFonts w:ascii="Times New Roman" w:hAnsi="Times New Roman"/>
          <w:sz w:val="20"/>
        </w:rPr>
      </w:pPr>
      <w:r>
        <w:rPr>
          <w:rFonts w:ascii="Times New Roman" w:hAnsi="Times New Roman"/>
          <w:color w:val="000000"/>
          <w:sz w:val="24"/>
        </w:rPr>
        <w:t>continued employment with ProKidney, LLC, a Delaware limited liability company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as of June 11, 2025 (the “</w:t>
      </w:r>
      <w:r>
        <w:rPr>
          <w:rFonts w:ascii="Times New Roman" w:hAnsi="Times New Roman"/>
          <w:color w:val="000000"/>
          <w:sz w:val="24"/>
          <w:u w:val="single"/>
        </w:rPr>
        <w:t>Effective Date</w:t>
      </w:r>
      <w:r>
        <w:rPr>
          <w:rFonts w:ascii="Times New Roman" w:hAnsi="Times New Roman"/>
          <w:color w:val="000000"/>
          <w:sz w:val="20"/>
        </w:rPr>
        <w:t>”</w:t>
      </w:r>
      <w:r>
        <w:rPr>
          <w:rFonts w:ascii="Times New Roman" w:hAnsi="Times New Roman"/>
          <w:color w:val="000000"/>
          <w:sz w:val="24"/>
        </w:rPr>
        <w:t>). The period during which you are employed by the Company pursuant to this Agreement shall be referred to as the “Term.”</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This Agreement will govern your employment with the Company following the Effective Date on the following terms and conditions:</w:t>
      </w:r>
    </w:p>
    <w:p>
      <w:pPr>
        <w:pStyle w:val="TextBody"/>
        <w:bidi w:val="0"/>
        <w:jc w:val="left"/>
        <w:rPr>
          <w:rFonts w:ascii="Times New Roman" w:hAnsi="Times New Roman"/>
          <w:sz w:val="20"/>
        </w:rPr>
      </w:pPr>
      <w:r>
        <w:rPr>
          <w:rFonts w:ascii="Times New Roman" w:hAnsi="Times New Roman"/>
          <w:b/>
          <w:color w:val="000000"/>
          <w:sz w:val="24"/>
        </w:rPr>
        <w:t xml:space="preserve">Position: </w:t>
      </w:r>
      <w:r>
        <w:rPr>
          <w:rFonts w:ascii="Times New Roman" w:hAnsi="Times New Roman"/>
          <w:color w:val="000000"/>
          <w:sz w:val="24"/>
        </w:rPr>
        <w:t>Chief Regulatory Officer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 xml:space="preserve">Reporting: </w:t>
      </w:r>
      <w:r>
        <w:rPr>
          <w:rFonts w:ascii="Times New Roman" w:hAnsi="Times New Roman"/>
          <w:color w:val="000000"/>
          <w:sz w:val="24"/>
        </w:rPr>
        <w:t>You will report directly to the Chief Executive Officer (“Supervisor”).</w:t>
      </w:r>
    </w:p>
    <w:p>
      <w:pPr>
        <w:pStyle w:val="TextBody"/>
        <w:bidi w:val="0"/>
        <w:jc w:val="left"/>
        <w:rPr>
          <w:rFonts w:ascii="Times New Roman" w:hAnsi="Times New Roman"/>
          <w:sz w:val="20"/>
        </w:rPr>
      </w:pPr>
      <w:r>
        <w:rPr>
          <w:rFonts w:ascii="Times New Roman" w:hAnsi="Times New Roman"/>
          <w:b/>
          <w:color w:val="000000"/>
          <w:sz w:val="24"/>
        </w:rPr>
        <w:t xml:space="preserve">Duties and Commitment: </w:t>
      </w:r>
      <w:r>
        <w:rPr>
          <w:rFonts w:ascii="Times New Roman" w:hAnsi="Times New Roman"/>
          <w:color w:val="000000"/>
          <w:sz w:val="24"/>
        </w:rPr>
        <w:t>You shall be employed by the Company on a full-time basis and shall perform such duties and responsibilities on behalf of the Company and its subsidiaries and affiliates (collectively, the “</w:t>
      </w:r>
      <w:r>
        <w:rPr>
          <w:rFonts w:ascii="Times New Roman" w:hAnsi="Times New Roman"/>
          <w:color w:val="000000"/>
          <w:sz w:val="24"/>
          <w:u w:val="single"/>
        </w:rPr>
        <w:t>Company Group</w:t>
      </w:r>
      <w:r>
        <w:rPr>
          <w:rFonts w:ascii="Times New Roman" w:hAnsi="Times New Roman"/>
          <w:color w:val="000000"/>
          <w:sz w:val="20"/>
        </w:rPr>
        <w:t>”</w:t>
      </w:r>
      <w:r>
        <w:rPr>
          <w:rFonts w:ascii="Times New Roman" w:hAnsi="Times New Roman"/>
          <w:color w:val="000000"/>
          <w:sz w:val="24"/>
        </w:rPr>
        <w:t>) as are consistent with your position, and such additional duties and responsibilities on behalf of the Company Group, as may be designated from time to time by the Supervisor.</w:t>
      </w:r>
    </w:p>
    <w:p>
      <w:pPr>
        <w:pStyle w:val="TextBody"/>
        <w:bidi w:val="0"/>
        <w:jc w:val="left"/>
        <w:rPr>
          <w:rFonts w:ascii="Times New Roman" w:hAnsi="Times New Roman"/>
          <w:sz w:val="20"/>
        </w:rPr>
      </w:pPr>
      <w:r>
        <w:rPr>
          <w:rFonts w:ascii="Times New Roman" w:hAnsi="Times New Roman"/>
          <w:color w:val="000000"/>
          <w:sz w:val="24"/>
        </w:rPr>
        <w:t>You will be required to devote all of your business time to the business and affairs of the Company Group and to the promotion of its interests. Notwithstanding the foregoing, you may engage in other activities, such as personal investments and civic and charitable activities, so long as: (i) such activities do not interfere with your duties and obligations hereunder and (ii) such activities are disclosed in advance to the Board of Directors (the “</w:t>
      </w:r>
      <w:r>
        <w:rPr>
          <w:rFonts w:ascii="Times New Roman" w:hAnsi="Times New Roman"/>
          <w:color w:val="000000"/>
          <w:sz w:val="24"/>
          <w:u w:val="single"/>
        </w:rPr>
        <w:t>Board</w:t>
      </w:r>
      <w:r>
        <w:rPr>
          <w:rFonts w:ascii="Times New Roman" w:hAnsi="Times New Roman"/>
          <w:color w:val="000000"/>
          <w:sz w:val="20"/>
        </w:rPr>
        <w:t>”</w:t>
      </w:r>
      <w:r>
        <w:rPr>
          <w:rFonts w:ascii="Times New Roman" w:hAnsi="Times New Roman"/>
          <w:color w:val="000000"/>
          <w:sz w:val="24"/>
        </w:rPr>
        <w:t>) of ProKidney Corp. (“</w:t>
      </w:r>
      <w:r>
        <w:rPr>
          <w:rFonts w:ascii="Times New Roman" w:hAnsi="Times New Roman"/>
          <w:color w:val="000000"/>
          <w:sz w:val="24"/>
          <w:u w:val="single"/>
        </w:rPr>
        <w:t>Parent</w:t>
      </w:r>
      <w:r>
        <w:rPr>
          <w:rFonts w:ascii="Times New Roman" w:hAnsi="Times New Roman"/>
          <w:color w:val="000000"/>
          <w:sz w:val="20"/>
        </w:rPr>
        <w:t>”</w:t>
      </w:r>
      <w:r>
        <w:rPr>
          <w:rFonts w:ascii="Times New Roman" w:hAnsi="Times New Roman"/>
          <w:color w:val="000000"/>
          <w:sz w:val="24"/>
        </w:rPr>
        <w:t>)). In addition, you shall be permitted to serve as a director on any other company’s board of directors subject to the prior consent of the Board (which will not be unreasonably withheld).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 xml:space="preserve">Base Salary: </w:t>
      </w:r>
      <w:r>
        <w:rPr>
          <w:rFonts w:ascii="Times New Roman" w:hAnsi="Times New Roman"/>
          <w:color w:val="000000"/>
          <w:sz w:val="24"/>
        </w:rPr>
        <w:t>During the Term, your annual base salary will be $436,500.00 per year and will be payable in accordance with the Company’s normal payroll practices, less the applicable taxes and elective withholdings. Your base salary may be increased, but not decreased, as determined by the Board or the Compensation Committee of the Board (the “</w:t>
      </w:r>
      <w:r>
        <w:rPr>
          <w:rFonts w:ascii="Times New Roman" w:hAnsi="Times New Roman"/>
          <w:color w:val="000000"/>
          <w:sz w:val="24"/>
          <w:u w:val="single"/>
        </w:rPr>
        <w:t>Compensation Committee</w:t>
      </w:r>
      <w:r>
        <w:rPr>
          <w:rFonts w:ascii="Times New Roman" w:hAnsi="Times New Roman"/>
          <w:color w:val="000000"/>
          <w:sz w:val="20"/>
        </w:rPr>
        <w:t>”</w:t>
      </w:r>
      <w:r>
        <w:rPr>
          <w:rFonts w:ascii="Times New Roman" w:hAnsi="Times New Roman"/>
          <w:color w:val="000000"/>
          <w:sz w:val="24"/>
        </w:rPr>
        <w:t>).</w:t>
      </w:r>
    </w:p>
    <w:p>
      <w:pPr>
        <w:pStyle w:val="TextBody"/>
        <w:bidi w:val="0"/>
        <w:jc w:val="left"/>
        <w:rPr>
          <w:rFonts w:ascii="Times New Roman" w:hAnsi="Times New Roman"/>
          <w:sz w:val="20"/>
        </w:rPr>
      </w:pPr>
      <w:r>
        <w:rPr>
          <w:rFonts w:ascii="Times New Roman" w:hAnsi="Times New Roman"/>
          <w:b/>
          <w:color w:val="000000"/>
          <w:sz w:val="24"/>
        </w:rPr>
        <w:t xml:space="preserve">Incentive Bonus Eligibility: </w:t>
      </w:r>
      <w:r>
        <w:rPr>
          <w:rFonts w:ascii="Times New Roman" w:hAnsi="Times New Roman"/>
          <w:color w:val="000000"/>
          <w:sz w:val="24"/>
        </w:rPr>
        <w:t>During the Term, you will be eligible for an annual cash bonus pursuant to the Company’s annual cash bonus program based on the achievement of performance criteria established by the Compensation Committee for the applicable fiscal year, which may be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corporate goals and/or individual criteria. Your initial target bonus will be in an amount equal to 45% of your base salary (“</w:t>
      </w:r>
      <w:r>
        <w:rPr>
          <w:rFonts w:ascii="Times New Roman" w:hAnsi="Times New Roman"/>
          <w:color w:val="000000"/>
          <w:sz w:val="24"/>
          <w:u w:val="single"/>
        </w:rPr>
        <w:t>Target Bonus</w:t>
      </w:r>
      <w:r>
        <w:rPr>
          <w:rFonts w:ascii="Times New Roman" w:hAnsi="Times New Roman"/>
          <w:color w:val="000000"/>
          <w:sz w:val="20"/>
        </w:rPr>
        <w:t>”</w:t>
      </w:r>
      <w:r>
        <w:rPr>
          <w:rFonts w:ascii="Times New Roman" w:hAnsi="Times New Roman"/>
          <w:color w:val="000000"/>
          <w:sz w:val="24"/>
        </w:rPr>
        <w:t>). The actual amount of any bonus earned shall be determined by the Compensation Committee in its sole discretion after the end of the applicable fiscal year.</w:t>
      </w:r>
    </w:p>
    <w:p>
      <w:pPr>
        <w:pStyle w:val="TextBody"/>
        <w:bidi w:val="0"/>
        <w:jc w:val="left"/>
        <w:rPr>
          <w:rFonts w:ascii="Times New Roman" w:hAnsi="Times New Roman"/>
          <w:color w:val="000000"/>
          <w:sz w:val="24"/>
        </w:rPr>
      </w:pPr>
      <w:r>
        <w:rPr>
          <w:rFonts w:ascii="Times New Roman" w:hAnsi="Times New Roman"/>
          <w:color w:val="000000"/>
          <w:sz w:val="24"/>
        </w:rPr>
        <w:t>Except as otherwise provided herein, the Company will pay any bonus earned for a fiscal year in the year following the year to which the bonus relates, and generally before the end of the first quarter of that year. You will be entitled to receive any earned bonus for a fiscal year of the Company if you are employed on the payment date for such bonus.</w:t>
      </w:r>
    </w:p>
    <w:p>
      <w:pPr>
        <w:pStyle w:val="TextBody"/>
        <w:bidi w:val="0"/>
        <w:jc w:val="left"/>
        <w:rPr>
          <w:rFonts w:ascii="Times New Roman" w:hAnsi="Times New Roman"/>
          <w:sz w:val="20"/>
        </w:rPr>
      </w:pPr>
      <w:r>
        <w:rPr>
          <w:rFonts w:ascii="Times New Roman" w:hAnsi="Times New Roman"/>
          <w:b/>
          <w:color w:val="000000"/>
          <w:sz w:val="24"/>
        </w:rPr>
        <w:t>Long-Term Incentive:</w:t>
      </w:r>
      <w:r>
        <w:rPr>
          <w:rFonts w:ascii="Times New Roman" w:hAnsi="Times New Roman"/>
          <w:color w:val="000000"/>
          <w:sz w:val="20"/>
        </w:rPr>
        <w:t xml:space="preserve"> </w:t>
      </w:r>
      <w:r>
        <w:rPr>
          <w:rFonts w:ascii="Times New Roman" w:hAnsi="Times New Roman"/>
          <w:color w:val="000000"/>
          <w:sz w:val="24"/>
        </w:rPr>
        <w:t>You will be eligible to receive long-term incentive awards pursuant to the terms of the ProKidney Corp. 2022 Incentive Equity Plan (the “Incentive Equity Plan”) (or any successor plan thereto). Long-term incentive awards will be granted at the discretion of the Compensation Committee and in accordance with market guidelines for your role as approved by the Compensation Committee.</w:t>
      </w:r>
    </w:p>
    <w:p>
      <w:pPr>
        <w:pStyle w:val="TextBody"/>
        <w:bidi w:val="0"/>
        <w:jc w:val="left"/>
        <w:rPr>
          <w:rFonts w:ascii="Times New Roman" w:hAnsi="Times New Roman"/>
          <w:sz w:val="20"/>
        </w:rPr>
      </w:pPr>
      <w:r>
        <w:rPr>
          <w:rFonts w:ascii="Times New Roman" w:hAnsi="Times New Roman"/>
          <w:b/>
          <w:color w:val="000000"/>
          <w:sz w:val="24"/>
        </w:rPr>
        <w:t xml:space="preserve">Benefits: </w:t>
      </w:r>
      <w:r>
        <w:rPr>
          <w:rFonts w:ascii="Times New Roman" w:hAnsi="Times New Roman"/>
          <w:color w:val="000000"/>
          <w:sz w:val="24"/>
        </w:rPr>
        <w:t>During your employment with the Company, you will be eligible for participation in employee health and welfare benefits programs, retirement programs, and other fringe benefits maintained by the Company, to the extent consistent with applicable law and the terms of the applicable plans and programs, which may include certain plans and programs available to similarly situated executives of the Company or otherwise applicable to your position from time to time, subject to all plan terms and eligibility requirements. The benefit plans and programs for which you may be eligible are more fully described in the applicable plan summaries and related documents. The Company retains all rights to amend or terminate any such benefit plans and programs, subject to the terms of such employee benefit plans and programs and applicable law, and nothing contained herein shall obligate the Company to continue any benefit plans or programs in the future.</w:t>
      </w:r>
    </w:p>
    <w:p>
      <w:pPr>
        <w:pStyle w:val="TextBody"/>
        <w:bidi w:val="0"/>
        <w:jc w:val="left"/>
        <w:rPr>
          <w:rFonts w:ascii="Times New Roman" w:hAnsi="Times New Roman"/>
          <w:color w:val="000000"/>
          <w:sz w:val="24"/>
        </w:rPr>
      </w:pPr>
      <w:r>
        <w:rPr>
          <w:rFonts w:ascii="Times New Roman" w:hAnsi="Times New Roman"/>
          <w:color w:val="000000"/>
          <w:sz w:val="24"/>
        </w:rPr>
        <w:t>You will be eligible to receive vacation in accordance with the terms of the Company’s vacation/Paid Time Off “PTO” policy.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 xml:space="preserve">Business Expenses: </w:t>
      </w:r>
      <w:r>
        <w:rPr>
          <w:rFonts w:ascii="Times New Roman" w:hAnsi="Times New Roman"/>
          <w:color w:val="000000"/>
          <w:sz w:val="24"/>
        </w:rPr>
        <w:t>During the Term, the Company will reimburse you for reasonable business expenses, including travel, entertainment, and other expenses (including a mobile phone and data service) incurred by you in the furtherance of the performance of your duties hereunder, in accordance with the Company’s Travel and Entertainment policy as in effect from time to time.</w:t>
      </w:r>
    </w:p>
    <w:p>
      <w:pPr>
        <w:pStyle w:val="TextBody"/>
        <w:bidi w:val="0"/>
        <w:jc w:val="left"/>
        <w:rPr>
          <w:rFonts w:ascii="Times New Roman" w:hAnsi="Times New Roman"/>
          <w:sz w:val="20"/>
        </w:rPr>
      </w:pPr>
      <w:r>
        <w:rPr>
          <w:rFonts w:ascii="Times New Roman" w:hAnsi="Times New Roman"/>
          <w:b/>
          <w:color w:val="000000"/>
          <w:sz w:val="24"/>
        </w:rPr>
        <w:t xml:space="preserve">Term: </w:t>
      </w:r>
      <w:r>
        <w:rPr>
          <w:rFonts w:ascii="Times New Roman" w:hAnsi="Times New Roman"/>
          <w:color w:val="000000"/>
          <w:sz w:val="24"/>
        </w:rPr>
        <w:t>The term of your employment with the Company will terminate upon delivery to you of notice to such effect, which notice may be given for any or no reason, or upon your earlier resignation, death or disability (as customarily defined by the Company). You acknowledge that no provision contained in this Agreement will entitle you to remain in the employment of the Company or any of its subsidiaries or affiliates or affect the right of the Company to terminate your employment hereunder at any time for any reason, subject to compliance with the termination provisions set forth herein.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 xml:space="preserve">Termination: </w:t>
      </w:r>
      <w:r>
        <w:rPr>
          <w:rFonts w:ascii="Times New Roman" w:hAnsi="Times New Roman"/>
          <w:color w:val="000000"/>
          <w:sz w:val="24"/>
        </w:rPr>
        <w:t>(a) Upon your termination of employment for any reason, the Company shall pay to you (i) your base salary earned through the date of such termination, (ii) amounts for accrued but unused vacation days in the year of termination and (iii) any unreimbursed business expenses in accordance with the Company’s reimbursement policy, not later than thirty (30) business days after the customary documentation regarding such expenses has been received and only to the extent that such expenses are submitted within ninety (90) days following the date of your termination (collectively, “</w:t>
      </w:r>
      <w:r>
        <w:rPr>
          <w:rFonts w:ascii="Times New Roman" w:hAnsi="Times New Roman"/>
          <w:color w:val="000000"/>
          <w:sz w:val="24"/>
          <w:u w:val="single"/>
        </w:rPr>
        <w:t>Accrued Amounts</w:t>
      </w:r>
      <w:r>
        <w:rPr>
          <w:rFonts w:ascii="Times New Roman" w:hAnsi="Times New Roman"/>
          <w:color w:val="000000"/>
          <w:sz w:val="20"/>
        </w:rPr>
        <w:t>”</w:t>
      </w:r>
      <w:r>
        <w:rPr>
          <w:rFonts w:ascii="Times New Roman" w:hAnsi="Times New Roman"/>
          <w:color w:val="000000"/>
          <w:sz w:val="24"/>
        </w:rPr>
        <w: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 In the event your employment is terminated during the Term by the Company without Cause (as defined below) or by you for Good Reason (as defined below), in addition to the Accrued Amounts, you will be entitled to receive, subject to your timely execution and non-revocation of a Release (as defined below) (i) any earned but unpaid bonus for any prior completed fiscal year, payable when such payments would otherwise be paid, (ii) salary continuation for a period of nine (9) months following your termination date, payable in accordance with the Company’s normal payroll cycle and (iii) provided you timely elect to continue your and your eligible dependents’ continued coverage under the Company’s group health plan, reimbursement of 100% of the monthly premium to continue such coverage for the lesser of nine (9) calendar months following the month in which the termination of your employment occurs, the month in which you are no longer eligible for continued coverage under COBRA and the month in which you are eligible to participate in a subsequent employer’s group health plans.</w:t>
      </w:r>
    </w:p>
    <w:p>
      <w:pPr>
        <w:pStyle w:val="TextBody"/>
        <w:bidi w:val="0"/>
        <w:jc w:val="left"/>
        <w:rPr>
          <w:rFonts w:ascii="Times New Roman" w:hAnsi="Times New Roman"/>
          <w:color w:val="000000"/>
          <w:sz w:val="24"/>
        </w:rPr>
      </w:pPr>
      <w:r>
        <w:rPr>
          <w:rFonts w:ascii="Times New Roman" w:hAnsi="Times New Roman"/>
          <w:color w:val="000000"/>
          <w:sz w:val="24"/>
        </w:rPr>
        <w:t>Notwithstanding the foregoing, upon a termination of your employment by the Company without Cause or by you for Good Reason within eighteen (18) months following a Change in Control (as defined in the Incentive Equity Plan), in addition to the Accrued Amounts, you will be entitled to receive, subject to your timely execution and non-revocation of a Release (i) a lump sum payment equal to the sum of twelve (12) months of your base salary as of immediately prior to the Change in Control and one hundred percent (100%) of your then-current Target Bonus, (ii) provided you timely elect to continue your and your eligible dependents’ continued coverage under the Company’s group health plan, reimbursement of 100% of the monthly premium to continue such coverage for the lesser of twelve (12) calendar months following the month in which the termination of your employment occurs, the month in which you are no longer eligible for continued coverage under COBRA and the month in which you are eligible to participate in a subsequent employer’s group health plans; and (iii) full vesting of any equity awards then outstanding held by you (with any performance-based equity awards vesting at “target” levels). Notwithstanding anything to the contrary set forth herein, to the extent there is a conflict between any of the terms set forth in this Agreement and any terms set forth in an award agreement relating to the grant of equity awards to you, the terms of the applicable award agreement shall prevail.</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(c) In the event that your employment is terminated other than for reasons described in subsection (b) above, other than the amounts specified in subsection (a) above, you will not be entitled to receive any payments under this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(d) Payment of any severance payments or benefits pursuant to subsection (b) above is expressly conditioned upon your (i) execution of a general waiver and release of claims substantially in the form attached hereto as </w:t>
      </w:r>
      <w:r>
        <w:rPr>
          <w:rFonts w:ascii="Times New Roman" w:hAnsi="Times New Roman"/>
          <w:color w:val="000000"/>
          <w:sz w:val="24"/>
          <w:u w:val="single"/>
        </w:rPr>
        <w:t>Exhibit A</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color w:val="000000"/>
          <w:sz w:val="24"/>
          <w:u w:val="single"/>
        </w:rPr>
        <w:t>Release</w:t>
      </w:r>
      <w:r>
        <w:rPr>
          <w:rFonts w:ascii="Times New Roman" w:hAnsi="Times New Roman"/>
          <w:color w:val="000000"/>
          <w:sz w:val="20"/>
        </w:rPr>
        <w:t>”</w:t>
      </w:r>
      <w:r>
        <w:rPr>
          <w:rFonts w:ascii="Times New Roman" w:hAnsi="Times New Roman"/>
          <w:color w:val="000000"/>
          <w:sz w:val="24"/>
        </w:rPr>
        <w:t>), within fifty (50) days of your termination, and the Release becoming effective upon the expiration of the revocation period (which is 7 days after the Release is executed and returned to the Company) and (ii) continued compliance with this Agreement and the Covenant Agreement (as defined below). If an executed Release is not returned to the Company within fifty (50) days of termination or the Release is revoked by you, the Company shall be relieved of all obligations to pay you severance under this Agreement. The payment described in subsection (b)(ii) will commence on the sixtieth (60th) day following your termination of employment with any payments described in subsection (b)(ii) that would have been paid from the termination date through the sixtieth (60</w:t>
      </w:r>
      <w:r>
        <w:rPr>
          <w:rFonts w:ascii="Times New Roman" w:hAnsi="Times New Roman"/>
          <w:color w:val="000000"/>
          <w:sz w:val="16"/>
        </w:rPr>
        <w:t>th</w:t>
      </w:r>
      <w:r>
        <w:rPr>
          <w:rFonts w:ascii="Times New Roman" w:hAnsi="Times New Roman"/>
          <w:color w:val="000000"/>
          <w:sz w:val="24"/>
        </w:rPr>
        <w:t>) day following your termination of employment paid in a lump sum on the first payroll date following the sixtieth (60</w:t>
      </w:r>
      <w:r>
        <w:rPr>
          <w:rFonts w:ascii="Times New Roman" w:hAnsi="Times New Roman"/>
          <w:color w:val="000000"/>
          <w:sz w:val="16"/>
        </w:rPr>
        <w:t>th</w:t>
      </w:r>
      <w:r>
        <w:rPr>
          <w:rFonts w:ascii="Times New Roman" w:hAnsi="Times New Roman"/>
          <w:color w:val="000000"/>
          <w:sz w:val="24"/>
        </w:rPr>
        <w:t>) day following your termination and the remaining installments will commence with the next payroll period. All severance payments shall be subject to legally required tax withholdings and any elective withholdings.</w:t>
      </w:r>
    </w:p>
    <w:p>
      <w:pPr>
        <w:pStyle w:val="TextBody"/>
        <w:bidi w:val="0"/>
        <w:jc w:val="left"/>
        <w:rPr>
          <w:rFonts w:ascii="Times New Roman" w:hAnsi="Times New Roman"/>
          <w:color w:val="000000"/>
          <w:sz w:val="24"/>
        </w:rPr>
      </w:pPr>
      <w:r>
        <w:rPr>
          <w:rFonts w:ascii="Times New Roman" w:hAnsi="Times New Roman"/>
          <w:color w:val="000000"/>
          <w:sz w:val="24"/>
        </w:rPr>
        <w:t>(e) For purposes of this Agreement:</w:t>
      </w:r>
    </w:p>
    <w:p>
      <w:pPr>
        <w:pStyle w:val="TextBody"/>
        <w:bidi w:val="0"/>
        <w:jc w:val="left"/>
        <w:rPr/>
      </w:pPr>
      <w:r>
        <w:rPr>
          <w:color w:val="000000"/>
        </w:rPr>
        <w:t>“</w:t>
      </w:r>
      <w:r>
        <w:rPr>
          <w:rFonts w:ascii="Times New Roman" w:hAnsi="Times New Roman"/>
          <w:color w:val="000000"/>
          <w:sz w:val="24"/>
          <w:u w:val="single"/>
        </w:rPr>
        <w:t>Cause</w:t>
      </w:r>
      <w:r>
        <w:rPr>
          <w:rFonts w:ascii="Times New Roman" w:hAnsi="Times New Roman"/>
          <w:color w:val="000000"/>
          <w:sz w:val="20"/>
        </w:rPr>
        <w:t xml:space="preserve">” </w:t>
      </w:r>
      <w:r>
        <w:rPr>
          <w:rFonts w:ascii="Times New Roman" w:hAnsi="Times New Roman"/>
          <w:color w:val="000000"/>
          <w:sz w:val="24"/>
        </w:rPr>
        <w:t>means (i) any theft, fraud, embezzlement, dishonesty, willful misconduct, breach of fiduciary duty for personal profit, falsification of any documents or records of the Company or any member of the Company Group, felony or similar act by you (whether or not related to your relationship with the Company); (ii) an act of moral turpitude by you, or any act that causes significant injury to, or is otherwise adversely affecting, the reputation, business, assets, operations or business relationship of the Company (or any member of the Company Group); (iii) any breach by you of any material agreement with or of any material duty of yours to the Company or any member of the Company Group (including breach of the Covenant Agreement) or failure to abide by code of conduct or other policies (including, without limitation, policies relating to confidentiality and reasonable workplace conduct); or (iv) any act which constitutes a breach of your fiduciary duty towards the Company or any member of the Company Group including disclosure of confidential or proprietary information thereof or acceptance or solicitation to receive unauthorized or undisclosed benefits, irrespective of their nature, or funds, or promises to receive either, from individuals, consultants or corporate entities that the Company or a Subsidiary does business with; (v) your unauthorized use, misappropriation, destruction, or diversion of any tangible or intangible asset or corporate opportunity of the Company or any member of the Company Group (including, without limitation, the improper use or disclosure of confidential or proprietary information). For the avoidance of doubt, the determination as to whether a termination is for Cause for purposes of this Agreement shall be made in good faith by the Compensation Committee and shall be final and binding on you.</w:t>
      </w:r>
    </w:p>
    <w:p>
      <w:pPr>
        <w:pStyle w:val="TextBody"/>
        <w:bidi w:val="0"/>
        <w:jc w:val="left"/>
        <w:rPr/>
      </w:pPr>
      <w:r>
        <w:rPr>
          <w:color w:val="000000"/>
        </w:rPr>
        <w:t>“</w:t>
      </w:r>
      <w:r>
        <w:rPr>
          <w:rFonts w:ascii="Times New Roman" w:hAnsi="Times New Roman"/>
          <w:color w:val="000000"/>
          <w:sz w:val="24"/>
          <w:u w:val="single"/>
        </w:rPr>
        <w:t>Good Reason</w:t>
      </w:r>
      <w:r>
        <w:rPr>
          <w:rFonts w:ascii="Times New Roman" w:hAnsi="Times New Roman"/>
          <w:color w:val="000000"/>
          <w:sz w:val="20"/>
        </w:rPr>
        <w:t xml:space="preserve">” </w:t>
      </w:r>
      <w:r>
        <w:rPr>
          <w:rFonts w:ascii="Times New Roman" w:hAnsi="Times New Roman"/>
          <w:color w:val="000000"/>
          <w:sz w:val="24"/>
        </w:rPr>
        <w:t>means the occurrence of any of the following without your consent: (i) a material reduction in your then-current base salary, other than any such reduction that applies generally to similarly situated employees of the Company; (ii) a material diminution in your</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authority, duties or responsibilities under this Agreement; </w:t>
      </w:r>
      <w:r>
        <w:rPr>
          <w:rFonts w:ascii="Times New Roman" w:hAnsi="Times New Roman"/>
          <w:i/>
          <w:color w:val="000000"/>
          <w:sz w:val="24"/>
        </w:rPr>
        <w:t>provided</w:t>
      </w:r>
      <w:r>
        <w:rPr>
          <w:rFonts w:ascii="Times New Roman" w:hAnsi="Times New Roman"/>
          <w:color w:val="000000"/>
          <w:sz w:val="24"/>
        </w:rPr>
        <w:t>, that you will not have the right to resign for Good Reason pursuant to this provision of the Good Reason definition due to a change in authority, duties or responsibilities solely as a result of Parent or the Company no longer being a publicly traded company; or (iii) a relocation of your principal place of employment by more than 50 miles from its location as of the date hereof. Notwithstanding the foregoing, you will not be deemed to have resigned for Good Reason unless (x) you have provided written notice to the Company of the existence of the circumstances providing grounds for termination for Good Reason within 60 days of the initial existence of such grounds, (y) the Company has not cured such circumstances within 30 days from the date on which such notice is provided and (z) you resign from your employment effective no later than 60 days after the initial existence of such grounds.</w:t>
      </w:r>
    </w:p>
    <w:p>
      <w:pPr>
        <w:pStyle w:val="TextBody"/>
        <w:bidi w:val="0"/>
        <w:jc w:val="left"/>
        <w:rPr>
          <w:rFonts w:ascii="Times New Roman" w:hAnsi="Times New Roman"/>
          <w:sz w:val="20"/>
        </w:rPr>
      </w:pPr>
      <w:r>
        <w:rPr>
          <w:rFonts w:ascii="Times New Roman" w:hAnsi="Times New Roman"/>
          <w:b/>
          <w:color w:val="000000"/>
          <w:sz w:val="24"/>
        </w:rPr>
        <w:t xml:space="preserve">Resignation: </w:t>
      </w:r>
      <w:r>
        <w:rPr>
          <w:rFonts w:ascii="Times New Roman" w:hAnsi="Times New Roman"/>
          <w:color w:val="000000"/>
          <w:sz w:val="24"/>
        </w:rPr>
        <w:t>Effective as of the date of your termination of employment, unless otherwise requested by the Company in writing, you will, automatically and without further action on your part or any other person or entity, resign from all offices, boards of directors (or similar governing bodies) and committees of each member of the Company Group. You agree that you will, at the request of the Company, execute and deliver such documentation as may be required to effect such resignations, and authorize any member of the Company Group to file (or cause to be filed) such documentation, as necessary, with any applicable governmental authority.</w:t>
      </w:r>
    </w:p>
    <w:p>
      <w:pPr>
        <w:pStyle w:val="TextBody"/>
        <w:bidi w:val="0"/>
        <w:jc w:val="left"/>
        <w:rPr>
          <w:rFonts w:ascii="Times New Roman" w:hAnsi="Times New Roman"/>
          <w:sz w:val="20"/>
        </w:rPr>
      </w:pPr>
      <w:r>
        <w:rPr>
          <w:rFonts w:ascii="Times New Roman" w:hAnsi="Times New Roman"/>
          <w:b/>
          <w:color w:val="000000"/>
          <w:sz w:val="24"/>
        </w:rPr>
        <w:t xml:space="preserve">Cooperation: </w:t>
      </w:r>
      <w:r>
        <w:rPr>
          <w:rFonts w:ascii="Times New Roman" w:hAnsi="Times New Roman"/>
          <w:color w:val="000000"/>
          <w:sz w:val="24"/>
        </w:rPr>
        <w:t xml:space="preserve">In consideration for the promises and payments by the Company pursuant to this Agreement, at the request of the Company, for a one-year period following your termination of employment for any reason, you agree to cooperate to the fullest extent possible with respect to matters involving any member of the Company Group about which you have or may have knowledge, including any such matters which may arise before or after the Term; </w:t>
      </w:r>
      <w:r>
        <w:rPr>
          <w:rFonts w:ascii="Times New Roman" w:hAnsi="Times New Roman"/>
          <w:i/>
          <w:color w:val="000000"/>
          <w:sz w:val="24"/>
        </w:rPr>
        <w:t xml:space="preserve">provided </w:t>
      </w:r>
      <w:r>
        <w:rPr>
          <w:rFonts w:ascii="Times New Roman" w:hAnsi="Times New Roman"/>
          <w:color w:val="000000"/>
          <w:sz w:val="24"/>
        </w:rPr>
        <w:t>such cooperation shall not unreasonably interfere with any obligations you may have to your current employer at the time. The Company will reimburse you for any reasonable, properly documented out-of-pocket expenses, including your travel expenses and attorneys’ fees that you actually incur in connection with such cooperation.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 xml:space="preserve">Section 409A: </w:t>
      </w:r>
      <w:r>
        <w:rPr>
          <w:rFonts w:ascii="Times New Roman" w:hAnsi="Times New Roman"/>
          <w:color w:val="000000"/>
          <w:sz w:val="24"/>
        </w:rPr>
        <w:t>All references in this Agreement to your termination of employment shall mean your “separation from service” within the meaning of Section 409A of the Code and Treasury regulations promulgated thereunder. This Agreement is intended to comply with Section 409A of the Code or an exemption thereunder and shall be construed and administered in accordance with Section 409A. Any payments under this Agreement that may be excluded from Section 409A either as separation pay due to an involuntary separation from service or as a short-term deferral shall be excluded from Section 409A to the maximum extent possible. In the event the terms of this Agreement would subject you to the imposition of taxes and penalties under Section 409A (“</w:t>
      </w:r>
      <w:r>
        <w:rPr>
          <w:rFonts w:ascii="Times New Roman" w:hAnsi="Times New Roman"/>
          <w:color w:val="000000"/>
          <w:sz w:val="24"/>
          <w:u w:val="single"/>
        </w:rPr>
        <w:t>409A Penalties</w:t>
      </w:r>
      <w:r>
        <w:rPr>
          <w:rFonts w:ascii="Times New Roman" w:hAnsi="Times New Roman"/>
          <w:color w:val="000000"/>
          <w:sz w:val="20"/>
        </w:rPr>
        <w:t>”</w:t>
      </w:r>
      <w:r>
        <w:rPr>
          <w:rFonts w:ascii="Times New Roman" w:hAnsi="Times New Roman"/>
          <w:color w:val="000000"/>
          <w:sz w:val="24"/>
        </w:rPr>
        <w:t xml:space="preserve">), the Company and you shall cooperate diligently to amend the terms of this Agreement to avoid such 409A Penalties, to the extent possible; </w:t>
      </w:r>
      <w:r>
        <w:rPr>
          <w:rFonts w:ascii="Times New Roman" w:hAnsi="Times New Roman"/>
          <w:i/>
          <w:color w:val="000000"/>
          <w:sz w:val="24"/>
        </w:rPr>
        <w:t xml:space="preserve">provided </w:t>
      </w:r>
      <w:r>
        <w:rPr>
          <w:rFonts w:ascii="Times New Roman" w:hAnsi="Times New Roman"/>
          <w:color w:val="000000"/>
          <w:sz w:val="24"/>
        </w:rPr>
        <w:t>that, for the avoidance of doubt, you shall be solely liable for any 409A Penalties incurred by you. To the extent that any amounts payable in installments under this Agreement are reasonably determined to be “nonqualified deferred compensation” within the meaning of Section 409A of the Code, then</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each such installment shall be treated as a right to receive a series of separate payments and, accordingly, each such installment payment shall at all times be considered a separate and distinct payment as permitted under Section 409A of the Code.</w:t>
      </w:r>
    </w:p>
    <w:p>
      <w:pPr>
        <w:pStyle w:val="TextBody"/>
        <w:bidi w:val="0"/>
        <w:jc w:val="left"/>
        <w:rPr>
          <w:rFonts w:ascii="Times New Roman" w:hAnsi="Times New Roman"/>
          <w:color w:val="000000"/>
          <w:sz w:val="24"/>
        </w:rPr>
      </w:pPr>
      <w:r>
        <w:rPr>
          <w:rFonts w:ascii="Times New Roman" w:hAnsi="Times New Roman"/>
          <w:color w:val="000000"/>
          <w:sz w:val="24"/>
        </w:rPr>
        <w:t>Notwithstanding any other provision in this Agreement, if as of the date on which your employment terminates, you are a “specified employee”, as determined by the Company, then with respect to any amount payable or benefit provided under this Agreement or otherwise that the Company reasonably determines would be nonqualified deferred compensation within the meaning of Section 409A of the Code and that under the terms of this Agreement would be payable prior to the six-month anniversary of your effective date of termination, then if required in order to avoid any penalties under Section 409A of the Code, such payment or benefit shall be delayed until the earlier to occur of (a) the first payroll date following the six-month anniversary of such termination date and (b) the date of your death.</w:t>
      </w:r>
    </w:p>
    <w:p>
      <w:pPr>
        <w:pStyle w:val="TextBody"/>
        <w:bidi w:val="0"/>
        <w:jc w:val="left"/>
        <w:rPr>
          <w:rFonts w:ascii="Times New Roman" w:hAnsi="Times New Roman"/>
          <w:color w:val="000000"/>
          <w:sz w:val="24"/>
        </w:rPr>
      </w:pPr>
      <w:r>
        <w:rPr>
          <w:rFonts w:ascii="Times New Roman" w:hAnsi="Times New Roman"/>
          <w:color w:val="000000"/>
          <w:sz w:val="24"/>
        </w:rPr>
        <w:t>With respect to any reimbursements under this Agreement, such reimbursement shall be made on or before the last day of your taxable year following the taxable year in which you incurred the expense. The amount of any expenses eligible for reimbursement or the amount of any in-kind benefits provided, as the case may be, under this Agreement during any calendar year shall not affect the amount of expenses eligible for reimbursement or the amount of any in-kind benefits provided during any other calendar year. The right to reimbursement or to any in-kind benefit pursuant to this Agreement shall not be subject to liquidation or exchange for any other benefit.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You acknowledge and agree that notwithstanding any provision of this Agreement, the Company and its affiliates are not providing you with any tax advice with respect to Section 409A of the Code or otherwise and are not making any guarantees or other assurances of any kind to you with respect to the tax consequences or treatment of any amounts paid or payable to you under this Agreement.</w:t>
      </w:r>
    </w:p>
    <w:p>
      <w:pPr>
        <w:pStyle w:val="TextBody"/>
        <w:bidi w:val="0"/>
        <w:jc w:val="left"/>
        <w:rPr>
          <w:rFonts w:ascii="Times New Roman" w:hAnsi="Times New Roman"/>
          <w:sz w:val="20"/>
        </w:rPr>
      </w:pPr>
      <w:r>
        <w:rPr>
          <w:rFonts w:ascii="Times New Roman" w:hAnsi="Times New Roman"/>
          <w:b/>
          <w:color w:val="000000"/>
          <w:sz w:val="24"/>
        </w:rPr>
        <w:t xml:space="preserve">Section 280G: </w:t>
      </w:r>
      <w:r>
        <w:rPr>
          <w:rFonts w:ascii="Times New Roman" w:hAnsi="Times New Roman"/>
          <w:color w:val="000000"/>
          <w:sz w:val="24"/>
        </w:rPr>
        <w:t>If the present value of your Severance Benefits, either alone or together with other payments which you have the right to receive from the Company (the “</w:t>
      </w:r>
      <w:r>
        <w:rPr>
          <w:rFonts w:ascii="Times New Roman" w:hAnsi="Times New Roman"/>
          <w:b/>
          <w:color w:val="000000"/>
          <w:sz w:val="24"/>
        </w:rPr>
        <w:t>Benefits</w:t>
      </w:r>
      <w:r>
        <w:rPr>
          <w:rFonts w:ascii="Times New Roman" w:hAnsi="Times New Roman"/>
          <w:color w:val="000000"/>
          <w:sz w:val="20"/>
        </w:rPr>
        <w:t>”</w:t>
      </w:r>
      <w:r>
        <w:rPr>
          <w:rFonts w:ascii="Times New Roman" w:hAnsi="Times New Roman"/>
          <w:color w:val="000000"/>
          <w:sz w:val="24"/>
        </w:rPr>
        <w:t>), would constitute a “parachute payment” as defined in Section 280G of the Code, then your Benefits shall be either (i) provided to you in full, or (ii) provided to you only as to such lesser extent that would result in no portion of such Benefits being subject to the excise tax imposed by Section 4999 of the Code (the “</w:t>
      </w:r>
      <w:r>
        <w:rPr>
          <w:rFonts w:ascii="Times New Roman" w:hAnsi="Times New Roman"/>
          <w:b/>
          <w:color w:val="000000"/>
          <w:sz w:val="24"/>
        </w:rPr>
        <w:t>Excise Tax</w:t>
      </w:r>
      <w:r>
        <w:rPr>
          <w:rFonts w:ascii="Times New Roman" w:hAnsi="Times New Roman"/>
          <w:color w:val="000000"/>
          <w:sz w:val="20"/>
        </w:rPr>
        <w:t>”</w:t>
      </w:r>
      <w:r>
        <w:rPr>
          <w:rFonts w:ascii="Times New Roman" w:hAnsi="Times New Roman"/>
          <w:color w:val="000000"/>
          <w:sz w:val="24"/>
        </w:rPr>
        <w:t>), whichever of the foregoing amounts, taking into account the applicable federal, state, and local income and employment taxes and the Excise Tax, results in the receipt by you, on an after-tax basis, of the greatest amount of benefits, notwithstanding that all or some portion of such Benefits may be taxable under the Excise Tax.</w:t>
      </w:r>
    </w:p>
    <w:p>
      <w:pPr>
        <w:pStyle w:val="TextBody"/>
        <w:bidi w:val="0"/>
        <w:jc w:val="left"/>
        <w:rPr>
          <w:rFonts w:ascii="Times New Roman" w:hAnsi="Times New Roman"/>
          <w:sz w:val="20"/>
        </w:rPr>
      </w:pPr>
      <w:r>
        <w:rPr>
          <w:rFonts w:ascii="Times New Roman" w:hAnsi="Times New Roman"/>
          <w:color w:val="000000"/>
          <w:sz w:val="24"/>
        </w:rPr>
        <w:t>Unless the Company and you otherwise agree, any determination required under section shall be made in writing in good faith by the Company’s independent accounting firm or such other nationally or regionally recognized accounting firm selected by the Company (the “</w:t>
      </w:r>
      <w:r>
        <w:rPr>
          <w:rFonts w:ascii="Times New Roman" w:hAnsi="Times New Roman"/>
          <w:b/>
          <w:color w:val="000000"/>
          <w:sz w:val="24"/>
        </w:rPr>
        <w:t>Accountants</w:t>
      </w:r>
      <w:r>
        <w:rPr>
          <w:rFonts w:ascii="Times New Roman" w:hAnsi="Times New Roman"/>
          <w:color w:val="000000"/>
          <w:sz w:val="20"/>
        </w:rPr>
        <w:t>”</w:t>
      </w:r>
      <w:r>
        <w:rPr>
          <w:rFonts w:ascii="Times New Roman" w:hAnsi="Times New Roman"/>
          <w:color w:val="000000"/>
          <w:sz w:val="24"/>
        </w:rPr>
        <w:t>), whose determination shall be conclusive and binding upon you and the Company for all purposes. In the event that a reduction to the Benefits under this section, the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reduction shall apply first to the Benefits that are not deferred compensation subject to Section 409A of the Code and you shall be given the choice, subject to approval by the Company, of which of such Benefits to reduce;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 xml:space="preserve">that </w:t>
      </w:r>
      <w:r>
        <w:rPr>
          <w:rFonts w:ascii="Times New Roman" w:hAnsi="Times New Roman"/>
          <w:color w:val="000000"/>
          <w:sz w:val="24"/>
        </w:rPr>
        <w:t>such reduction achieves the result specified in clause (ii) above of this section. If a reduction in the Benefits that are subject to Section 409A of the Code is required, such Benefits shall be reduced pro rata, but with no change in the time at which such Benefits shall be paid. For purposes of making the calculations required by this section, the Accountants may make reasonable assumptions and approximations concerning applicable taxes and may rely on reasonable, good faith interpretations concerning the application of the Code. The Company and you shall furnish to the Accountants such information and documents as the Accountants may reasonably request in order to make a determination under this section. The Company shall bear all costs the Accountants may reasonably incur in connection with any calculations contemplated by this section.</w:t>
      </w:r>
    </w:p>
    <w:p>
      <w:pPr>
        <w:pStyle w:val="TextBody"/>
        <w:bidi w:val="0"/>
        <w:spacing w:before="0" w:after="0"/>
        <w:jc w:val="left"/>
        <w:rPr>
          <w:rFonts w:ascii="Cambria" w:hAnsi="Cambria"/>
          <w:b/>
          <w:color w:val="000000"/>
          <w:sz w:val="24"/>
        </w:rPr>
      </w:pPr>
      <w:r>
        <w:rPr>
          <w:rFonts w:ascii="Cambria" w:hAnsi="Cambria"/>
          <w:b/>
          <w:color w:val="000000"/>
          <w:sz w:val="24"/>
        </w:rPr>
        <w:t>2.</w:t>
      </w:r>
    </w:p>
    <w:p>
      <w:pPr>
        <w:pStyle w:val="TextBody"/>
        <w:bidi w:val="0"/>
        <w:jc w:val="left"/>
        <w:rPr/>
      </w:pPr>
      <w:r>
        <w:rPr>
          <w:rFonts w:ascii="Times New Roman" w:hAnsi="Times New Roman"/>
          <w:color w:val="000000"/>
          <w:sz w:val="24"/>
        </w:rPr>
        <w:t>You acknowledge and agree that you will continue to be subject to any confidentiality, non-disclosure, non-use, non-competition, non-solicitation or other covenants that you may be subject to under any agreement with the Company or any member of the Company Group (collectively, the “</w:t>
      </w:r>
      <w:r>
        <w:rPr>
          <w:rFonts w:ascii="Times New Roman" w:hAnsi="Times New Roman"/>
          <w:color w:val="000000"/>
          <w:sz w:val="24"/>
          <w:u w:val="single"/>
        </w:rPr>
        <w:t>Covenant Agreement</w:t>
      </w:r>
      <w:r>
        <w:rPr>
          <w:color w:val="000000"/>
        </w:rPr>
        <w:t>”</w:t>
      </w:r>
      <w:r>
        <w:rPr>
          <w:rFonts w:ascii="Times New Roman" w:hAnsi="Times New Roman"/>
          <w:color w:val="000000"/>
          <w:sz w:val="24"/>
        </w:rPr>
        <w:t>). Notwithstanding any provision in this Agreement, the Covenant Agreement or otherwise to the contrary, nothing in this Agreement, the Covenant Agreement or otherwise precludes or otherwise limits your ability to (A) communicate directly with and provide information, including documents, not otherwise protected from disclosure by any applicable law or privilege to the Securities and Exchange Commission (the “</w:t>
      </w:r>
      <w:r>
        <w:rPr>
          <w:rFonts w:ascii="Times New Roman" w:hAnsi="Times New Roman"/>
          <w:color w:val="000000"/>
          <w:sz w:val="24"/>
          <w:u w:val="single"/>
        </w:rPr>
        <w:t>SEC</w:t>
      </w:r>
      <w:r>
        <w:rPr>
          <w:color w:val="000000"/>
        </w:rPr>
        <w:t>”</w:t>
      </w:r>
      <w:r>
        <w:rPr>
          <w:rFonts w:ascii="Times New Roman" w:hAnsi="Times New Roman"/>
          <w:color w:val="000000"/>
          <w:sz w:val="24"/>
        </w:rPr>
        <w:t>) or any other federal, state or local governmental agency or commission (“</w:t>
      </w:r>
      <w:r>
        <w:rPr>
          <w:rFonts w:ascii="Times New Roman" w:hAnsi="Times New Roman"/>
          <w:color w:val="000000"/>
          <w:sz w:val="24"/>
          <w:u w:val="single"/>
        </w:rPr>
        <w:t>Government</w:t>
      </w:r>
      <w:r>
        <w:rPr>
          <w:color w:val="000000"/>
        </w:rPr>
        <w:t xml:space="preserve"> </w:t>
      </w:r>
      <w:r>
        <w:rPr>
          <w:rFonts w:ascii="Times New Roman" w:hAnsi="Times New Roman"/>
          <w:color w:val="000000"/>
          <w:sz w:val="24"/>
          <w:u w:val="single"/>
        </w:rPr>
        <w:t>Agency</w:t>
      </w:r>
      <w:r>
        <w:rPr>
          <w:color w:val="000000"/>
        </w:rPr>
        <w:t>”</w:t>
      </w:r>
      <w:r>
        <w:rPr>
          <w:rFonts w:ascii="Times New Roman" w:hAnsi="Times New Roman"/>
          <w:color w:val="000000"/>
          <w:sz w:val="24"/>
        </w:rPr>
        <w:t>) or self-regulatory organization regarding possible legal violations, without disclosure to the Company, or (B) disclose information which is required to be disclosed by applicable law, regulation, or order or requirement (including without limitation, by deposition, interrogatory, requests for documents, subpoena, civil investigative demand or similar process) of courts, administrative agencies, the SEC, any Government Agency or self-regulatory organizations, provided that you provide the Company with prior notice of the contemplated disclosure and cooperate with the Company in seeking a protective order or other appropriate protection of such information. The Company may not retaliate against you for any of these activities.</w:t>
      </w:r>
    </w:p>
    <w:p>
      <w:pPr>
        <w:pStyle w:val="TextBody"/>
        <w:bidi w:val="0"/>
        <w:spacing w:before="0" w:after="0"/>
        <w:jc w:val="left"/>
        <w:rPr>
          <w:rFonts w:ascii="Cambria" w:hAnsi="Cambria"/>
          <w:b/>
          <w:color w:val="000000"/>
          <w:sz w:val="24"/>
        </w:rPr>
      </w:pPr>
      <w:r>
        <w:rPr>
          <w:rFonts w:ascii="Cambria" w:hAnsi="Cambria"/>
          <w:b/>
          <w:color w:val="000000"/>
          <w:sz w:val="24"/>
        </w:rPr>
        <w:t>3.</w:t>
      </w:r>
    </w:p>
    <w:p>
      <w:pPr>
        <w:pStyle w:val="TextBody"/>
        <w:bidi w:val="0"/>
        <w:jc w:val="left"/>
        <w:rPr>
          <w:rFonts w:ascii="Times New Roman" w:hAnsi="Times New Roman"/>
          <w:color w:val="000000"/>
          <w:sz w:val="24"/>
        </w:rPr>
      </w:pPr>
      <w:r>
        <w:rPr>
          <w:rFonts w:ascii="Times New Roman" w:hAnsi="Times New Roman"/>
          <w:color w:val="000000"/>
          <w:sz w:val="24"/>
        </w:rPr>
        <w:t>You represent that your performance of all of the terms of this Agreement and the performance of the services for the Company Group do not and will not breach or conflict with any agreement with a third party, including an agreement not to compete or to keep in confidence any proprietary information of another entity acquired by you in confidence or in trust prior to the date of this Agreement. You agree that you will not enter into any agreement that conflicts with this Agreement at any time prior to the Effective Date or during the term of your employment with the Company.</w:t>
      </w:r>
    </w:p>
    <w:p>
      <w:pPr>
        <w:pStyle w:val="TextBody"/>
        <w:bidi w:val="0"/>
        <w:spacing w:before="0" w:after="0"/>
        <w:jc w:val="left"/>
        <w:rPr>
          <w:rFonts w:ascii="Cambria" w:hAnsi="Cambria"/>
          <w:b/>
          <w:color w:val="000000"/>
          <w:sz w:val="24"/>
        </w:rPr>
      </w:pPr>
      <w:r>
        <w:rPr>
          <w:rFonts w:ascii="Cambria" w:hAnsi="Cambria"/>
          <w:b/>
          <w:color w:val="000000"/>
          <w:sz w:val="24"/>
        </w:rPr>
        <w:t>4.</w:t>
      </w:r>
    </w:p>
    <w:p>
      <w:pPr>
        <w:pStyle w:val="TextBody"/>
        <w:bidi w:val="0"/>
        <w:jc w:val="left"/>
        <w:rPr>
          <w:rFonts w:ascii="Times New Roman" w:hAnsi="Times New Roman"/>
          <w:color w:val="000000"/>
          <w:sz w:val="24"/>
        </w:rPr>
      </w:pPr>
      <w:r>
        <w:rPr>
          <w:rFonts w:ascii="Times New Roman" w:hAnsi="Times New Roman"/>
          <w:color w:val="000000"/>
          <w:sz w:val="24"/>
        </w:rPr>
        <w:t>All payments made under this Agreement shall be reduced by any tax or other amounts required to be withheld under applicable law.</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Cambria" w:hAnsi="Cambria"/>
          <w:b/>
          <w:color w:val="000000"/>
          <w:sz w:val="24"/>
        </w:rPr>
      </w:pPr>
      <w:r>
        <w:rPr>
          <w:rFonts w:ascii="Cambria" w:hAnsi="Cambria"/>
          <w:b/>
          <w:color w:val="000000"/>
          <w:sz w:val="24"/>
        </w:rPr>
        <w:t>5.</w:t>
      </w:r>
    </w:p>
    <w:p>
      <w:pPr>
        <w:pStyle w:val="TextBody"/>
        <w:bidi w:val="0"/>
        <w:jc w:val="left"/>
        <w:rPr>
          <w:rFonts w:ascii="Times New Roman" w:hAnsi="Times New Roman"/>
          <w:color w:val="000000"/>
          <w:sz w:val="24"/>
        </w:rPr>
      </w:pPr>
      <w:r>
        <w:rPr>
          <w:rFonts w:ascii="Times New Roman" w:hAnsi="Times New Roman"/>
          <w:color w:val="000000"/>
          <w:sz w:val="24"/>
        </w:rPr>
        <w:t>The parties hereby agree that any suit, action or proceeding seeking to enforce any provision of, or based on any matter arising out of or in connection with, this Agreement shall only be brought in the Chancery Court of the State of Delaware (or other appropriate state court in the State of Delaware) or the Federal courts located in the State of Delaware and not in any other State or Federal courts located in the United States of America or any court in any other country, and each of the parties hereby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which is brought in any such court has been brought in an inconvenient form. The parties hereby agree that process in any such suit, action or proceeding may be served on either party anywhere in the world, whether within or without the jurisdiction of any such court. EACH OF THE PARTIES HERETO HEREBY IRREVOCABLY WAIVES ANY AND ALL RIGHTS TO TRIAL BY JURY IN ANY LEGAL PROCEEDING ARISING OUT OF OR RELATED TO THIS AGREEMENT OR THE TRANSACTIONS CONTEMPLATED HEREBY.</w:t>
      </w:r>
    </w:p>
    <w:p>
      <w:pPr>
        <w:pStyle w:val="TextBody"/>
        <w:bidi w:val="0"/>
        <w:spacing w:before="0" w:after="0"/>
        <w:jc w:val="left"/>
        <w:rPr>
          <w:rFonts w:ascii="Cambria" w:hAnsi="Cambria"/>
          <w:b/>
          <w:color w:val="000000"/>
          <w:sz w:val="24"/>
        </w:rPr>
      </w:pPr>
      <w:r>
        <w:rPr>
          <w:rFonts w:ascii="Cambria" w:hAnsi="Cambria"/>
          <w:b/>
          <w:color w:val="000000"/>
          <w:sz w:val="24"/>
        </w:rPr>
        <w:t>6.</w:t>
      </w:r>
    </w:p>
    <w:p>
      <w:pPr>
        <w:pStyle w:val="TextBody"/>
        <w:bidi w:val="0"/>
        <w:jc w:val="left"/>
        <w:rPr>
          <w:rFonts w:ascii="Times New Roman" w:hAnsi="Times New Roman"/>
          <w:color w:val="000000"/>
          <w:sz w:val="24"/>
        </w:rPr>
      </w:pPr>
      <w:r>
        <w:rPr>
          <w:rFonts w:ascii="Times New Roman" w:hAnsi="Times New Roman"/>
          <w:color w:val="000000"/>
          <w:sz w:val="24"/>
        </w:rPr>
        <w:t>This Agreement shall be governed, construed, interpreted and enforced in accordance with its express terms, and otherwise in accordance with the substantive laws of the State of Delaware, without reference to the principles of conflicts of law or choice of law of the State of Delaware, or any other jurisdiction, and where applicable, the laws of the United States.</w:t>
      </w:r>
    </w:p>
    <w:p>
      <w:pPr>
        <w:pStyle w:val="TextBody"/>
        <w:bidi w:val="0"/>
        <w:spacing w:before="0" w:after="0"/>
        <w:jc w:val="left"/>
        <w:rPr>
          <w:rFonts w:ascii="Cambria" w:hAnsi="Cambria"/>
          <w:b/>
          <w:color w:val="000000"/>
          <w:sz w:val="24"/>
        </w:rPr>
      </w:pPr>
      <w:r>
        <w:rPr>
          <w:rFonts w:ascii="Cambria" w:hAnsi="Cambria"/>
          <w:b/>
          <w:color w:val="000000"/>
          <w:sz w:val="24"/>
        </w:rPr>
        <w:t>7.</w:t>
      </w:r>
    </w:p>
    <w:p>
      <w:pPr>
        <w:pStyle w:val="TextBody"/>
        <w:bidi w:val="0"/>
        <w:jc w:val="left"/>
        <w:rPr>
          <w:rFonts w:ascii="Times New Roman" w:hAnsi="Times New Roman"/>
          <w:color w:val="000000"/>
          <w:sz w:val="24"/>
        </w:rPr>
      </w:pPr>
      <w:r>
        <w:rPr>
          <w:rFonts w:ascii="Times New Roman" w:hAnsi="Times New Roman"/>
          <w:color w:val="000000"/>
          <w:sz w:val="24"/>
        </w:rPr>
        <w:t>The invalidity or unenforceability of any provision or provisions of this Agreement shall not affect the validity or enforceability of any other provision of this Agreement, which shall remain in full force and effect.</w:t>
      </w:r>
    </w:p>
    <w:p>
      <w:pPr>
        <w:pStyle w:val="TextBody"/>
        <w:bidi w:val="0"/>
        <w:spacing w:before="0" w:after="0"/>
        <w:jc w:val="left"/>
        <w:rPr>
          <w:rFonts w:ascii="Cambria" w:hAnsi="Cambria"/>
          <w:b/>
          <w:color w:val="000000"/>
          <w:sz w:val="24"/>
        </w:rPr>
      </w:pPr>
      <w:r>
        <w:rPr>
          <w:rFonts w:ascii="Cambria" w:hAnsi="Cambria"/>
          <w:b/>
          <w:color w:val="000000"/>
          <w:sz w:val="24"/>
        </w:rPr>
        <w:t>8.</w:t>
      </w:r>
    </w:p>
    <w:p>
      <w:pPr>
        <w:pStyle w:val="TextBody"/>
        <w:bidi w:val="0"/>
        <w:jc w:val="left"/>
        <w:rPr/>
      </w:pPr>
      <w:r>
        <w:rPr>
          <w:rFonts w:ascii="Times New Roman" w:hAnsi="Times New Roman"/>
          <w:color w:val="000000"/>
          <w:sz w:val="24"/>
        </w:rPr>
        <w:t xml:space="preserve">The terms of this Agreement and the Covenant Agreement are intended by the parties to be the final expression of their agreement with respect to your employment by the Company and supersede, effective as of the Effective Date, all prior understandings and agreements with respect to your employment by the Company, whether written or oral. For the avoidance of doubt, if the Effective Date does not occur, this Agreement will be void </w:t>
      </w:r>
      <w:r>
        <w:rPr>
          <w:rFonts w:ascii="Times New Roman" w:hAnsi="Times New Roman"/>
          <w:i/>
          <w:color w:val="000000"/>
          <w:sz w:val="24"/>
        </w:rPr>
        <w:t>ab initio</w:t>
      </w:r>
      <w:r>
        <w:rPr>
          <w:rFonts w:ascii="Times New Roman" w:hAnsi="Times New Roman"/>
          <w:color w:val="000000"/>
          <w:sz w:val="24"/>
        </w:rPr>
        <w:t>.</w:t>
      </w:r>
    </w:p>
    <w:p>
      <w:pPr>
        <w:pStyle w:val="TextBody"/>
        <w:bidi w:val="0"/>
        <w:spacing w:before="0" w:after="0"/>
        <w:jc w:val="left"/>
        <w:rPr>
          <w:rFonts w:ascii="Cambria" w:hAnsi="Cambria"/>
          <w:b/>
          <w:color w:val="000000"/>
          <w:sz w:val="24"/>
        </w:rPr>
      </w:pPr>
      <w:r>
        <w:rPr>
          <w:rFonts w:ascii="Cambria" w:hAnsi="Cambria"/>
          <w:b/>
          <w:color w:val="000000"/>
          <w:sz w:val="24"/>
        </w:rPr>
        <w:t>9.</w:t>
      </w:r>
    </w:p>
    <w:p>
      <w:pPr>
        <w:pStyle w:val="TextBody"/>
        <w:bidi w:val="0"/>
        <w:jc w:val="left"/>
        <w:rPr>
          <w:rFonts w:ascii="Times New Roman" w:hAnsi="Times New Roman"/>
          <w:color w:val="000000"/>
          <w:sz w:val="24"/>
        </w:rPr>
      </w:pPr>
      <w:r>
        <w:rPr>
          <w:rFonts w:ascii="Times New Roman" w:hAnsi="Times New Roman"/>
          <w:color w:val="000000"/>
          <w:sz w:val="24"/>
        </w:rPr>
        <w:t>By signing this Agreement, you acknowledge that the terms of this Agreement are confidential and may not be disclosed in any manner or form to any party, other than as required by applicable law (including any public disclosure requirements) or as necessary to enforce the terms of this Agreement or to your spouse, attorney and/or tax advisor (if any), without the prior written approval of the Company. You further acknowledge that you will be bound by the terms and conditions contained in the Company’s employee handbook, as it may be amended from time to time to the extent not inconsistent with this Agreement and will, upon request of the Company, sign a copy thereof from time to time.</w:t>
      </w:r>
    </w:p>
    <w:p>
      <w:pPr>
        <w:pStyle w:val="TextBody"/>
        <w:bidi w:val="0"/>
        <w:spacing w:before="0" w:after="0"/>
        <w:jc w:val="left"/>
        <w:rPr>
          <w:rFonts w:ascii="Cambria" w:hAnsi="Cambria"/>
          <w:b/>
          <w:color w:val="000000"/>
          <w:sz w:val="24"/>
        </w:rPr>
      </w:pPr>
      <w:r>
        <w:rPr>
          <w:rFonts w:ascii="Cambria" w:hAnsi="Cambria"/>
          <w:b/>
          <w:color w:val="000000"/>
          <w:sz w:val="24"/>
        </w:rPr>
        <w:t>10.</w:t>
      </w:r>
    </w:p>
    <w:p>
      <w:pPr>
        <w:pStyle w:val="TextBody"/>
        <w:bidi w:val="0"/>
        <w:jc w:val="left"/>
        <w:rPr>
          <w:rFonts w:ascii="Times New Roman" w:hAnsi="Times New Roman"/>
          <w:color w:val="000000"/>
          <w:sz w:val="24"/>
        </w:rPr>
      </w:pPr>
      <w:r>
        <w:rPr>
          <w:rFonts w:ascii="Times New Roman" w:hAnsi="Times New Roman"/>
          <w:color w:val="000000"/>
          <w:sz w:val="24"/>
        </w:rPr>
        <w:t xml:space="preserve">The rights and benefits under this Agreement are personal to you and such rights and benefits shall not be subject to assignment, alienation or transfer, except to the extent such rights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and benefits are lawfully available to your estate or any of your beneficiaries upon your death. The Company may assign this Agreement to any affiliate or subsidiary at any time and shall require any entity which at any time becomes a successor, whether by merger, purchase, or otherwise, or otherwise acquires all or substantially all of the assets, membership interests or business of the Company, to expressly assume this Agreement.</w:t>
      </w:r>
    </w:p>
    <w:p>
      <w:pPr>
        <w:pStyle w:val="TextBody"/>
        <w:bidi w:val="0"/>
        <w:spacing w:before="0" w:after="0"/>
        <w:jc w:val="left"/>
        <w:rPr>
          <w:rFonts w:ascii="Cambria" w:hAnsi="Cambria"/>
          <w:b/>
          <w:color w:val="000000"/>
          <w:sz w:val="24"/>
        </w:rPr>
      </w:pPr>
      <w:r>
        <w:rPr>
          <w:rFonts w:ascii="Cambria" w:hAnsi="Cambria"/>
          <w:b/>
          <w:color w:val="000000"/>
          <w:sz w:val="24"/>
        </w:rPr>
        <w:t>11.</w:t>
      </w:r>
    </w:p>
    <w:p>
      <w:pPr>
        <w:pStyle w:val="TextBody"/>
        <w:bidi w:val="0"/>
        <w:jc w:val="left"/>
        <w:rPr>
          <w:rFonts w:ascii="Times New Roman" w:hAnsi="Times New Roman"/>
          <w:color w:val="000000"/>
          <w:sz w:val="24"/>
        </w:rPr>
      </w:pPr>
      <w:r>
        <w:rPr>
          <w:rFonts w:ascii="Times New Roman" w:hAnsi="Times New Roman"/>
          <w:color w:val="000000"/>
          <w:sz w:val="24"/>
        </w:rPr>
        <w:t>This Agreement may be executed in several counterparts, each of which shall be deemed to be an original, but all of which together will constitute one and the same Agreement. Signatures delivered by facsimile shall be deemed effective for all purposes.</w:t>
      </w:r>
    </w:p>
    <w:p>
      <w:pPr>
        <w:pStyle w:val="TextBody"/>
        <w:bidi w:val="0"/>
        <w:jc w:val="left"/>
        <w:rPr>
          <w:rFonts w:ascii="Times New Roman" w:hAnsi="Times New Roman"/>
          <w:i/>
          <w:color w:val="000000"/>
          <w:sz w:val="24"/>
        </w:rPr>
      </w:pPr>
      <w:r>
        <w:rPr>
          <w:rFonts w:ascii="Times New Roman" w:hAnsi="Times New Roman"/>
          <w:i/>
          <w:color w:val="000000"/>
          <w:sz w:val="24"/>
        </w:rPr>
        <w:t>[Signature page follows]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Please sign and date this Agreement in the space indicated and return it to my attention to evidence your understanding and acceptance of the terms set forth herein.</w:t>
      </w:r>
    </w:p>
    <w:p>
      <w:pPr>
        <w:pStyle w:val="TextBody"/>
        <w:bidi w:val="0"/>
        <w:jc w:val="left"/>
        <w:rPr>
          <w:rFonts w:ascii="Times New Roman" w:hAnsi="Times New Roman"/>
          <w:color w:val="000000"/>
          <w:sz w:val="24"/>
        </w:rPr>
      </w:pPr>
      <w:r>
        <w:rPr>
          <w:rFonts w:ascii="Times New Roman" w:hAnsi="Times New Roman"/>
          <w:color w:val="000000"/>
          <w:sz w:val="24"/>
        </w:rPr>
        <w:t>Sincerely,</w:t>
      </w:r>
    </w:p>
    <w:p>
      <w:pPr>
        <w:pStyle w:val="TextBody"/>
        <w:bidi w:val="0"/>
        <w:jc w:val="left"/>
        <w:rPr>
          <w:rFonts w:ascii="Times New Roman" w:hAnsi="Times New Roman"/>
          <w:color w:val="000000"/>
          <w:sz w:val="24"/>
        </w:rPr>
      </w:pPr>
      <w:r>
        <w:rPr>
          <w:rFonts w:ascii="Times New Roman" w:hAnsi="Times New Roman"/>
          <w:color w:val="000000"/>
          <w:sz w:val="24"/>
        </w:rPr>
        <w:t>PROKIDNEY</w:t>
      </w:r>
    </w:p>
    <w:tbl>
      <w:tblPr>
        <w:tblW w:w="3362" w:type="dxa"/>
        <w:jc w:val="left"/>
        <w:tblInd w:w="0" w:type="dxa"/>
        <w:tblLayout w:type="fixed"/>
        <w:tblCellMar>
          <w:top w:w="28" w:type="dxa"/>
          <w:left w:w="28" w:type="dxa"/>
          <w:bottom w:w="28" w:type="dxa"/>
          <w:right w:w="28" w:type="dxa"/>
        </w:tblCellMar>
      </w:tblPr>
      <w:tblGrid>
        <w:gridCol w:w="946"/>
        <w:gridCol w:w="2416"/>
      </w:tblGrid>
      <w:tr>
        <w:trPr/>
        <w:tc>
          <w:tcPr>
            <w:tcW w:w="9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By:</w:t>
            </w:r>
          </w:p>
        </w:tc>
        <w:tc>
          <w:tcPr>
            <w:tcW w:w="2416" w:type="dxa"/>
            <w:tcBorders>
              <w:bottom w:val="single" w:sz="2" w:space="0" w:color="000000"/>
            </w:tcBorders>
            <w:shd w:fill="FFFFFF" w:val="clear"/>
            <w:tcMar>
              <w:top w:w="0" w:type="dxa"/>
              <w:left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/s/ Bruce Culleton</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Name:</w:t>
            </w:r>
          </w:p>
        </w:tc>
        <w:tc>
          <w:tcPr>
            <w:tcW w:w="241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Bruce Culleton, MD</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Position:</w:t>
            </w:r>
          </w:p>
        </w:tc>
        <w:tc>
          <w:tcPr>
            <w:tcW w:w="241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Chief Executive Officer</w:t>
            </w:r>
          </w:p>
        </w:tc>
      </w:tr>
    </w:tbl>
    <w:p>
      <w:pPr>
        <w:pStyle w:val="TextBody"/>
        <w:bidi w:val="0"/>
        <w:jc w:val="left"/>
        <w:rPr/>
      </w:pPr>
      <w:r>
        <w:rPr/>
        <w:t> </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Agreed to and Accepted:</w:t>
      </w:r>
    </w:p>
    <w:tbl>
      <w:tblPr>
        <w:tblW w:w="2402" w:type="dxa"/>
        <w:jc w:val="left"/>
        <w:tblInd w:w="0" w:type="dxa"/>
        <w:tblLayout w:type="fixed"/>
        <w:tblCellMar>
          <w:top w:w="28" w:type="dxa"/>
          <w:left w:w="28" w:type="dxa"/>
          <w:bottom w:w="28" w:type="dxa"/>
          <w:right w:w="28" w:type="dxa"/>
        </w:tblCellMar>
      </w:tblPr>
      <w:tblGrid>
        <w:gridCol w:w="751"/>
        <w:gridCol w:w="1651"/>
      </w:tblGrid>
      <w:tr>
        <w:trPr/>
        <w:tc>
          <w:tcPr>
            <w:tcW w:w="751"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By:</w:t>
            </w:r>
          </w:p>
        </w:tc>
        <w:tc>
          <w:tcPr>
            <w:tcW w:w="1651" w:type="dxa"/>
            <w:tcBorders>
              <w:bottom w:val="single" w:sz="2" w:space="0" w:color="000000"/>
            </w:tcBorders>
            <w:shd w:fill="FFFFFF" w:val="clear"/>
            <w:tcMar>
              <w:top w:w="0" w:type="dxa"/>
              <w:left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/s/ Darin Weber</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Name:</w:t>
            </w:r>
          </w:p>
        </w:tc>
        <w:tc>
          <w:tcPr>
            <w:tcW w:w="165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Darin Weber</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Date:</w:t>
            </w:r>
          </w:p>
        </w:tc>
        <w:tc>
          <w:tcPr>
            <w:tcW w:w="165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6/11/2025</w:t>
            </w:r>
          </w:p>
        </w:tc>
      </w:tr>
    </w:tbl>
    <w:p>
      <w:pPr>
        <w:pStyle w:val="TextBody"/>
        <w:bidi w:val="0"/>
        <w:spacing w:before="0" w:after="12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EXHIBIT A</w:t>
      </w:r>
    </w:p>
    <w:p>
      <w:pPr>
        <w:pStyle w:val="TextBody"/>
        <w:bidi w:val="0"/>
        <w:jc w:val="left"/>
        <w:rPr>
          <w:rFonts w:ascii="Times New Roman" w:hAnsi="Times New Roman"/>
          <w:sz w:val="20"/>
        </w:rPr>
      </w:pPr>
      <w:r>
        <w:rPr>
          <w:rFonts w:ascii="Times New Roman" w:hAnsi="Times New Roman"/>
          <w:color w:val="000000"/>
          <w:sz w:val="24"/>
        </w:rPr>
        <w:t>[</w:t>
      </w:r>
      <w:r>
        <w:rPr>
          <w:rFonts w:ascii="Times New Roman" w:hAnsi="Times New Roman"/>
          <w:b/>
          <w:i/>
          <w:color w:val="000000"/>
          <w:sz w:val="24"/>
          <w:u w:val="single"/>
        </w:rPr>
        <w:t>The language in this Release may change based on legal developments and evolving best</w:t>
      </w:r>
      <w:r>
        <w:rPr>
          <w:rFonts w:ascii="Times New Roman" w:hAnsi="Times New Roman"/>
          <w:color w:val="000000"/>
          <w:sz w:val="20"/>
        </w:rPr>
        <w:t xml:space="preserve"> </w:t>
      </w:r>
      <w:r>
        <w:rPr>
          <w:rFonts w:ascii="Times New Roman" w:hAnsi="Times New Roman"/>
          <w:b/>
          <w:i/>
          <w:color w:val="000000"/>
          <w:sz w:val="24"/>
          <w:u w:val="single"/>
        </w:rPr>
        <w:t>practices; this form is provided as an example of what will be included in the final Release</w:t>
      </w:r>
      <w:r>
        <w:rPr>
          <w:rFonts w:ascii="Times New Roman" w:hAnsi="Times New Roman"/>
          <w:color w:val="000000"/>
          <w:sz w:val="20"/>
        </w:rPr>
        <w:t xml:space="preserve"> </w:t>
      </w:r>
      <w:r>
        <w:rPr>
          <w:rFonts w:ascii="Times New Roman" w:hAnsi="Times New Roman"/>
          <w:b/>
          <w:i/>
          <w:color w:val="000000"/>
          <w:sz w:val="24"/>
          <w:u w:val="single"/>
        </w:rPr>
        <w:t>document.</w:t>
      </w:r>
      <w:r>
        <w:rPr>
          <w:rFonts w:ascii="Times New Roman" w:hAnsi="Times New Roman"/>
          <w:color w:val="000000"/>
          <w:sz w:val="24"/>
        </w:rPr>
        <w:t>]</w:t>
      </w:r>
      <w:r>
        <w:rPr>
          <w:rFonts w:ascii="Times New Roman" w:hAnsi="Times New Roman"/>
          <w:color w:val="000000"/>
          <w:sz w:val="16"/>
        </w:rPr>
        <w:t>1</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GENERAL RELEASE OF ALL CLAIMS</w:t>
      </w:r>
    </w:p>
    <w:p>
      <w:pPr>
        <w:pStyle w:val="TextBody"/>
        <w:bidi w:val="0"/>
        <w:jc w:val="left"/>
        <w:rPr>
          <w:rFonts w:ascii="Times New Roman" w:hAnsi="Times New Roman"/>
          <w:sz w:val="20"/>
        </w:rPr>
      </w:pPr>
      <w:r>
        <w:rPr>
          <w:rFonts w:ascii="Times New Roman" w:hAnsi="Times New Roman"/>
          <w:color w:val="000000"/>
          <w:sz w:val="24"/>
        </w:rPr>
        <w:t>1. For valuable consideration, the adequacy of which is hereby acknowledged, [NAME] (“</w:t>
      </w:r>
      <w:r>
        <w:rPr>
          <w:rFonts w:ascii="Times New Roman" w:hAnsi="Times New Roman"/>
          <w:color w:val="000000"/>
          <w:sz w:val="24"/>
          <w:u w:val="single"/>
        </w:rPr>
        <w:t>Executive</w:t>
      </w:r>
      <w:r>
        <w:rPr>
          <w:rFonts w:ascii="Times New Roman" w:hAnsi="Times New Roman"/>
          <w:color w:val="000000"/>
          <w:sz w:val="20"/>
        </w:rPr>
        <w:t>”</w:t>
      </w:r>
      <w:r>
        <w:rPr>
          <w:rFonts w:ascii="Times New Roman" w:hAnsi="Times New Roman"/>
          <w:color w:val="000000"/>
          <w:sz w:val="24"/>
        </w:rPr>
        <w:t>), for himself, his spouse, heirs, administrators, children, representatives, executors, successors, assigns, trusts for his benefit and all other persons claiming through Executive, if any (collectively, “</w:t>
      </w:r>
      <w:r>
        <w:rPr>
          <w:rFonts w:ascii="Times New Roman" w:hAnsi="Times New Roman"/>
          <w:color w:val="000000"/>
          <w:sz w:val="24"/>
          <w:u w:val="single"/>
        </w:rPr>
        <w:t>Releasers</w:t>
      </w:r>
      <w:r>
        <w:rPr>
          <w:rFonts w:ascii="Times New Roman" w:hAnsi="Times New Roman"/>
          <w:color w:val="000000"/>
          <w:sz w:val="20"/>
        </w:rPr>
        <w:t>”</w:t>
      </w:r>
      <w:r>
        <w:rPr>
          <w:rFonts w:ascii="Times New Roman" w:hAnsi="Times New Roman"/>
          <w:color w:val="000000"/>
          <w:sz w:val="24"/>
        </w:rPr>
        <w:t>), does hereby release, waive, and forever discharge [ProKidney, LLC, a Delaware limited liability company]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ProKidney Corp. and their respective subsidiaries, parents, affiliates, related organizations, and equity holders, and their respective affiliates (including trustees and beneficiaries of trusts that are direct and indirect equity holders), employees, officers, directors, attorneys, successors, and assigns or each of the foregoing (collectively, the “</w:t>
      </w:r>
      <w:r>
        <w:rPr>
          <w:rFonts w:ascii="Times New Roman" w:hAnsi="Times New Roman"/>
          <w:color w:val="000000"/>
          <w:sz w:val="24"/>
          <w:u w:val="single"/>
        </w:rPr>
        <w:t>Releasees</w:t>
      </w:r>
      <w:r>
        <w:rPr>
          <w:rFonts w:ascii="Times New Roman" w:hAnsi="Times New Roman"/>
          <w:color w:val="000000"/>
          <w:sz w:val="20"/>
        </w:rPr>
        <w:t>”</w:t>
      </w:r>
      <w:r>
        <w:rPr>
          <w:rFonts w:ascii="Times New Roman" w:hAnsi="Times New Roman"/>
          <w:color w:val="000000"/>
          <w:sz w:val="24"/>
        </w:rPr>
        <w:t>) from, and does fully waive any obligations or liabilities of Releasees to Releasers of any kind and nature that Releasers had, have, or might claim to have against Releasees at the time Executive executes this General Release for or in respect of any and all liability, actions, charges, causes of action, demands, damages, or claims for relief, remuneration, sums of money, accounts or expenses, and any action arising in tort including libel, slander, defamation or intentional infliction of emotional distress, and claims under any federal, state or local statute including Title VII of the Civil Rights Act of 1964, the Civil Rights Act of 1866 and 1871 (42 U.S.C. § 1981), the Equal Pay Act, Employee Retirement Income Security Act, Family and Medical Leave Act, the National Labor Relations Act, the Fair Labor Standards Act, the Americans with Disabilities Act of 1990, the Age Discrimination in Employment Act of 1967, the Rehabilitation Act of 1973, or the discrimination or employment laws of any state or municipality, and/or any claims under any express or implied contract which Releasers may claim existed with Releasees. This also includes a release by Executive of any claims for breach of contract, wrongful discharge and all claims for alleged physical or personal injury, emotional distress relating to or arising out of Executive’s employment with Company or the termination of that employment; and any claims under the WARN Act or any similar law, which requires, among other things, that advance notice be given of certain work force reductions. This release and waiver does not apply to any claims or rights that may arise after the date Executive signs this General Release. The foregoing release does not apply to (a) any claims or rights for compensation, benefits, indemnification and any other surviving rights now existing under the Employment Letter between the Company and Executive dated as of [●](the “</w:t>
      </w:r>
      <w:r>
        <w:rPr>
          <w:rFonts w:ascii="Times New Roman" w:hAnsi="Times New Roman"/>
          <w:color w:val="000000"/>
          <w:sz w:val="24"/>
          <w:u w:val="single"/>
        </w:rPr>
        <w:t>Employment Letter</w:t>
      </w:r>
      <w:r>
        <w:rPr>
          <w:rFonts w:ascii="Times New Roman" w:hAnsi="Times New Roman"/>
          <w:color w:val="000000"/>
          <w:sz w:val="20"/>
        </w:rPr>
        <w:t>”</w:t>
      </w:r>
      <w:r>
        <w:rPr>
          <w:rFonts w:ascii="Times New Roman" w:hAnsi="Times New Roman"/>
          <w:color w:val="000000"/>
          <w:sz w:val="24"/>
        </w:rPr>
        <w:t>), the organizational documents of the Company or any of its affiliates or any other agreement providing for indemnification regardless of when any claim is filed, (b) any claims or rights under directors and officers liability insurance, (c) any claims or rights accruing to any Releaser in its capacity as an equity holder of ProKidney Corp. or any of its subsidiaries, (d) any claims for vested benefits under an employee benefit plan in which Executive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participated during his employment; and (e) any claims that cannot be waived as a matter of law, including unemployment insurance and workers’ compensation insurance.</w:t>
      </w:r>
    </w:p>
    <w:p>
      <w:pPr>
        <w:pStyle w:val="TextBody"/>
        <w:bidi w:val="0"/>
        <w:jc w:val="left"/>
        <w:rPr>
          <w:rFonts w:ascii="Times New Roman" w:hAnsi="Times New Roman"/>
          <w:color w:val="000000"/>
          <w:sz w:val="24"/>
        </w:rPr>
      </w:pPr>
      <w:r>
        <w:rPr>
          <w:rFonts w:ascii="Times New Roman" w:hAnsi="Times New Roman"/>
          <w:color w:val="000000"/>
          <w:sz w:val="24"/>
        </w:rPr>
        <w:t>2. Excluded from this release and waiver are any claims which cannot be waived by law, including but not limited to the right to participate in an investigation conducted by certain</w:t>
      </w:r>
    </w:p>
    <w:p>
      <w:pPr>
        <w:pStyle w:val="TextBody"/>
        <w:bidi w:val="0"/>
        <w:jc w:val="left"/>
        <w:rPr>
          <w:rFonts w:ascii="Times New Roman" w:hAnsi="Times New Roman"/>
          <w:color w:val="000000"/>
          <w:sz w:val="24"/>
        </w:rPr>
      </w:pPr>
      <w:r>
        <w:rPr>
          <w:rFonts w:ascii="Times New Roman" w:hAnsi="Times New Roman"/>
          <w:color w:val="000000"/>
          <w:sz w:val="24"/>
        </w:rPr>
        <w:t>government agencies. Executive does, however, waive Executive’s right to any monetary recovery should any agency (such as the Equal Employment Opportunity Commission) pursue any claims on Executive’s behalf. Executive represents and warrants that Executive has not filed any complaint, charge, or lawsuit against the Releasees with any government agency or any court.</w:t>
      </w:r>
    </w:p>
    <w:p>
      <w:pPr>
        <w:pStyle w:val="TextBody"/>
        <w:bidi w:val="0"/>
        <w:jc w:val="left"/>
        <w:rPr>
          <w:rFonts w:ascii="Times New Roman" w:hAnsi="Times New Roman"/>
          <w:color w:val="000000"/>
          <w:sz w:val="24"/>
        </w:rPr>
      </w:pPr>
      <w:r>
        <w:rPr>
          <w:rFonts w:ascii="Times New Roman" w:hAnsi="Times New Roman"/>
          <w:color w:val="000000"/>
          <w:sz w:val="24"/>
        </w:rPr>
        <w:t>3. Executive agrees never to sue Releasees in any forum for any claim covered by the above waiver and release language. If Executive violates this General Release by suing Releasees, other than as set forth in Section 1 hereof, Executive shall be liable to the Company for its reasonable attorneys’ fees and other litigation costs incurred in defending against such a suit. Executive represents and warrants that he has not assigned or transferred, in any manner, including by subrogation or operation of law, any portion of any claim, action, complaint, charge or suit encompassed by the releases set forth in this General Release.</w:t>
      </w:r>
    </w:p>
    <w:p>
      <w:pPr>
        <w:pStyle w:val="TextBody"/>
        <w:bidi w:val="0"/>
        <w:jc w:val="left"/>
        <w:rPr>
          <w:rFonts w:ascii="Times New Roman" w:hAnsi="Times New Roman"/>
          <w:color w:val="000000"/>
          <w:sz w:val="24"/>
        </w:rPr>
      </w:pPr>
      <w:r>
        <w:rPr>
          <w:rFonts w:ascii="Times New Roman" w:hAnsi="Times New Roman"/>
          <w:color w:val="000000"/>
          <w:sz w:val="24"/>
        </w:rPr>
        <w:t>4. Executive acknowledges and recites that:</w:t>
      </w:r>
    </w:p>
    <w:p>
      <w:pPr>
        <w:pStyle w:val="TextBody"/>
        <w:bidi w:val="0"/>
        <w:jc w:val="left"/>
        <w:rPr>
          <w:rFonts w:ascii="Times New Roman" w:hAnsi="Times New Roman"/>
          <w:color w:val="000000"/>
          <w:sz w:val="24"/>
        </w:rPr>
      </w:pPr>
      <w:r>
        <w:rPr>
          <w:rFonts w:ascii="Times New Roman" w:hAnsi="Times New Roman"/>
          <w:color w:val="000000"/>
          <w:sz w:val="24"/>
        </w:rPr>
        <w:t>(a) Executive has executed this General Release knowingly and voluntarily;</w:t>
      </w:r>
    </w:p>
    <w:p>
      <w:pPr>
        <w:pStyle w:val="TextBody"/>
        <w:bidi w:val="0"/>
        <w:jc w:val="left"/>
        <w:rPr>
          <w:rFonts w:ascii="Times New Roman" w:hAnsi="Times New Roman"/>
          <w:color w:val="000000"/>
          <w:sz w:val="24"/>
        </w:rPr>
      </w:pPr>
      <w:r>
        <w:rPr>
          <w:rFonts w:ascii="Times New Roman" w:hAnsi="Times New Roman"/>
          <w:color w:val="000000"/>
          <w:sz w:val="24"/>
        </w:rPr>
        <w:t>(b) Executive has read and understands this General Release in its entirety;</w:t>
      </w:r>
    </w:p>
    <w:p>
      <w:pPr>
        <w:pStyle w:val="TextBody"/>
        <w:bidi w:val="0"/>
        <w:jc w:val="left"/>
        <w:rPr>
          <w:rFonts w:ascii="Times New Roman" w:hAnsi="Times New Roman"/>
          <w:color w:val="000000"/>
          <w:sz w:val="24"/>
        </w:rPr>
      </w:pPr>
      <w:r>
        <w:rPr>
          <w:rFonts w:ascii="Times New Roman" w:hAnsi="Times New Roman"/>
          <w:color w:val="000000"/>
          <w:sz w:val="24"/>
        </w:rPr>
        <w:t>(c) Executive has been advised and directed orally and in writing (and this subsection (c) constitutes such written direction) to seek legal counsel and any other advice he wishes with respect to the terms of this General Release before executing it;</w:t>
      </w:r>
    </w:p>
    <w:p>
      <w:pPr>
        <w:pStyle w:val="TextBody"/>
        <w:bidi w:val="0"/>
        <w:jc w:val="left"/>
        <w:rPr>
          <w:rFonts w:ascii="Times New Roman" w:hAnsi="Times New Roman"/>
          <w:color w:val="000000"/>
          <w:sz w:val="24"/>
        </w:rPr>
      </w:pPr>
      <w:r>
        <w:rPr>
          <w:rFonts w:ascii="Times New Roman" w:hAnsi="Times New Roman"/>
          <w:color w:val="000000"/>
          <w:sz w:val="24"/>
        </w:rPr>
        <w:t>(d) Executive’s execution of this General Release has not been forced by any employee or agent of the Company, and Executive has had an opportunity to negotiate about the terms of this General Release;</w:t>
      </w:r>
    </w:p>
    <w:p>
      <w:pPr>
        <w:pStyle w:val="TextBody"/>
        <w:bidi w:val="0"/>
        <w:jc w:val="left"/>
        <w:rPr>
          <w:rFonts w:ascii="Times New Roman" w:hAnsi="Times New Roman"/>
          <w:color w:val="000000"/>
          <w:sz w:val="24"/>
        </w:rPr>
      </w:pPr>
      <w:r>
        <w:rPr>
          <w:rFonts w:ascii="Times New Roman" w:hAnsi="Times New Roman"/>
          <w:color w:val="000000"/>
          <w:sz w:val="24"/>
        </w:rPr>
        <w:t>(e) Executive has been given at least twenty-one (21) days to consider this General Release, and if executed prior to the expiration of the twenty-one (21) day period, such execution is knowing and voluntary; and</w:t>
      </w:r>
    </w:p>
    <w:p>
      <w:pPr>
        <w:pStyle w:val="TextBody"/>
        <w:bidi w:val="0"/>
        <w:jc w:val="left"/>
        <w:rPr>
          <w:rFonts w:ascii="Times New Roman" w:hAnsi="Times New Roman"/>
          <w:color w:val="000000"/>
          <w:sz w:val="24"/>
        </w:rPr>
      </w:pPr>
      <w:r>
        <w:rPr>
          <w:rFonts w:ascii="Times New Roman" w:hAnsi="Times New Roman"/>
          <w:color w:val="000000"/>
          <w:sz w:val="24"/>
        </w:rPr>
        <w:t>(f) The additional benefits and other promises that Executive is to receive under the Employment Letter are sufficient consideration for this General Release.</w:t>
      </w:r>
    </w:p>
    <w:p>
      <w:pPr>
        <w:pStyle w:val="TextBody"/>
        <w:bidi w:val="0"/>
        <w:jc w:val="left"/>
        <w:rPr>
          <w:rFonts w:ascii="Times New Roman" w:hAnsi="Times New Roman"/>
          <w:color w:val="000000"/>
          <w:sz w:val="24"/>
        </w:rPr>
      </w:pPr>
      <w:r>
        <w:rPr>
          <w:rFonts w:ascii="Times New Roman" w:hAnsi="Times New Roman"/>
          <w:color w:val="000000"/>
          <w:sz w:val="24"/>
        </w:rPr>
        <w:t>5. This General Release shall be governed by the internal laws (and not the choice of laws) of the State of Delaware, except for the application of pre-emptive Federal law.</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6. The parties hereby agree that any suit, action or proceeding seeking to enforce any provision of, or based on any matter arising out of or in connection with, this General Release shall only be brought in the Chancery Court of the State of Delaware (or other appropriate state court in the State of Delaware) or the Federal courts located in the State of Delaware and not in any other State or Federal courts located in the United States of America or any court in any other country, and each of the parties hereby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which is brought in any such court has been brought in an inconvenient form. The parties hereby agree that process in any such suit, action or proceeding may be served on either party anywhere in the world, whether within or without the jurisdiction of any such court. EACH OF THE PARTIES HERETO HEREBY IRREVOCABLY WAIVES ANY AND ALL RIGHTS TO TRIAL BY JURY IN ANY LEGAL PROCEEDING ARISING OUT OF OR RELATED TO THIS AGREEMENT OR THE TRANSACTIONS CONTEMPLATED HEREBY..</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7. Executive may revoke this General Release within seven (7) calendar days after signing it. To be effective, such revocation must be made in writing to the Board of Directors of ProKidney Corp., with a copy received at 2000 Frontis Plaza Blvd., Ste. 250 Winston-Salem, NC 27103, Attention: Todd Girolamo. Revocation can be made by hand delivery, telegram, facsimile, or postmarking before the expiration of this seven (7) day period. None of the obligations of the Company under the Employment Letter shall be effective in the event that Executive revokes this General Release pursuant to this Section 7.</w:t>
      </w:r>
    </w:p>
    <w:p>
      <w:pPr>
        <w:pStyle w:val="TextBody"/>
        <w:bidi w:val="0"/>
        <w:jc w:val="left"/>
        <w:rPr/>
      </w:pPr>
      <w:r>
        <w:rPr/>
        <w:t> </w:t>
      </w:r>
    </w:p>
    <w:p>
      <w:pPr>
        <w:pStyle w:val="TextBody"/>
        <w:pBdr>
          <w:bottom w:val="single" w:sz="8" w:space="1" w:color="000000"/>
        </w:pBdr>
        <w:bidi w:val="0"/>
        <w:jc w:val="left"/>
        <w:rPr/>
      </w:pPr>
      <w:r>
        <w:rPr/>
        <w:t> </w:t>
      </w:r>
    </w:p>
    <w:p>
      <w:pPr>
        <w:pStyle w:val="TextBody"/>
        <w:bidi w:val="0"/>
        <w:jc w:val="left"/>
        <w:rPr/>
      </w:pPr>
      <w:r>
        <w:rPr/>
        <w:t> </w:t>
      </w:r>
    </w:p>
    <w:p>
      <w:pPr>
        <w:pStyle w:val="TextBody"/>
        <w:bidi w:val="0"/>
        <w:jc w:val="left"/>
        <w:rPr>
          <w:rFonts w:ascii="Times New Roman" w:hAnsi="Times New Roman"/>
          <w:i/>
          <w:color w:val="000000"/>
          <w:sz w:val="24"/>
        </w:rPr>
      </w:pPr>
      <w:r>
        <w:rPr>
          <w:rFonts w:ascii="Times New Roman" w:hAnsi="Times New Roman"/>
          <w:i/>
          <w:color w:val="000000"/>
          <w:sz w:val="24"/>
        </w:rPr>
        <w:t>(Signature page follows)</w:t>
      </w:r>
    </w:p>
    <w:p>
      <w:pPr>
        <w:pStyle w:val="TextBody"/>
        <w:pBdr>
          <w:bottom w:val="single" w:sz="8" w:space="1" w:color="000000"/>
        </w:pBdr>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PLEASE READ THIS AGREEMENT CAREFULLY. IT CONTAINS A RELEASE OF ALL KNOWN AND UNKNOWN CLAIMS.</w:t>
      </w:r>
    </w:p>
    <w:p>
      <w:pPr>
        <w:pStyle w:val="TextBody"/>
        <w:bidi w:val="0"/>
        <w:jc w:val="left"/>
        <w:rPr>
          <w:rFonts w:ascii="Times New Roman" w:hAnsi="Times New Roman"/>
          <w:sz w:val="20"/>
        </w:rPr>
      </w:pPr>
      <w:r>
        <w:rPr>
          <w:rFonts w:ascii="Times New Roman" w:hAnsi="Times New Roman"/>
          <w:color w:val="000000"/>
          <w:sz w:val="24"/>
        </w:rPr>
        <w:t>Date: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Executive:</w:t>
      </w:r>
      <w:r>
        <w:rPr>
          <w:rFonts w:ascii="Times New Roman" w:hAnsi="Times New Roman"/>
          <w:color w:val="000000"/>
          <w:sz w:val="20"/>
        </w:rPr>
        <w:t xml:space="preserve"> </w:t>
      </w:r>
    </w:p>
    <w:p>
      <w:pPr>
        <w:pStyle w:val="TextBody"/>
        <w:pBdr>
          <w:bottom w:val="single" w:sz="8"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1" w:name="prok-ex31_1.htm"/>
      <w:bookmarkStart w:id="42" w:name="ksprokex31_1"/>
      <w:bookmarkEnd w:id="41"/>
      <w:bookmarkEnd w:id="42"/>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Bruce Culleton,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ProKidney Corp.;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979" w:type="dxa"/>
        <w:jc w:val="left"/>
        <w:tblInd w:w="0" w:type="dxa"/>
        <w:tblLayout w:type="fixed"/>
        <w:tblCellMar>
          <w:top w:w="28" w:type="dxa"/>
          <w:left w:w="28" w:type="dxa"/>
          <w:bottom w:w="28" w:type="dxa"/>
          <w:right w:w="28" w:type="dxa"/>
        </w:tblCellMar>
      </w:tblPr>
      <w:tblGrid>
        <w:gridCol w:w="1951"/>
        <w:gridCol w:w="146"/>
        <w:gridCol w:w="406"/>
        <w:gridCol w:w="247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Bruce Culleton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Bruce Culleton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3" w:name="prok-ex31_2.htm"/>
      <w:bookmarkStart w:id="44" w:name="ksprokex31_2"/>
      <w:bookmarkEnd w:id="43"/>
      <w:bookmarkEnd w:id="44"/>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James Coulston,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ProKidney Corp.;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269" w:type="dxa"/>
        <w:jc w:val="left"/>
        <w:tblInd w:w="0" w:type="dxa"/>
        <w:tblLayout w:type="fixed"/>
        <w:tblCellMar>
          <w:top w:w="28" w:type="dxa"/>
          <w:left w:w="28" w:type="dxa"/>
          <w:bottom w:w="28" w:type="dxa"/>
          <w:right w:w="28" w:type="dxa"/>
        </w:tblCellMar>
      </w:tblPr>
      <w:tblGrid>
        <w:gridCol w:w="1951"/>
        <w:gridCol w:w="146"/>
        <w:gridCol w:w="406"/>
        <w:gridCol w:w="376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James Coulston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Coulston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5" w:name="prok-ex32_1.htm"/>
      <w:bookmarkStart w:id="46" w:name="ksprokex32_1"/>
      <w:bookmarkEnd w:id="45"/>
      <w:bookmarkEnd w:id="46"/>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ProKidney Corp. (the “Company”) on Form 10-Q for the period ending June 30, 2025,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4979" w:type="dxa"/>
        <w:jc w:val="left"/>
        <w:tblInd w:w="0" w:type="dxa"/>
        <w:tblLayout w:type="fixed"/>
        <w:tblCellMar>
          <w:top w:w="28" w:type="dxa"/>
          <w:left w:w="28" w:type="dxa"/>
          <w:bottom w:w="28" w:type="dxa"/>
          <w:right w:w="28" w:type="dxa"/>
        </w:tblCellMar>
      </w:tblPr>
      <w:tblGrid>
        <w:gridCol w:w="1951"/>
        <w:gridCol w:w="146"/>
        <w:gridCol w:w="406"/>
        <w:gridCol w:w="247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Bruce Culleton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Bruce Culleton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7" w:name="prok-ex32_2.htm"/>
      <w:bookmarkStart w:id="48" w:name="ksprokex32_2"/>
      <w:bookmarkEnd w:id="47"/>
      <w:bookmarkEnd w:id="48"/>
      <w:r>
        <w:rPr>
          <w:rFonts w:ascii="Times New Roman" w:hAnsi="Times New Roman"/>
          <w:b/>
          <w:color w:val="000000"/>
          <w:sz w:val="20"/>
        </w:rPr>
        <w:t>Exhibit 32.2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ProKidney Corp. (the “Company”) on Form 10-Q for the period ending June 30, 2025,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269" w:type="dxa"/>
        <w:jc w:val="left"/>
        <w:tblInd w:w="0" w:type="dxa"/>
        <w:tblLayout w:type="fixed"/>
        <w:tblCellMar>
          <w:top w:w="28" w:type="dxa"/>
          <w:left w:w="28" w:type="dxa"/>
          <w:bottom w:w="28" w:type="dxa"/>
          <w:right w:w="28" w:type="dxa"/>
        </w:tblCellMar>
      </w:tblPr>
      <w:tblGrid>
        <w:gridCol w:w="1951"/>
        <w:gridCol w:w="146"/>
        <w:gridCol w:w="406"/>
        <w:gridCol w:w="376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James Coulston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Coulston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mbri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50270/000114036125024839/ef20051439_ex3-1.htm" TargetMode="External"/><Relationship Id="rId3" Type="http://schemas.openxmlformats.org/officeDocument/2006/relationships/hyperlink" Target="https://www.sec.gov/Archives/edgar/data/1850270/000114036125024839/ef20051439_ex3-2.htm" TargetMode="External"/><Relationship Id="rId4" Type="http://schemas.openxmlformats.org/officeDocument/2006/relationships/hyperlink" Target="https://www.sec.gov/Archives/edgar/data/1850270/000114036125024839/ef20051439_ex3-3.htm" TargetMode="External"/><Relationship Id="rId5" Type="http://schemas.openxmlformats.org/officeDocument/2006/relationships/hyperlink" Target="https://www.sec.gov/Archives/edgar/data/1850270/000114036125024839/ef20051439_ex4-1.htm" TargetMode="External"/><Relationship Id="rId6" Type="http://schemas.openxmlformats.org/officeDocument/2006/relationships/hyperlink" Target="https://www.sec.gov/Archives/edgar/data/1850270/000114036125024839/ef20051439_ex4-2.htm" TargetMode="External"/><Relationship Id="rId7" Type="http://schemas.openxmlformats.org/officeDocument/2006/relationships/hyperlink" Target="https://www.sec.gov/Archives/edgar/data/1850270/000114036125024839/ef20051439_ex10-1.htm" TargetMode="External"/><Relationship Id="rId8" Type="http://schemas.openxmlformats.org/officeDocument/2006/relationships/hyperlink" Target="https://www.sec.gov/Archives/edgar/data/1850270/000114036125024839/ef20051439_ex10-2.htm" TargetMode="External"/><Relationship Id="rId9" Type="http://schemas.openxmlformats.org/officeDocument/2006/relationships/hyperlink" Target="https://www.sec.gov/Archives/edgar/data/1850270/000114036125024839/ef20051439_ex10-3.htm" TargetMode="External"/><Relationship Id="rId10" Type="http://schemas.openxmlformats.org/officeDocument/2006/relationships/hyperlink" Target="https://www.sec.gov/Archives/edgar/data/1850270/000114036125024839/ef20051439_ex10-4.htm" TargetMode="External"/><Relationship Id="rId11" Type="http://schemas.openxmlformats.org/officeDocument/2006/relationships/hyperlink" Target="https://www.sec.gov/Archives/edgar/data/1850270/000114036125024839/ef20051439_ex10-5.htm" TargetMode="External"/><Relationship Id="rId12" Type="http://schemas.openxmlformats.org/officeDocument/2006/relationships/hyperlink" Target="https://www.sec.gov/Archives/edgar/data/1850270/000114036125024839/ef20051439_ex10-6.htm" TargetMode="External"/><Relationship Id="rId13" Type="http://schemas.openxmlformats.org/officeDocument/2006/relationships/hyperlink" Target="https://www.sec.gov/Archives/edgar/data/1850270/000114036125024839/ef20051439_ex10-7.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43311</Words>
  <Characters>232740</Characters>
  <CharactersWithSpaces>277011</CharactersWithSpaces>
  <Paragraphs>6800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