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660" w:right="1620" w:hanging="3639"/>
        <w:spacing w:after="0" w:line="397"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4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4560" w:type="dxa"/>
            <w:vAlign w:val="bottom"/>
          </w:tcPr>
          <w:p>
            <w:pPr>
              <w:jc w:val="center"/>
              <w:ind w:right="1804"/>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98-1586514</w:t>
            </w:r>
          </w:p>
        </w:tc>
      </w:tr>
      <w:tr>
        <w:trPr>
          <w:trHeight w:val="142"/>
        </w:trPr>
        <w:tc>
          <w:tcPr>
            <w:tcW w:w="4560" w:type="dxa"/>
            <w:vAlign w:val="bottom"/>
          </w:tcPr>
          <w:p>
            <w:pPr>
              <w:jc w:val="center"/>
              <w:ind w:right="1804"/>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880" w:type="dxa"/>
            <w:vAlign w:val="bottom"/>
          </w:tcPr>
          <w:p>
            <w:pPr>
              <w:jc w:val="center"/>
              <w:ind w:left="182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560" w:type="dxa"/>
            <w:vAlign w:val="bottom"/>
          </w:tcPr>
          <w:p>
            <w:pPr>
              <w:jc w:val="center"/>
              <w:ind w:right="18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80" w:type="dxa"/>
            <w:vAlign w:val="bottom"/>
          </w:tcPr>
          <w:p>
            <w:pPr>
              <w:jc w:val="center"/>
              <w:ind w:left="182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03"/>
        </w:trPr>
        <w:tc>
          <w:tcPr>
            <w:tcW w:w="4560" w:type="dxa"/>
            <w:vAlign w:val="bottom"/>
          </w:tcPr>
          <w:p>
            <w:pPr>
              <w:jc w:val="center"/>
              <w:ind w:right="1804"/>
              <w:spacing w:after="0" w:line="203" w:lineRule="exact"/>
              <w:rPr>
                <w:sz w:val="20"/>
                <w:szCs w:val="20"/>
                <w:color w:val="auto"/>
              </w:rPr>
            </w:pPr>
            <w:r>
              <w:rPr>
                <w:rFonts w:ascii="Times New Roman" w:cs="Times New Roman" w:eastAsia="Times New Roman" w:hAnsi="Times New Roman"/>
                <w:sz w:val="18"/>
                <w:szCs w:val="18"/>
                <w:b w:val="1"/>
                <w:bCs w:val="1"/>
                <w:color w:val="auto"/>
              </w:rPr>
              <w:t>2000 Frontis Plaza Blvd., Suite 250</w:t>
            </w:r>
          </w:p>
        </w:tc>
        <w:tc>
          <w:tcPr>
            <w:tcW w:w="2880" w:type="dxa"/>
            <w:vAlign w:val="bottom"/>
          </w:tcPr>
          <w:p>
            <w:pPr>
              <w:spacing w:after="0"/>
              <w:rPr>
                <w:sz w:val="17"/>
                <w:szCs w:val="17"/>
                <w:color w:val="auto"/>
              </w:rPr>
            </w:pPr>
          </w:p>
        </w:tc>
      </w:tr>
      <w:tr>
        <w:trPr>
          <w:trHeight w:val="232"/>
        </w:trPr>
        <w:tc>
          <w:tcPr>
            <w:tcW w:w="4560" w:type="dxa"/>
            <w:vAlign w:val="bottom"/>
          </w:tcPr>
          <w:p>
            <w:pPr>
              <w:jc w:val="center"/>
              <w:ind w:right="1804"/>
              <w:spacing w:after="0"/>
              <w:rPr>
                <w:sz w:val="20"/>
                <w:szCs w:val="20"/>
                <w:color w:val="auto"/>
              </w:rPr>
            </w:pPr>
            <w:r>
              <w:rPr>
                <w:rFonts w:ascii="Times New Roman" w:cs="Times New Roman" w:eastAsia="Times New Roman" w:hAnsi="Times New Roman"/>
                <w:sz w:val="18"/>
                <w:szCs w:val="18"/>
                <w:b w:val="1"/>
                <w:bCs w:val="1"/>
                <w:color w:val="auto"/>
                <w:w w:val="99"/>
              </w:rPr>
              <w:t>Winston-Salem, NC</w:t>
            </w:r>
          </w:p>
        </w:tc>
        <w:tc>
          <w:tcPr>
            <w:tcW w:w="288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27103</w:t>
            </w:r>
          </w:p>
        </w:tc>
      </w:tr>
      <w:tr>
        <w:trPr>
          <w:trHeight w:val="166"/>
        </w:trPr>
        <w:tc>
          <w:tcPr>
            <w:tcW w:w="4560" w:type="dxa"/>
            <w:vAlign w:val="bottom"/>
          </w:tcPr>
          <w:p>
            <w:pPr>
              <w:jc w:val="center"/>
              <w:ind w:right="18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80" w:type="dxa"/>
            <w:vAlign w:val="bottom"/>
          </w:tcPr>
          <w:p>
            <w:pPr>
              <w:jc w:val="center"/>
              <w:ind w:left="18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ordinary shares,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PROK</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6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tbl>
      <w:tblPr>
        <w:tblLayout w:type="fixed"/>
        <w:tblInd w:w="1140" w:type="dxa"/>
        <w:tblCellMar>
          <w:top w:w="0" w:type="dxa"/>
          <w:left w:w="0" w:type="dxa"/>
          <w:bottom w:w="0" w:type="dxa"/>
          <w:right w:w="0" w:type="dxa"/>
        </w:tblCellMar>
      </w:tblPr>
      <w:tr>
        <w:trPr>
          <w:trHeight w:val="205"/>
        </w:trPr>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80" w:type="dxa"/>
            <w:vAlign w:val="bottom"/>
          </w:tcPr>
          <w:p>
            <w:pPr>
              <w:spacing w:after="0"/>
              <w:rPr>
                <w:sz w:val="17"/>
                <w:szCs w:val="17"/>
                <w:color w:val="auto"/>
              </w:rPr>
            </w:pPr>
          </w:p>
        </w:tc>
        <w:tc>
          <w:tcPr>
            <w:tcW w:w="43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Shares Outstanding as of November 14, 2022</w:t>
            </w:r>
          </w:p>
        </w:tc>
      </w:tr>
      <w:tr>
        <w:trPr>
          <w:trHeight w:val="271"/>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ordinary shares, par value $0.0001 per share</w:t>
            </w:r>
          </w:p>
        </w:tc>
        <w:tc>
          <w:tcPr>
            <w:tcW w:w="4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61,540,231</w:t>
            </w:r>
          </w:p>
        </w:tc>
      </w:tr>
      <w:tr>
        <w:trPr>
          <w:trHeight w:val="258"/>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ordinary shares, par value $0.0001 per share</w:t>
            </w:r>
          </w:p>
        </w:tc>
        <w:tc>
          <w:tcPr>
            <w:tcW w:w="4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171,210,060</w:t>
            </w:r>
          </w:p>
        </w:tc>
      </w:tr>
    </w:tbl>
    <w:p>
      <w:pPr>
        <w:spacing w:after="0" w:line="219"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07"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 (Unaudited)</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23"/>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960" w:type="dxa"/>
            <w:vAlign w:val="bottom"/>
            <w:tcBorders>
              <w:top w:val="single" w:sz="8" w:color="0000FF"/>
            </w:tcBorders>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20" w:type="dxa"/>
            <w:vAlign w:val="bottom"/>
            <w:tcBorders>
              <w:top w:val="single" w:sz="8" w:color="0000EE"/>
            </w:tcBorders>
          </w:tcPr>
          <w:p>
            <w:pPr>
              <w:spacing w:after="0"/>
              <w:rPr>
                <w:sz w:val="15"/>
                <w:szCs w:val="15"/>
                <w:color w:val="auto"/>
              </w:rPr>
            </w:pPr>
          </w:p>
        </w:tc>
        <w:tc>
          <w:tcPr>
            <w:tcW w:w="634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6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w:t>
            </w:r>
          </w:p>
        </w:tc>
        <w:tc>
          <w:tcPr>
            <w:tcW w:w="80" w:type="dxa"/>
            <w:vAlign w:val="bottom"/>
          </w:tcPr>
          <w:p>
            <w:pPr>
              <w:spacing w:after="0"/>
              <w:rPr>
                <w:sz w:val="15"/>
                <w:szCs w:val="15"/>
                <w:color w:val="auto"/>
              </w:rPr>
            </w:pPr>
          </w:p>
        </w:tc>
        <w:tc>
          <w:tcPr>
            <w:tcW w:w="556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Redeemable Noncontrolling Interest and Shareholders’ Deficit / Members’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16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Equity</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8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8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20" w:type="dxa"/>
            <w:vAlign w:val="bottom"/>
            <w:tcBorders>
              <w:top w:val="single" w:sz="8" w:color="0000EE"/>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80" w:type="dxa"/>
            <w:vAlign w:val="bottom"/>
            <w:gridSpan w:val="4"/>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5"/>
                <w:szCs w:val="15"/>
                <w:color w:val="auto"/>
              </w:rPr>
            </w:pPr>
          </w:p>
        </w:tc>
        <w:tc>
          <w:tcPr>
            <w:tcW w:w="420" w:type="dxa"/>
            <w:vAlign w:val="bottom"/>
            <w:gridSpan w:val="3"/>
          </w:tcPr>
          <w:p>
            <w:pPr>
              <w:spacing w:after="0"/>
              <w:rPr>
                <w:sz w:val="15"/>
                <w:szCs w:val="15"/>
                <w:color w:val="auto"/>
              </w:rPr>
            </w:pPr>
          </w:p>
        </w:tc>
        <w:tc>
          <w:tcPr>
            <w:tcW w:w="980" w:type="dxa"/>
            <w:vAlign w:val="bottom"/>
            <w:gridSpan w:val="4"/>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5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18"/>
                <w:szCs w:val="18"/>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8"/>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506,327</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clinical</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18"/>
                <w:szCs w:val="18"/>
                <w:color w:val="auto"/>
              </w:rPr>
            </w:pPr>
          </w:p>
        </w:tc>
      </w:tr>
      <w:tr>
        <w:trPr>
          <w:trHeight w:val="216"/>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519,371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tcPr>
          <w:p>
            <w:pPr>
              <w:spacing w:after="0"/>
              <w:rPr>
                <w:sz w:val="19"/>
                <w:szCs w:val="19"/>
                <w:color w:val="auto"/>
              </w:rPr>
            </w:pPr>
          </w:p>
        </w:tc>
      </w:tr>
      <w:tr>
        <w:trPr>
          <w:trHeight w:val="198"/>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8"/>
                <w:szCs w:val="18"/>
                <w:color w:val="auto"/>
              </w:rPr>
            </w:pPr>
          </w:p>
        </w:tc>
      </w:tr>
      <w:tr>
        <w:trPr>
          <w:trHeight w:val="21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532,438</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Pr>
          <w:p>
            <w:pPr>
              <w:spacing w:after="0"/>
              <w:rPr>
                <w:sz w:val="18"/>
                <w:szCs w:val="18"/>
                <w:color w:val="auto"/>
              </w:rPr>
            </w:pPr>
          </w:p>
        </w:tc>
      </w:tr>
      <w:tr>
        <w:trPr>
          <w:trHeight w:val="209"/>
        </w:trPr>
        <w:tc>
          <w:tcPr>
            <w:tcW w:w="6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00" w:type="dxa"/>
            <w:vAlign w:val="bottom"/>
            <w:shd w:val="clear" w:color="auto" w:fill="CFF0FC"/>
          </w:tcPr>
          <w:p>
            <w:pPr>
              <w:spacing w:after="0"/>
              <w:rPr>
                <w:sz w:val="18"/>
                <w:szCs w:val="18"/>
                <w:color w:val="auto"/>
              </w:rPr>
            </w:pPr>
          </w:p>
        </w:tc>
      </w:tr>
      <w:tr>
        <w:trPr>
          <w:trHeight w:val="432"/>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2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1,616,896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deficit / members' equity:</w:t>
            </w: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units (186,500,000 issued and outstanding at December 31, 2021)</w:t>
            </w:r>
          </w:p>
        </w:tc>
        <w:tc>
          <w:tcPr>
            <w:tcW w:w="220" w:type="dxa"/>
            <w:vAlign w:val="bottom"/>
          </w:tcPr>
          <w:p>
            <w:pPr>
              <w:spacing w:after="0"/>
              <w:rPr>
                <w:sz w:val="18"/>
                <w:szCs w:val="18"/>
                <w:color w:val="auto"/>
              </w:rPr>
            </w:pP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186,500</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B units (7,767,122 issued and outstanding at December 31, 2021)</w:t>
            </w: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FF0FC"/>
          </w:tcPr>
          <w:p>
            <w:pPr>
              <w:spacing w:after="0"/>
              <w:rPr>
                <w:sz w:val="18"/>
                <w:szCs w:val="18"/>
                <w:color w:val="auto"/>
              </w:rPr>
            </w:pPr>
          </w:p>
        </w:tc>
      </w:tr>
      <w:tr>
        <w:trPr>
          <w:trHeight w:val="171"/>
        </w:trPr>
        <w:tc>
          <w:tcPr>
            <w:tcW w:w="658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Class A ordinary shares, $0.0001 par value; 500,000,000 shares</w:t>
            </w: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5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authorized; 61,540,231 issued and outstanding as of September</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30, 2022</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6580" w:type="dxa"/>
            <w:vAlign w:val="bottom"/>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Class B ordinary shares, $0.0001 par value; 500,000,000 shares</w:t>
            </w:r>
          </w:p>
        </w:tc>
        <w:tc>
          <w:tcPr>
            <w:tcW w:w="22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58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authorized; 171,210,060 issued and outstanding as of September</w:t>
            </w:r>
          </w:p>
        </w:tc>
        <w:tc>
          <w:tcPr>
            <w:tcW w:w="2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30, 2022</w:t>
            </w:r>
          </w:p>
        </w:tc>
        <w:tc>
          <w:tcPr>
            <w:tcW w:w="22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(1,097,805 )</w:t>
            </w:r>
          </w:p>
        </w:tc>
        <w:tc>
          <w:tcPr>
            <w:tcW w:w="2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(161,510 )</w:t>
            </w:r>
          </w:p>
        </w:tc>
      </w:tr>
      <w:tr>
        <w:trPr>
          <w:trHeight w:val="20"/>
        </w:trPr>
        <w:tc>
          <w:tcPr>
            <w:tcW w:w="6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deficit / members’ equity</w:t>
            </w:r>
          </w:p>
        </w:tc>
        <w:tc>
          <w:tcPr>
            <w:tcW w:w="220" w:type="dxa"/>
            <w:vAlign w:val="bottom"/>
          </w:tcPr>
          <w:p>
            <w:pPr>
              <w:spacing w:after="0"/>
              <w:rPr>
                <w:sz w:val="18"/>
                <w:szCs w:val="18"/>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(1,096,325 )</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00" w:type="dxa"/>
            <w:vAlign w:val="bottom"/>
          </w:tcPr>
          <w:p>
            <w:pPr>
              <w:spacing w:after="0"/>
              <w:rPr>
                <w:sz w:val="18"/>
                <w:szCs w:val="18"/>
                <w:color w:val="auto"/>
              </w:rPr>
            </w:pPr>
          </w:p>
        </w:tc>
      </w:tr>
      <w:tr>
        <w:trPr>
          <w:trHeight w:val="250"/>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532,438</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-4422775</wp:posOffset>
            </wp:positionV>
            <wp:extent cx="6858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-3728085</wp:posOffset>
            </wp:positionV>
            <wp:extent cx="6858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-2313940</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-316230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9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18"/>
                <w:szCs w:val="18"/>
                <w:color w:val="auto"/>
              </w:rPr>
            </w:pPr>
          </w:p>
        </w:tc>
        <w:tc>
          <w:tcPr>
            <w:tcW w:w="312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6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61,180</w:t>
            </w:r>
          </w:p>
        </w:tc>
        <w:tc>
          <w:tcPr>
            <w:tcW w:w="6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61,592</w:t>
            </w: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(35,572 )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(17,081 )</w:t>
            </w:r>
          </w:p>
        </w:tc>
        <w:tc>
          <w:tcPr>
            <w:tcW w:w="1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(122,772 )</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(41,401 )</w:t>
            </w:r>
          </w:p>
        </w:tc>
        <w:tc>
          <w:tcPr>
            <w:tcW w:w="0" w:type="dxa"/>
            <w:vAlign w:val="bottom"/>
          </w:tcPr>
          <w:p>
            <w:pPr>
              <w:spacing w:after="0"/>
              <w:rPr>
                <w:sz w:val="1"/>
                <w:szCs w:val="1"/>
                <w:color w:val="auto"/>
              </w:rPr>
            </w:pPr>
          </w:p>
        </w:tc>
      </w:tr>
      <w:tr>
        <w:trPr>
          <w:trHeight w:val="432"/>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17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(213 )</w:t>
            </w:r>
          </w:p>
        </w:tc>
        <w:tc>
          <w:tcPr>
            <w:tcW w:w="30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(34,020</w:t>
            </w:r>
          </w:p>
        </w:tc>
        <w:tc>
          <w:tcPr>
            <w:tcW w:w="66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(121,404</w:t>
            </w:r>
          </w:p>
        </w:tc>
        <w:tc>
          <w:tcPr>
            <w:tcW w:w="6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1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(75 )</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40" w:type="dxa"/>
            <w:vAlign w:val="bottom"/>
            <w:shd w:val="clear" w:color="auto" w:fill="CFF0FC"/>
          </w:tcPr>
          <w:p>
            <w:pPr>
              <w:ind w:left="200"/>
              <w:spacing w:after="0" w:line="164" w:lineRule="exact"/>
              <w:rPr>
                <w:sz w:val="20"/>
                <w:szCs w:val="20"/>
                <w:color w:val="auto"/>
              </w:rPr>
            </w:pPr>
            <w:r>
              <w:rPr>
                <w:rFonts w:ascii="Times New Roman" w:cs="Times New Roman" w:eastAsia="Times New Roman" w:hAnsi="Times New Roman"/>
                <w:sz w:val="18"/>
                <w:szCs w:val="18"/>
                <w:color w:val="auto"/>
              </w:rPr>
              <w:t>Net and comprehensive loss before noncontrolling</w:t>
            </w:r>
          </w:p>
        </w:tc>
        <w:tc>
          <w:tcPr>
            <w:tcW w:w="160" w:type="dxa"/>
            <w:vAlign w:val="bottom"/>
            <w:shd w:val="clear" w:color="auto" w:fill="CFF0FC"/>
          </w:tcPr>
          <w:p>
            <w:pPr>
              <w:spacing w:after="0"/>
              <w:rPr>
                <w:sz w:val="14"/>
                <w:szCs w:val="14"/>
                <w:color w:val="auto"/>
              </w:rPr>
            </w:pPr>
          </w:p>
        </w:tc>
        <w:tc>
          <w:tcPr>
            <w:tcW w:w="1800" w:type="dxa"/>
            <w:vAlign w:val="bottom"/>
            <w:gridSpan w:val="2"/>
            <w:vMerge w:val="restart"/>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(33,945 )</w:t>
            </w:r>
          </w:p>
        </w:tc>
        <w:tc>
          <w:tcPr>
            <w:tcW w:w="28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(17,142 )</w:t>
            </w:r>
          </w:p>
        </w:tc>
        <w:tc>
          <w:tcPr>
            <w:tcW w:w="180" w:type="dxa"/>
            <w:vAlign w:val="bottom"/>
            <w:shd w:val="clear" w:color="auto" w:fill="CFF0FC"/>
          </w:tcPr>
          <w:p>
            <w:pPr>
              <w:spacing w:after="0"/>
              <w:rPr>
                <w:sz w:val="14"/>
                <w:szCs w:val="14"/>
                <w:color w:val="auto"/>
              </w:rPr>
            </w:pPr>
          </w:p>
        </w:tc>
        <w:tc>
          <w:tcPr>
            <w:tcW w:w="1720" w:type="dxa"/>
            <w:vAlign w:val="bottom"/>
            <w:gridSpan w:val="2"/>
            <w:vMerge w:val="restart"/>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(123,562 )</w:t>
            </w:r>
          </w:p>
        </w:tc>
        <w:tc>
          <w:tcPr>
            <w:tcW w:w="30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(41,476 )</w:t>
            </w:r>
          </w:p>
        </w:tc>
        <w:tc>
          <w:tcPr>
            <w:tcW w:w="0" w:type="dxa"/>
            <w:vAlign w:val="bottom"/>
          </w:tcPr>
          <w:p>
            <w:pPr>
              <w:spacing w:after="0"/>
              <w:rPr>
                <w:sz w:val="1"/>
                <w:szCs w:val="1"/>
                <w:color w:val="auto"/>
              </w:rPr>
            </w:pPr>
          </w:p>
        </w:tc>
      </w:tr>
      <w:tr>
        <w:trPr>
          <w:trHeight w:val="221"/>
        </w:trPr>
        <w:tc>
          <w:tcPr>
            <w:tcW w:w="4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FF0FC"/>
          </w:tcPr>
          <w:p>
            <w:pPr>
              <w:spacing w:after="0"/>
              <w:rPr>
                <w:sz w:val="19"/>
                <w:szCs w:val="19"/>
                <w:color w:val="auto"/>
              </w:rPr>
            </w:pPr>
          </w:p>
        </w:tc>
        <w:tc>
          <w:tcPr>
            <w:tcW w:w="180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loss and comprehensive loss attributable to</w:t>
            </w:r>
          </w:p>
        </w:tc>
        <w:tc>
          <w:tcPr>
            <w:tcW w:w="160" w:type="dxa"/>
            <w:vAlign w:val="bottom"/>
          </w:tcPr>
          <w:p>
            <w:pPr>
              <w:spacing w:after="0"/>
              <w:rPr>
                <w:sz w:val="14"/>
                <w:szCs w:val="14"/>
                <w:color w:val="auto"/>
              </w:rPr>
            </w:pPr>
          </w:p>
        </w:tc>
        <w:tc>
          <w:tcPr>
            <w:tcW w:w="18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(22,017 )</w:t>
            </w:r>
          </w:p>
        </w:tc>
        <w:tc>
          <w:tcPr>
            <w:tcW w:w="280" w:type="dxa"/>
            <w:vAlign w:val="bottom"/>
          </w:tcPr>
          <w:p>
            <w:pPr>
              <w:spacing w:after="0"/>
              <w:rPr>
                <w:sz w:val="14"/>
                <w:szCs w:val="14"/>
                <w:color w:val="auto"/>
              </w:rPr>
            </w:pPr>
          </w:p>
        </w:tc>
        <w:tc>
          <w:tcPr>
            <w:tcW w:w="12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72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(22,017 )</w:t>
            </w:r>
          </w:p>
        </w:tc>
        <w:tc>
          <w:tcPr>
            <w:tcW w:w="300" w:type="dxa"/>
            <w:vAlign w:val="bottom"/>
          </w:tcPr>
          <w:p>
            <w:pPr>
              <w:spacing w:after="0"/>
              <w:rPr>
                <w:sz w:val="14"/>
                <w:szCs w:val="14"/>
                <w:color w:val="auto"/>
              </w:rPr>
            </w:pPr>
          </w:p>
        </w:tc>
        <w:tc>
          <w:tcPr>
            <w:tcW w:w="11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440" w:type="dxa"/>
            <w:vAlign w:val="bottom"/>
            <w:shd w:val="clear" w:color="auto" w:fill="CFF0FC"/>
          </w:tcPr>
          <w:p>
            <w:pPr>
              <w:ind w:left="120"/>
              <w:spacing w:after="0" w:line="164" w:lineRule="exact"/>
              <w:rPr>
                <w:sz w:val="20"/>
                <w:szCs w:val="20"/>
                <w:color w:val="auto"/>
              </w:rPr>
            </w:pPr>
            <w:r>
              <w:rPr>
                <w:rFonts w:ascii="Times New Roman" w:cs="Times New Roman" w:eastAsia="Times New Roman" w:hAnsi="Times New Roman"/>
                <w:sz w:val="18"/>
                <w:szCs w:val="18"/>
                <w:color w:val="auto"/>
              </w:rPr>
              <w:t>Net loss and comprehensive loss available to Class</w:t>
            </w:r>
          </w:p>
        </w:tc>
        <w:tc>
          <w:tcPr>
            <w:tcW w:w="16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vMerge w:val="restart"/>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(11,928 )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(17,142 )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(101,545 )</w:t>
            </w: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(41,476 )</w:t>
            </w:r>
          </w:p>
        </w:tc>
        <w:tc>
          <w:tcPr>
            <w:tcW w:w="0" w:type="dxa"/>
            <w:vAlign w:val="bottom"/>
          </w:tcPr>
          <w:p>
            <w:pPr>
              <w:spacing w:after="0"/>
              <w:rPr>
                <w:sz w:val="1"/>
                <w:szCs w:val="1"/>
                <w:color w:val="auto"/>
              </w:rPr>
            </w:pPr>
          </w:p>
        </w:tc>
      </w:tr>
      <w:tr>
        <w:trPr>
          <w:trHeight w:val="234"/>
        </w:trPr>
        <w:tc>
          <w:tcPr>
            <w:tcW w:w="444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ordinary shareholders</w:t>
            </w:r>
          </w:p>
        </w:tc>
        <w:tc>
          <w:tcPr>
            <w:tcW w:w="160" w:type="dxa"/>
            <w:vAlign w:val="bottom"/>
            <w:vMerge w:val="continue"/>
            <w:shd w:val="clear" w:color="auto" w:fill="CFF0FC"/>
          </w:tcPr>
          <w:p>
            <w:pPr>
              <w:spacing w:after="0"/>
              <w:rPr>
                <w:sz w:val="20"/>
                <w:szCs w:val="20"/>
                <w:color w:val="auto"/>
              </w:rPr>
            </w:pPr>
          </w:p>
        </w:tc>
        <w:tc>
          <w:tcPr>
            <w:tcW w:w="1800" w:type="dxa"/>
            <w:vAlign w:val="bottom"/>
            <w:gridSpan w:val="2"/>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720" w:type="dxa"/>
            <w:vAlign w:val="bottom"/>
            <w:gridSpan w:val="2"/>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w:t>
            </w: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outstanding: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Net loss per share attributable to Class A ordinary</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(0.13 )</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(0.13 )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-2965450</wp:posOffset>
            </wp:positionV>
            <wp:extent cx="7747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-2965450</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-2965450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-1593850</wp:posOffset>
            </wp:positionV>
            <wp:extent cx="77470"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26606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-1593850</wp:posOffset>
            </wp:positionV>
            <wp:extent cx="68580"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-1593850</wp:posOffset>
            </wp:positionV>
            <wp:extent cx="6858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-976630</wp:posOffset>
            </wp:positionV>
            <wp:extent cx="3488690" cy="419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8690" cy="41973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8"/>
        <w:spacing w:after="0" w:line="244"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and nine months ended September 30, 2022, net loss per Class A ordinary share and weighted average Class A ordinary shares outstanding is representative of the period from July 11, 2022 through September 30, 2022, the period following the Business Combination, as defined in Note 1. For more information refer to Note 8.</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 w:name="page6"/>
    <w:bookmarkEnd w:id="5"/>
    <w:p>
      <w:pPr>
        <w:ind w:left="49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Noncontrolling Interest and Shareholders’ Deficit / Members’ Equity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2022</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w:t>
            </w:r>
          </w:p>
        </w:tc>
        <w:tc>
          <w:tcPr>
            <w:tcW w:w="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Additi</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20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Redeemabl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b w:val="1"/>
                <w:bCs w:val="1"/>
                <w:color w:val="auto"/>
              </w:rPr>
              <w:t>Sharehold</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20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6"/>
              </w:rPr>
              <w:t>onal</w:t>
            </w:r>
          </w:p>
        </w:tc>
        <w:tc>
          <w:tcPr>
            <w:tcW w:w="160" w:type="dxa"/>
            <w:vAlign w:val="bottom"/>
          </w:tcPr>
          <w:p>
            <w:pPr>
              <w:spacing w:after="0"/>
              <w:rPr>
                <w:sz w:val="16"/>
                <w:szCs w:val="16"/>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00" w:type="dxa"/>
            <w:vAlign w:val="bottom"/>
          </w:tcPr>
          <w:p>
            <w:pPr>
              <w:spacing w:after="0"/>
              <w:rPr>
                <w:sz w:val="16"/>
                <w:szCs w:val="16"/>
                <w:color w:val="auto"/>
              </w:rPr>
            </w:pPr>
          </w:p>
        </w:tc>
        <w:tc>
          <w:tcPr>
            <w:tcW w:w="88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ers'</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700"/>
              <w:spacing w:after="0" w:line="189" w:lineRule="exact"/>
              <w:rPr>
                <w:sz w:val="20"/>
                <w:szCs w:val="20"/>
                <w:color w:val="auto"/>
              </w:rPr>
            </w:pPr>
            <w:r>
              <w:rPr>
                <w:rFonts w:ascii="Times New Roman" w:cs="Times New Roman" w:eastAsia="Times New Roman" w:hAnsi="Times New Roman"/>
                <w:sz w:val="18"/>
                <w:szCs w:val="18"/>
                <w:b w:val="1"/>
                <w:bCs w:val="1"/>
                <w:color w:val="auto"/>
              </w:rPr>
              <w:t>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w:t>
            </w:r>
          </w:p>
        </w:tc>
        <w:tc>
          <w:tcPr>
            <w:tcW w:w="140" w:type="dxa"/>
            <w:vAlign w:val="bottom"/>
          </w:tcPr>
          <w:p>
            <w:pPr>
              <w:spacing w:after="0"/>
              <w:rPr>
                <w:sz w:val="16"/>
                <w:szCs w:val="16"/>
                <w:color w:val="auto"/>
              </w:rPr>
            </w:pPr>
          </w:p>
        </w:tc>
        <w:tc>
          <w:tcPr>
            <w:tcW w:w="5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rPr>
              <w:t>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w:t>
            </w:r>
          </w:p>
        </w:tc>
        <w:tc>
          <w:tcPr>
            <w:tcW w:w="160" w:type="dxa"/>
            <w:vAlign w:val="bottom"/>
          </w:tcPr>
          <w:p>
            <w:pPr>
              <w:spacing w:after="0"/>
              <w:rPr>
                <w:sz w:val="16"/>
                <w:szCs w:val="16"/>
                <w:color w:val="auto"/>
              </w:rPr>
            </w:pPr>
          </w:p>
        </w:tc>
        <w:tc>
          <w:tcPr>
            <w:tcW w:w="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rPr>
              <w:t>Deficit /</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20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Noncontroll</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780" w:type="dxa"/>
            <w:vAlign w:val="bottom"/>
            <w:gridSpan w:val="3"/>
            <w:vMerge w:val="continue"/>
          </w:tcPr>
          <w:p>
            <w:pPr>
              <w:spacing w:after="0"/>
              <w:rPr>
                <w:sz w:val="16"/>
                <w:szCs w:val="16"/>
                <w:color w:val="auto"/>
              </w:rPr>
            </w:pPr>
          </w:p>
        </w:tc>
        <w:tc>
          <w:tcPr>
            <w:tcW w:w="64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Intere</w:t>
            </w:r>
          </w:p>
        </w:tc>
        <w:tc>
          <w:tcPr>
            <w:tcW w:w="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Capita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8"/>
                <w:szCs w:val="18"/>
                <w:b w:val="1"/>
                <w:bCs w:val="1"/>
                <w:color w:val="auto"/>
              </w:rPr>
              <w:t>ted</w:t>
            </w:r>
          </w:p>
        </w:tc>
        <w:tc>
          <w:tcPr>
            <w:tcW w:w="98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Members'</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p>
        </w:tc>
        <w:tc>
          <w:tcPr>
            <w:tcW w:w="12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ing Interest</w:t>
            </w: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t</w:t>
            </w:r>
          </w:p>
        </w:tc>
        <w:tc>
          <w:tcPr>
            <w:tcW w:w="140" w:type="dxa"/>
            <w:vAlign w:val="bottom"/>
          </w:tcPr>
          <w:p>
            <w:pPr>
              <w:spacing w:after="0"/>
              <w:rPr>
                <w:sz w:val="20"/>
                <w:szCs w:val="20"/>
                <w:color w:val="auto"/>
              </w:rPr>
            </w:pP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sts</w:t>
            </w:r>
          </w:p>
        </w:tc>
        <w:tc>
          <w:tcPr>
            <w:tcW w:w="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unt</w:t>
            </w: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64"/>
        </w:trPr>
        <w:tc>
          <w:tcPr>
            <w:tcW w:w="18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as of June 30,</w:t>
            </w: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186,500,</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186,5</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(251,127 )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Equity-based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compensation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payments prior to</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Net loss prior to the</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shd w:val="clear" w:color="auto" w:fill="CFF0FC"/>
          </w:tcPr>
          <w:p>
            <w:pPr>
              <w:spacing w:after="0"/>
              <w:rPr>
                <w:sz w:val="20"/>
                <w:szCs w:val="20"/>
                <w:color w:val="auto"/>
              </w:rPr>
            </w:pPr>
          </w:p>
        </w:tc>
        <w:tc>
          <w:tcPr>
            <w:tcW w:w="10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(4,015 )</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(4,015 )</w:t>
            </w:r>
          </w:p>
        </w:tc>
        <w:tc>
          <w:tcPr>
            <w:tcW w:w="0" w:type="dxa"/>
            <w:vAlign w:val="bottom"/>
          </w:tcPr>
          <w:p>
            <w:pPr>
              <w:spacing w:after="0"/>
              <w:rPr>
                <w:sz w:val="1"/>
                <w:szCs w:val="1"/>
                <w:color w:val="auto"/>
              </w:rPr>
            </w:pPr>
          </w:p>
        </w:tc>
      </w:tr>
      <w:tr>
        <w:trPr>
          <w:trHeight w:val="171"/>
        </w:trPr>
        <w:tc>
          <w:tcPr>
            <w:tcW w:w="18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Effect of Business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(186,500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4"/>
                <w:szCs w:val="14"/>
                <w:color w:val="auto"/>
              </w:rPr>
            </w:pPr>
          </w:p>
        </w:tc>
        <w:tc>
          <w:tcPr>
            <w:tcW w:w="7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61,540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170,72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(1,092,69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1,635,829</w:t>
            </w: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500 )</w:t>
            </w:r>
          </w:p>
        </w:tc>
        <w:tc>
          <w:tcPr>
            <w:tcW w:w="1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(834,574 )</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Equity-based</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compensation after</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the Business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Vesting of Class B</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486,09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w:t>
            </w:r>
          </w:p>
        </w:tc>
        <w:tc>
          <w:tcPr>
            <w:tcW w:w="16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Impact of equity</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transactions on</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redeemable</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noncontrolling</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171"/>
        </w:trPr>
        <w:tc>
          <w:tcPr>
            <w:tcW w:w="18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Net loss after the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60" w:type="dxa"/>
            <w:vAlign w:val="bottom"/>
          </w:tcPr>
          <w:p>
            <w:pPr>
              <w:spacing w:after="0"/>
              <w:rPr>
                <w:sz w:val="16"/>
                <w:szCs w:val="16"/>
                <w:color w:val="auto"/>
              </w:rPr>
            </w:pPr>
          </w:p>
        </w:tc>
        <w:tc>
          <w:tcPr>
            <w:tcW w:w="104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(22,017 )</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(7,913 )</w:t>
            </w:r>
          </w:p>
        </w:tc>
        <w:tc>
          <w:tcPr>
            <w:tcW w:w="100" w:type="dxa"/>
            <w:vAlign w:val="bottom"/>
          </w:tcPr>
          <w:p>
            <w:pPr>
              <w:spacing w:after="0"/>
              <w:rPr>
                <w:sz w:val="16"/>
                <w:szCs w:val="16"/>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(7,913 )</w:t>
            </w:r>
          </w:p>
        </w:tc>
        <w:tc>
          <w:tcPr>
            <w:tcW w:w="0" w:type="dxa"/>
            <w:vAlign w:val="bottom"/>
          </w:tcPr>
          <w:p>
            <w:pPr>
              <w:spacing w:after="0"/>
              <w:rPr>
                <w:sz w:val="1"/>
                <w:szCs w:val="1"/>
                <w:color w:val="auto"/>
              </w:rPr>
            </w:pPr>
          </w:p>
        </w:tc>
      </w:tr>
      <w:tr>
        <w:trPr>
          <w:trHeight w:val="221"/>
        </w:trPr>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tcPr>
          <w:p>
            <w:pPr>
              <w:spacing w:after="0"/>
              <w:rPr>
                <w:sz w:val="19"/>
                <w:szCs w:val="19"/>
                <w:color w:val="auto"/>
              </w:rPr>
            </w:pPr>
          </w:p>
        </w:tc>
        <w:tc>
          <w:tcPr>
            <w:tcW w:w="104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as of</w:t>
            </w: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61,540</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171,21</w:t>
            </w: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(1,097,8</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(1,096,32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1,616,896</w:t>
            </w:r>
          </w:p>
        </w:tc>
        <w:tc>
          <w:tcPr>
            <w:tcW w:w="2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570"/>
              <w:spacing w:after="0"/>
              <w:rPr>
                <w:sz w:val="20"/>
                <w:szCs w:val="20"/>
                <w:color w:val="auto"/>
              </w:rPr>
            </w:pPr>
            <w:r>
              <w:rPr>
                <w:rFonts w:ascii="Times New Roman" w:cs="Times New Roman" w:eastAsia="Times New Roman" w:hAnsi="Times New Roman"/>
                <w:sz w:val="17"/>
                <w:szCs w:val="17"/>
                <w:color w:val="auto"/>
                <w:w w:val="70"/>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-385445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-368300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-385445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-368300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-385445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-368300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-385445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-368300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-385445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-368300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-385445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-368300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-385445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-368300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-385445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-368300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-385445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-368300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-385445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-368300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2021</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 contribution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Equity-based payments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as of September 30, 2021</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tcBorders>
              <w:top w:val="single" w:sz="8" w:color="auto"/>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20"/>
              <w:spacing w:after="0" w:line="160"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4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19"/>
                <w:szCs w:val="19"/>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Members'</w:t>
            </w:r>
          </w:p>
        </w:tc>
        <w:tc>
          <w:tcPr>
            <w:tcW w:w="0" w:type="dxa"/>
            <w:vAlign w:val="bottom"/>
          </w:tcPr>
          <w:p>
            <w:pPr>
              <w:spacing w:after="0"/>
              <w:rPr>
                <w:sz w:val="1"/>
                <w:szCs w:val="1"/>
                <w:color w:val="auto"/>
              </w:rPr>
            </w:pPr>
          </w:p>
        </w:tc>
      </w:tr>
      <w:tr>
        <w:trPr>
          <w:trHeight w:val="160"/>
        </w:trPr>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9"/>
              </w:rPr>
              <w:t>Profits</w:t>
            </w:r>
          </w:p>
        </w:tc>
        <w:tc>
          <w:tcPr>
            <w:tcW w:w="2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1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0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145,000,00</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(130,698 )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(17,142 )</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(17,142 )</w:t>
            </w:r>
          </w:p>
        </w:tc>
        <w:tc>
          <w:tcPr>
            <w:tcW w:w="0" w:type="dxa"/>
            <w:vAlign w:val="bottom"/>
          </w:tcPr>
          <w:p>
            <w:pPr>
              <w:spacing w:after="0"/>
              <w:rPr>
                <w:sz w:val="1"/>
                <w:szCs w:val="1"/>
                <w:color w:val="auto"/>
              </w:rPr>
            </w:pPr>
          </w:p>
        </w:tc>
      </w:tr>
      <w:tr>
        <w:trPr>
          <w:trHeight w:val="164"/>
        </w:trPr>
        <w:tc>
          <w:tcPr>
            <w:tcW w:w="10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156,500,00</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(147,840 )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-959485</wp:posOffset>
            </wp:positionV>
            <wp:extent cx="713232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-565150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-281940</wp:posOffset>
            </wp:positionV>
            <wp:extent cx="7132320"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80" w:space="720"/>
            <w:col w:w="5980"/>
          </w:cols>
          <w:pgMar w:left="340" w:top="320" w:right="37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type w:val="continuous"/>
        </w:sectPr>
      </w:pPr>
    </w:p>
    <w:bookmarkStart w:id="7" w:name="page8"/>
    <w:bookmarkEnd w:id="7"/>
    <w:p>
      <w:pPr>
        <w:ind w:left="49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Noncontrolling Interest and Shareholders’ Deficit / Members’ Equity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2022</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80" w:type="dxa"/>
            <w:vAlign w:val="bottom"/>
          </w:tcPr>
          <w:p>
            <w:pPr>
              <w:spacing w:after="0"/>
              <w:rPr>
                <w:sz w:val="24"/>
                <w:szCs w:val="2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 Units</w:t>
            </w:r>
          </w:p>
        </w:tc>
        <w:tc>
          <w:tcPr>
            <w:tcW w:w="120" w:type="dxa"/>
            <w:vAlign w:val="bottom"/>
          </w:tcPr>
          <w:p>
            <w:pPr>
              <w:spacing w:after="0"/>
              <w:rPr>
                <w:sz w:val="16"/>
                <w:szCs w:val="16"/>
                <w:color w:val="auto"/>
              </w:rPr>
            </w:pPr>
          </w:p>
        </w:tc>
        <w:tc>
          <w:tcPr>
            <w:tcW w:w="5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gridSpan w:val="5"/>
            <w:vMerge w:val="continue"/>
          </w:tcPr>
          <w:p>
            <w:pPr>
              <w:spacing w:after="0"/>
              <w:rPr>
                <w:sz w:val="20"/>
                <w:szCs w:val="20"/>
                <w:color w:val="auto"/>
              </w:rPr>
            </w:pP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Additi</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14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Redeemabl</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b w:val="1"/>
                <w:bCs w:val="1"/>
                <w:color w:val="auto"/>
              </w:rPr>
              <w:t>Sharehold</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140" w:type="dxa"/>
            <w:vAlign w:val="bottom"/>
            <w:tcBorders>
              <w:right w:val="single" w:sz="8" w:color="auto"/>
            </w:tcBorders>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6"/>
              </w:rPr>
              <w:t>onal</w:t>
            </w:r>
          </w:p>
        </w:tc>
        <w:tc>
          <w:tcPr>
            <w:tcW w:w="160" w:type="dxa"/>
            <w:vAlign w:val="bottom"/>
          </w:tcPr>
          <w:p>
            <w:pPr>
              <w:spacing w:after="0"/>
              <w:rPr>
                <w:sz w:val="16"/>
                <w:szCs w:val="16"/>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980" w:type="dxa"/>
            <w:vAlign w:val="bottom"/>
            <w:gridSpan w:val="3"/>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rPr>
              <w:t>er's Deficit</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660"/>
              <w:spacing w:after="0" w:line="189" w:lineRule="exact"/>
              <w:rPr>
                <w:sz w:val="20"/>
                <w:szCs w:val="20"/>
                <w:color w:val="auto"/>
              </w:rPr>
            </w:pPr>
            <w:r>
              <w:rPr>
                <w:rFonts w:ascii="Times New Roman" w:cs="Times New Roman" w:eastAsia="Times New Roman" w:hAnsi="Times New Roman"/>
                <w:sz w:val="18"/>
                <w:szCs w:val="18"/>
                <w:b w:val="1"/>
                <w:bCs w:val="1"/>
                <w:color w:val="auto"/>
              </w:rPr>
              <w:t>e</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w:t>
            </w:r>
          </w:p>
        </w:tc>
        <w:tc>
          <w:tcPr>
            <w:tcW w:w="120" w:type="dxa"/>
            <w:vAlign w:val="bottom"/>
          </w:tcPr>
          <w:p>
            <w:pPr>
              <w:spacing w:after="0"/>
              <w:rPr>
                <w:sz w:val="16"/>
                <w:szCs w:val="16"/>
                <w:color w:val="auto"/>
              </w:rPr>
            </w:pPr>
          </w:p>
        </w:tc>
        <w:tc>
          <w:tcPr>
            <w:tcW w:w="5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w:t>
            </w:r>
          </w:p>
        </w:tc>
        <w:tc>
          <w:tcPr>
            <w:tcW w:w="160" w:type="dxa"/>
            <w:vAlign w:val="bottom"/>
          </w:tcPr>
          <w:p>
            <w:pPr>
              <w:spacing w:after="0"/>
              <w:rPr>
                <w:sz w:val="16"/>
                <w:szCs w:val="16"/>
                <w:color w:val="auto"/>
              </w:rPr>
            </w:pPr>
          </w:p>
        </w:tc>
        <w:tc>
          <w:tcPr>
            <w:tcW w:w="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14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Noncontroll</w:t>
            </w:r>
          </w:p>
        </w:tc>
        <w:tc>
          <w:tcPr>
            <w:tcW w:w="40" w:type="dxa"/>
            <w:vAlign w:val="bottom"/>
          </w:tcPr>
          <w:p>
            <w:pPr>
              <w:spacing w:after="0"/>
              <w:rPr>
                <w:sz w:val="16"/>
                <w:szCs w:val="16"/>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780" w:type="dxa"/>
            <w:vAlign w:val="bottom"/>
            <w:gridSpan w:val="3"/>
            <w:vMerge w:val="continue"/>
          </w:tcPr>
          <w:p>
            <w:pPr>
              <w:spacing w:after="0"/>
              <w:rPr>
                <w:sz w:val="16"/>
                <w:szCs w:val="16"/>
                <w:color w:val="auto"/>
              </w:rPr>
            </w:pPr>
          </w:p>
        </w:tc>
        <w:tc>
          <w:tcPr>
            <w:tcW w:w="64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Intere</w:t>
            </w:r>
          </w:p>
        </w:tc>
        <w:tc>
          <w:tcPr>
            <w:tcW w:w="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Capita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8"/>
                <w:szCs w:val="18"/>
                <w:b w:val="1"/>
                <w:bCs w:val="1"/>
                <w:color w:val="auto"/>
              </w:rPr>
              <w:t>ted</w:t>
            </w:r>
          </w:p>
        </w:tc>
        <w:tc>
          <w:tcPr>
            <w:tcW w:w="98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Members'</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1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ing Interest</w:t>
            </w:r>
          </w:p>
        </w:tc>
        <w:tc>
          <w:tcPr>
            <w:tcW w:w="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w:t>
            </w:r>
          </w:p>
        </w:tc>
        <w:tc>
          <w:tcPr>
            <w:tcW w:w="120" w:type="dxa"/>
            <w:vAlign w:val="bottom"/>
          </w:tcPr>
          <w:p>
            <w:pPr>
              <w:spacing w:after="0"/>
              <w:rPr>
                <w:sz w:val="20"/>
                <w:szCs w:val="20"/>
                <w:color w:val="auto"/>
              </w:rPr>
            </w:pPr>
          </w:p>
        </w:tc>
        <w:tc>
          <w:tcPr>
            <w:tcW w:w="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sts</w:t>
            </w:r>
          </w:p>
        </w:tc>
        <w:tc>
          <w:tcPr>
            <w:tcW w:w="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unt</w:t>
            </w: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64"/>
        </w:trPr>
        <w:tc>
          <w:tcPr>
            <w:tcW w:w="192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as of December</w:t>
            </w: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186,500,</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186,5</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31, 2021</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(161,510 )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Capital contribution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Equity-based</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compensation /</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payments prior to</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Net loss prior to the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(93,632 )</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(93,632 )</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Effect of the Business</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including net</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proceeds of shares</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sold</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through the PIPE</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(186,500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61,540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170,72</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(1,092,69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1,635,829</w:t>
            </w:r>
          </w:p>
        </w:tc>
        <w:tc>
          <w:tcPr>
            <w:tcW w:w="200" w:type="dxa"/>
            <w:vAlign w:val="bottom"/>
            <w:tcBorders>
              <w:right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(834,574 )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71"/>
        </w:trPr>
        <w:tc>
          <w:tcPr>
            <w:tcW w:w="19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Equity-based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compensation after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the Business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Vesting of Class B</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486,09</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rights</w:t>
            </w: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Impact of equity</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transactions on</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redeemable</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noncontrolling</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(176 )</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Net loss after the</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60" w:type="dxa"/>
            <w:vAlign w:val="bottom"/>
            <w:shd w:val="clear" w:color="auto" w:fill="CFF0FC"/>
          </w:tcPr>
          <w:p>
            <w:pPr>
              <w:spacing w:after="0"/>
              <w:rPr>
                <w:sz w:val="16"/>
                <w:szCs w:val="16"/>
                <w:color w:val="auto"/>
              </w:rPr>
            </w:pPr>
          </w:p>
        </w:tc>
        <w:tc>
          <w:tcPr>
            <w:tcW w:w="98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(22,017 )</w:t>
            </w:r>
          </w:p>
        </w:tc>
        <w:tc>
          <w:tcPr>
            <w:tcW w:w="40" w:type="dxa"/>
            <w:vAlign w:val="bottom"/>
            <w:shd w:val="clear" w:color="auto" w:fill="CFF0FC"/>
          </w:tcPr>
          <w:p>
            <w:pPr>
              <w:spacing w:after="0"/>
              <w:rPr>
                <w:sz w:val="16"/>
                <w:szCs w:val="16"/>
                <w:color w:val="auto"/>
              </w:rPr>
            </w:pPr>
          </w:p>
        </w:tc>
        <w:tc>
          <w:tcPr>
            <w:tcW w:w="10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6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(7,913 )</w:t>
            </w:r>
          </w:p>
        </w:tc>
        <w:tc>
          <w:tcPr>
            <w:tcW w:w="14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(7,913 )</w:t>
            </w:r>
          </w:p>
        </w:tc>
        <w:tc>
          <w:tcPr>
            <w:tcW w:w="0" w:type="dxa"/>
            <w:vAlign w:val="bottom"/>
          </w:tcPr>
          <w:p>
            <w:pPr>
              <w:spacing w:after="0"/>
              <w:rPr>
                <w:sz w:val="1"/>
                <w:szCs w:val="1"/>
                <w:color w:val="auto"/>
              </w:rPr>
            </w:pPr>
          </w:p>
        </w:tc>
      </w:tr>
      <w:tr>
        <w:trPr>
          <w:trHeight w:val="221"/>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vMerge w:val="continue"/>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20" w:type="dxa"/>
            <w:vAlign w:val="bottom"/>
            <w:tcBorders>
              <w:top w:val="single" w:sz="8" w:color="CFF0FC"/>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as of</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CFF0FC"/>
              <w:right w:val="single" w:sz="8" w:color="auto"/>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61,540</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171,21</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(1,097,8</w:t>
            </w: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(1,096,32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1,616,896</w:t>
            </w: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-650875</wp:posOffset>
            </wp:positionV>
            <wp:extent cx="76835"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-650875</wp:posOffset>
            </wp:positionV>
            <wp:extent cx="76835"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-650875</wp:posOffset>
            </wp:positionV>
            <wp:extent cx="76835"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-650875</wp:posOffset>
            </wp:positionV>
            <wp:extent cx="7747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-650875</wp:posOffset>
            </wp:positionV>
            <wp:extent cx="76835"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-650875</wp:posOffset>
            </wp:positionV>
            <wp:extent cx="6858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-650875</wp:posOffset>
            </wp:positionV>
            <wp:extent cx="6858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-650875</wp:posOffset>
            </wp:positionV>
            <wp:extent cx="6858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-650875</wp:posOffset>
            </wp:positionV>
            <wp:extent cx="6858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-650875</wp:posOffset>
            </wp:positionV>
            <wp:extent cx="68580" cy="291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 contribution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Equity-based payments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as of September 30, 2021</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tcBorders>
              <w:top w:val="single" w:sz="8" w:color="auto"/>
            </w:tcBorders>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20"/>
              <w:spacing w:after="0" w:line="160"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4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19"/>
                <w:szCs w:val="19"/>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Members'</w:t>
            </w:r>
          </w:p>
        </w:tc>
        <w:tc>
          <w:tcPr>
            <w:tcW w:w="0" w:type="dxa"/>
            <w:vAlign w:val="bottom"/>
          </w:tcPr>
          <w:p>
            <w:pPr>
              <w:spacing w:after="0"/>
              <w:rPr>
                <w:sz w:val="1"/>
                <w:szCs w:val="1"/>
                <w:color w:val="auto"/>
              </w:rPr>
            </w:pPr>
          </w:p>
        </w:tc>
      </w:tr>
      <w:tr>
        <w:trPr>
          <w:trHeight w:val="160"/>
        </w:trPr>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9"/>
              </w:rPr>
              <w:t>Profits</w:t>
            </w:r>
          </w:p>
        </w:tc>
        <w:tc>
          <w:tcPr>
            <w:tcW w:w="2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1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0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115,000,00</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(106,364 )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(41,476 )</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(41,476 )</w:t>
            </w:r>
          </w:p>
        </w:tc>
        <w:tc>
          <w:tcPr>
            <w:tcW w:w="0" w:type="dxa"/>
            <w:vAlign w:val="bottom"/>
          </w:tcPr>
          <w:p>
            <w:pPr>
              <w:spacing w:after="0"/>
              <w:rPr>
                <w:sz w:val="1"/>
                <w:szCs w:val="1"/>
                <w:color w:val="auto"/>
              </w:rPr>
            </w:pPr>
          </w:p>
        </w:tc>
      </w:tr>
      <w:tr>
        <w:trPr>
          <w:trHeight w:val="164"/>
        </w:trPr>
        <w:tc>
          <w:tcPr>
            <w:tcW w:w="10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156,500,00</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(147,840 )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-959485</wp:posOffset>
            </wp:positionV>
            <wp:extent cx="7132320"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-565150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-281940</wp:posOffset>
            </wp:positionV>
            <wp:extent cx="7132320" cy="282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80" w:space="720"/>
            <w:col w:w="5980"/>
          </w:cols>
          <w:pgMar w:left="340" w:top="320" w:right="37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type w:val="continuous"/>
        </w:sectPr>
      </w:pPr>
    </w:p>
    <w:bookmarkStart w:id="9" w:name="page10"/>
    <w:bookmarkEnd w:id="9"/>
    <w:p>
      <w:pPr>
        <w:ind w:left="49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(123,562 )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(41,476 )</w:t>
            </w: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operating activities:</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65,529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240" w:type="dxa"/>
            <w:vAlign w:val="bottom"/>
          </w:tcPr>
          <w:p>
            <w:pPr>
              <w:spacing w:after="0"/>
              <w:rPr>
                <w:sz w:val="18"/>
                <w:szCs w:val="18"/>
                <w:color w:val="auto"/>
              </w:rPr>
            </w:pPr>
          </w:p>
        </w:tc>
        <w:tc>
          <w:tcPr>
            <w:tcW w:w="1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(5,810 )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(39 )</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from SCS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24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(1,540 )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(4,652 )</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71"/>
        </w:trPr>
        <w:tc>
          <w:tcPr>
            <w:tcW w:w="77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Proceeds from Business Combination, including PIPE financing, net of associated costs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$37,856</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542,503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under related party notes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related party notes payable</w:t>
            </w:r>
          </w:p>
        </w:tc>
        <w:tc>
          <w:tcPr>
            <w:tcW w:w="24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(35,000 )</w:t>
            </w:r>
          </w:p>
        </w:tc>
        <w:tc>
          <w:tcPr>
            <w:tcW w:w="36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contribution</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485,769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506,327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 interest</w:t>
            </w:r>
          </w:p>
        </w:tc>
        <w:tc>
          <w:tcPr>
            <w:tcW w:w="2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3,084</w:t>
            </w:r>
          </w:p>
        </w:tc>
        <w:tc>
          <w:tcPr>
            <w:tcW w:w="28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20" w:type="dxa"/>
            <w:vAlign w:val="bottom"/>
            <w:shd w:val="clear" w:color="auto" w:fill="CFF0FC"/>
          </w:tcPr>
          <w:p>
            <w:pPr>
              <w:ind w:left="200"/>
              <w:spacing w:after="0" w:line="151" w:lineRule="exact"/>
              <w:rPr>
                <w:sz w:val="20"/>
                <w:szCs w:val="20"/>
                <w:color w:val="auto"/>
              </w:rPr>
            </w:pPr>
            <w:r>
              <w:rPr>
                <w:rFonts w:ascii="Times New Roman" w:cs="Times New Roman" w:eastAsia="Times New Roman" w:hAnsi="Times New Roman"/>
                <w:sz w:val="17"/>
                <w:szCs w:val="17"/>
                <w:color w:val="auto"/>
              </w:rPr>
              <w:t>Equipment and facility expansion included in accounts payable and</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FF0FC"/>
          </w:tcPr>
          <w:p>
            <w:pPr>
              <w:spacing w:after="0"/>
              <w:rPr>
                <w:sz w:val="13"/>
                <w:szCs w:val="13"/>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340"/>
              <w:spacing w:after="0" w:line="194" w:lineRule="exact"/>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-1585595</wp:posOffset>
            </wp:positionV>
            <wp:extent cx="68580" cy="282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-882015</wp:posOffset>
            </wp:positionV>
            <wp:extent cx="1243330"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43330" cy="3003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124333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433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08" w:lineRule="exact"/>
        <w:rPr>
          <w:sz w:val="20"/>
          <w:szCs w:val="20"/>
          <w:color w:val="auto"/>
        </w:rPr>
      </w:pPr>
    </w:p>
    <w:p>
      <w:pPr>
        <w:ind w:right="160" w:firstLine="524"/>
        <w:spacing w:after="0" w:line="258" w:lineRule="auto"/>
        <w:rPr>
          <w:sz w:val="20"/>
          <w:szCs w:val="20"/>
          <w:color w:val="auto"/>
        </w:rPr>
      </w:pPr>
      <w:r>
        <w:rPr>
          <w:rFonts w:ascii="Times New Roman" w:cs="Times New Roman" w:eastAsia="Times New Roman" w:hAnsi="Times New Roman"/>
          <w:sz w:val="18"/>
          <w:szCs w:val="18"/>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61" w:lineRule="exact"/>
        <w:rPr>
          <w:sz w:val="20"/>
          <w:szCs w:val="20"/>
          <w:color w:val="auto"/>
        </w:rPr>
      </w:pPr>
    </w:p>
    <w:p>
      <w:pPr>
        <w:ind w:right="200" w:firstLine="524"/>
        <w:spacing w:after="0" w:line="246"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would become a subsidiary of SCS and would be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spacing w:after="0" w:line="87" w:lineRule="exact"/>
        <w:rPr>
          <w:sz w:val="20"/>
          <w:szCs w:val="20"/>
          <w:color w:val="auto"/>
        </w:rPr>
      </w:pPr>
    </w:p>
    <w:p>
      <w:pPr>
        <w:ind w:right="40" w:firstLine="524"/>
        <w:spacing w:after="0" w:line="244" w:lineRule="auto"/>
        <w:rPr>
          <w:sz w:val="20"/>
          <w:szCs w:val="20"/>
          <w:color w:val="auto"/>
        </w:rPr>
      </w:pPr>
      <w:r>
        <w:rPr>
          <w:rFonts w:ascii="Times New Roman" w:cs="Times New Roman" w:eastAsia="Times New Roman" w:hAnsi="Times New Roman"/>
          <w:sz w:val="18"/>
          <w:szCs w:val="18"/>
          <w:color w:val="auto"/>
        </w:rPr>
        <w:t>The business combination between SCS and PKLP (the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87" w:lineRule="exact"/>
        <w:rPr>
          <w:sz w:val="20"/>
          <w:szCs w:val="20"/>
          <w:color w:val="auto"/>
        </w:rPr>
      </w:pPr>
    </w:p>
    <w:p>
      <w:pPr>
        <w:ind w:right="20" w:firstLine="524"/>
        <w:spacing w:after="0" w:line="250"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82" w:lineRule="exact"/>
        <w:rPr>
          <w:sz w:val="20"/>
          <w:szCs w:val="20"/>
          <w:color w:val="auto"/>
        </w:rPr>
      </w:pPr>
    </w:p>
    <w:p>
      <w:pPr>
        <w:ind w:right="200" w:firstLine="524"/>
        <w:spacing w:after="0" w:line="245" w:lineRule="auto"/>
        <w:rPr>
          <w:sz w:val="20"/>
          <w:szCs w:val="20"/>
          <w:color w:val="auto"/>
        </w:rPr>
      </w:pPr>
      <w:r>
        <w:rPr>
          <w:rFonts w:ascii="Times New Roman" w:cs="Times New Roman" w:eastAsia="Times New Roman" w:hAnsi="Times New Roman"/>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which has the potential to stabilize or improve renal function in patients with chronic kidney disease or delay or eliminate the need for dialysis and organ transplantation.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firstLine="524"/>
        <w:spacing w:after="0" w:line="243" w:lineRule="auto"/>
        <w:rPr>
          <w:sz w:val="20"/>
          <w:szCs w:val="20"/>
          <w:color w:val="auto"/>
        </w:rPr>
      </w:pPr>
      <w:r>
        <w:rPr>
          <w:rFonts w:ascii="Times New Roman" w:cs="Times New Roman" w:eastAsia="Times New Roman" w:hAnsi="Times New Roman"/>
          <w:sz w:val="18"/>
          <w:szCs w:val="18"/>
          <w:color w:val="auto"/>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September 30, 2022, various holders own non-voting interests in PKLP, representing a 73.6% economic interest in PKLP, effectively restricting ProKidney’s interest to 26.4%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5).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08" w:lineRule="exact"/>
        <w:rPr>
          <w:sz w:val="20"/>
          <w:szCs w:val="20"/>
          <w:color w:val="auto"/>
        </w:rPr>
      </w:pPr>
    </w:p>
    <w:p>
      <w:pPr>
        <w:ind w:right="40" w:firstLine="5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normal course of business. The Company performed an</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 w:name="page12"/>
    <w:bookmarkEnd w:id="11"/>
    <w:p>
      <w:pPr>
        <w:ind w:right="100"/>
        <w:spacing w:after="0" w:line="246" w:lineRule="auto"/>
        <w:rPr>
          <w:sz w:val="20"/>
          <w:szCs w:val="20"/>
          <w:color w:val="auto"/>
        </w:rPr>
      </w:pPr>
      <w:r>
        <w:rPr>
          <w:rFonts w:ascii="Times New Roman" w:cs="Times New Roman" w:eastAsia="Times New Roman" w:hAnsi="Times New Roman"/>
          <w:sz w:val="18"/>
          <w:szCs w:val="18"/>
          <w:color w:val="auto"/>
        </w:rPr>
        <w:t>analysis of its ability to continue as a going concern. As of September 30, 2022, the Company had an accumulated deficit of $1,097,805,000. The Company has generated losses from operations for each year since its inception. The Company intends to continue to conduct significant additional research, development, and clinical study activities which, together with expenses incurred for general and administrative purposes, are expected to result in continuing operating losses for the foreseeable future. The amount of future losses and when, if ever, the Company will achieve profitability are uncertain. The Company’s ability to achieve profitability will depend, among other things, on successfully completing clinical studies, obtaining requisite regulatory approvals, establishing appropriate pricing for its product with payers, and raising sufficient funds to finance the Company’s activities. No assurance can be given that the Company’s clinical development efforts will be successful, that regulatory approvals will be obtained, or that the Company will be able to achieve appropriate pricing and market access or that profitability, if achieved, can be sustained.</w:t>
      </w:r>
    </w:p>
    <w:p>
      <w:pPr>
        <w:spacing w:after="0" w:line="71" w:lineRule="exact"/>
        <w:rPr>
          <w:sz w:val="20"/>
          <w:szCs w:val="20"/>
          <w:color w:val="auto"/>
        </w:rPr>
      </w:pPr>
    </w:p>
    <w:p>
      <w:pPr>
        <w:ind w:right="180" w:firstLine="524"/>
        <w:spacing w:after="0" w:line="250" w:lineRule="auto"/>
        <w:rPr>
          <w:sz w:val="20"/>
          <w:szCs w:val="20"/>
          <w:color w:val="auto"/>
        </w:rPr>
      </w:pPr>
      <w:r>
        <w:rPr>
          <w:rFonts w:ascii="Times New Roman" w:cs="Times New Roman" w:eastAsia="Times New Roman" w:hAnsi="Times New Roman"/>
          <w:sz w:val="18"/>
          <w:szCs w:val="18"/>
          <w:color w:val="auto"/>
        </w:rPr>
        <w:t>The Closing provided additional liquidity to the Company totaling approximately $511,912,000. The Company’s primary source of liquidity is its cash and cash equivalents, which as of September 30, 2022, was $506,327,000. This liquidity is considered sufficient to satisfy the Company’s operating liabilities for a period greater than 12 months following the issuance date of these financial statements. As such, management considers that there is no longer substantial doubt about the Company’s ability to continue as a going concern.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121" w:lineRule="exact"/>
        <w:rPr>
          <w:sz w:val="20"/>
          <w:szCs w:val="20"/>
          <w:color w:val="auto"/>
        </w:rPr>
      </w:pPr>
    </w:p>
    <w:p>
      <w:pPr>
        <w:ind w:right="80" w:firstLine="524"/>
        <w:spacing w:after="0" w:line="245"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September 30, 2022, Condensed Consolidated Statements of Operations for the three and nine months ended September 30, 2022 and 2021, Condensed Consolidated Statement of Changes in Redeemable Noncontrolling Interest and Shareholders’ Deficit / Members’ Equity for the three and nine months ended September 30, 2022 and 2021 and Condensed Consolidated Statements of Cash Flows for the nine months ended September 30, 2022 and 2021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p>
    <w:p>
      <w:pPr>
        <w:spacing w:after="0" w:line="73" w:lineRule="exact"/>
        <w:rPr>
          <w:sz w:val="20"/>
          <w:szCs w:val="20"/>
          <w:color w:val="auto"/>
        </w:rPr>
      </w:pPr>
    </w:p>
    <w:p>
      <w:pPr>
        <w:ind w:firstLine="524"/>
        <w:spacing w:after="0" w:line="243"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2022, the results of operations for the three and nine months ended September 30, 2022 and 2021 and cash flows for the nine months ended September 30, 2022 and 2021. Certain prior year amounts have been reclassified to conform to the current year presentation. The December 31, 2021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2021, contained in the Company’s Registration Statement on Form S-1 filed with the SEC on August 9, 2022 and declared effective on September 8, 2022.</w:t>
      </w:r>
    </w:p>
    <w:p>
      <w:pPr>
        <w:spacing w:after="0" w:line="78" w:lineRule="exact"/>
        <w:rPr>
          <w:sz w:val="20"/>
          <w:szCs w:val="20"/>
          <w:color w:val="auto"/>
        </w:rPr>
      </w:pPr>
    </w:p>
    <w:p>
      <w:pPr>
        <w:jc w:val="both"/>
        <w:ind w:right="360" w:firstLine="524"/>
        <w:spacing w:after="0" w:line="258"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spacing w:after="0" w:line="61" w:lineRule="exact"/>
        <w:rPr>
          <w:sz w:val="20"/>
          <w:szCs w:val="20"/>
          <w:color w:val="auto"/>
        </w:rPr>
      </w:pPr>
    </w:p>
    <w:p>
      <w:pPr>
        <w:ind w:right="280" w:firstLine="5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Interim results are not necessarily indicative of results for an entire year.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24"/>
        <w:spacing w:after="0" w:line="242"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66"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220" w:firstLine="524"/>
        <w:spacing w:after="0" w:line="266" w:lineRule="auto"/>
        <w:rPr>
          <w:sz w:val="20"/>
          <w:szCs w:val="20"/>
          <w:color w:val="auto"/>
        </w:rPr>
      </w:pPr>
      <w:r>
        <w:rPr>
          <w:rFonts w:ascii="Times New Roman" w:cs="Times New Roman" w:eastAsia="Times New Roman" w:hAnsi="Times New Roman"/>
          <w:sz w:val="18"/>
          <w:szCs w:val="18"/>
          <w:color w:val="auto"/>
        </w:rPr>
        <w:t>Accrued expenses as presented in the Condensed Consolidated Balance Sheets as of September 30, 2022 and December 31, 2021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costs</w:t>
            </w:r>
          </w:p>
        </w:tc>
        <w:tc>
          <w:tcPr>
            <w:tcW w:w="7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7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r>
      <w:tr>
        <w:trPr>
          <w:trHeight w:val="250"/>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08" w:lineRule="exact"/>
        <w:rPr>
          <w:sz w:val="20"/>
          <w:szCs w:val="20"/>
          <w:color w:val="auto"/>
        </w:rPr>
      </w:pPr>
    </w:p>
    <w:p>
      <w:pPr>
        <w:ind w:right="480" w:firstLine="524"/>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1" w:lineRule="exact"/>
        <w:rPr>
          <w:sz w:val="20"/>
          <w:szCs w:val="20"/>
          <w:color w:val="auto"/>
        </w:rPr>
      </w:pPr>
    </w:p>
    <w:p>
      <w:pPr>
        <w:ind w:right="20" w:firstLine="524"/>
        <w:spacing w:after="0" w:line="24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3"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61"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08" w:lineRule="exact"/>
        <w:rPr>
          <w:sz w:val="20"/>
          <w:szCs w:val="20"/>
          <w:color w:val="auto"/>
        </w:rPr>
      </w:pPr>
    </w:p>
    <w:p>
      <w:pPr>
        <w:ind w:firstLine="524"/>
        <w:spacing w:after="0" w:line="250"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56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3-5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5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5-7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456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remainder of lease term</w:t>
            </w:r>
          </w:p>
        </w:tc>
        <w:tc>
          <w:tcPr>
            <w:tcW w:w="1680" w:type="dxa"/>
            <w:vAlign w:val="bottom"/>
          </w:tcPr>
          <w:p>
            <w:pPr>
              <w:spacing w:after="0"/>
              <w:rPr>
                <w:sz w:val="18"/>
                <w:szCs w:val="18"/>
                <w:color w:val="auto"/>
              </w:rPr>
            </w:pPr>
          </w:p>
        </w:tc>
      </w:tr>
      <w:tr>
        <w:trPr>
          <w:trHeight w:val="418"/>
        </w:trPr>
        <w:tc>
          <w:tcPr>
            <w:tcW w:w="5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45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9"/>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56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64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0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(4,087 )</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(2,259 )</w:t>
            </w:r>
          </w:p>
        </w:tc>
      </w:tr>
      <w:tr>
        <w:trPr>
          <w:trHeight w:val="209"/>
        </w:trPr>
        <w:tc>
          <w:tcPr>
            <w:tcW w:w="75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fixed assets, net</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300" w:type="dxa"/>
            <w:vAlign w:val="bottom"/>
            <w:tcBorders>
              <w:top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tcBorders>
              <w:top w:val="single" w:sz="8" w:color="CFF0FC"/>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200" w:firstLine="524"/>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2022 was $627,000 and $1,825,000, respectively. Depreciation expense for the three and nine months ended September 30, 2021 was $401,000 and $981,000,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300" w:firstLine="524"/>
        <w:spacing w:after="0" w:line="250" w:lineRule="auto"/>
        <w:rPr>
          <w:sz w:val="20"/>
          <w:szCs w:val="20"/>
          <w:color w:val="auto"/>
        </w:rPr>
      </w:pPr>
      <w:r>
        <w:rPr>
          <w:rFonts w:ascii="Times New Roman" w:cs="Times New Roman" w:eastAsia="Times New Roman" w:hAnsi="Times New Roman"/>
          <w:sz w:val="18"/>
          <w:szCs w:val="18"/>
          <w:color w:val="auto"/>
        </w:rPr>
        <w:t>Intangible assets are comprised of acquired assembled workforce, which are accounted for in accordance with ASC 350 - Intangibles - Goodwill and Other. The acquired assembled workforce is amortized on a straight-line basis over the useful life of five years. The following table summarizes information related to the Company’s assembled workforce intangible asset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carrying amount</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Estimated amortization expense as of September 30, 2022 for the remaining three months of 2022 was $47,000, $215,000 for the year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$5,000 for the year ended December 31, 2024. Amortization expense relating to the assembled workforce intangible asset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$54,000 for each of the three months ended September 30, 2022 and 2021. Amortization expense relating to the assembled workforce intangible asset was</w:t>
      </w:r>
    </w:p>
    <w:p>
      <w:pPr>
        <w:spacing w:after="0"/>
        <w:rPr>
          <w:sz w:val="20"/>
          <w:szCs w:val="20"/>
          <w:color w:val="auto"/>
        </w:rPr>
      </w:pPr>
      <w:r>
        <w:rPr>
          <w:rFonts w:ascii="Times New Roman" w:cs="Times New Roman" w:eastAsia="Times New Roman" w:hAnsi="Times New Roman"/>
          <w:sz w:val="18"/>
          <w:szCs w:val="18"/>
          <w:color w:val="auto"/>
        </w:rPr>
        <w:t>$161,000 for each of the nine months ended September 30, 2022 and 2021.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firstLine="524"/>
        <w:spacing w:after="0" w:line="246"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and nine months ended September 30, 2022 and 2021.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24"/>
        <w:spacing w:after="0" w:line="241"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September 30, 2022 and December 31, 2021.</w:t>
      </w:r>
    </w:p>
    <w:p>
      <w:pPr>
        <w:spacing w:after="0" w:line="95"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(expense) for income taxes in the Company’s Condensed Consolidated Statements of Operations and Comprehensive Loss. The Company has not incurred any significant interest or penalties related to income taxes in any of the periods presented.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24"/>
        <w:spacing w:after="0" w:line="214" w:lineRule="exact"/>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74"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176" w:lineRule="exact"/>
        <w:rPr>
          <w:sz w:val="20"/>
          <w:szCs w:val="20"/>
          <w:color w:val="auto"/>
        </w:rPr>
      </w:pPr>
    </w:p>
    <w:p>
      <w:pPr>
        <w:ind w:firstLine="524"/>
        <w:spacing w:after="0" w:line="239" w:lineRule="exact"/>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8" w:lineRule="exact"/>
        <w:rPr>
          <w:sz w:val="20"/>
          <w:szCs w:val="20"/>
          <w:color w:val="auto"/>
        </w:rPr>
      </w:pPr>
    </w:p>
    <w:p>
      <w:pPr>
        <w:ind w:right="60" w:firstLine="567"/>
        <w:spacing w:after="0" w:line="24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71"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08"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08"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Compensation expense for share-based compensation awards issued is based on the fair value of the award at the date of grant, and compensation expense is recognized for those awards earned over the service period on a straight-line basis. The Company records forfeitures of share-based compensation awards as they occur.</w:t>
      </w:r>
    </w:p>
    <w:p>
      <w:pPr>
        <w:spacing w:after="0" w:line="61"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The grant date fair value of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08"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which requires lessees to recognize a right-of-use asset and a liability on the balance sheet for all leases, with the exception of short-term leases. The lease liability will be equal to the present value of lease payments, and the right-of-use asset will be based on the lease liability, subject to adjustment such as for initial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direct costs. Leases will continue to be classified as either operating or finance leases in the income statement. The guidance is effective for annual periods beginning after December 15, 2021, with early adoption permitted. The Company early adopted ASU No. 2016-02, Leases (Topic 842), as of January 1, 2021. For additional detail, see Note 4, Leases.</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Income Taxes</w:t>
      </w:r>
    </w:p>
    <w:p>
      <w:pPr>
        <w:spacing w:after="0" w:line="121"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ProKidney is considered to be an exempted Cayman Islands company and is presently not subject to income taxes or income tax filing requirements in the Cayman Islands or the United States.</w:t>
      </w:r>
    </w:p>
    <w:p>
      <w:pPr>
        <w:spacing w:after="0" w:line="54"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61"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spacing w:after="0" w:line="61"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For tax years beginning after December 31, 2021, the Tax Cut and Jobs Act of 2017 (the “TCJA”) requires specified research and development expenses to be capitalized and amortized ratably over a five-year period. The adoption of this provision of the TCJA is the primary driver of income tax expense recognized during the three and nine months ended September 30, 2022.</w:t>
      </w:r>
    </w:p>
    <w:p>
      <w:pPr>
        <w:spacing w:after="0" w:line="61"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69"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As discussed in Note 5,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2022.</w:t>
      </w:r>
    </w:p>
    <w:p>
      <w:pPr>
        <w:spacing w:after="0" w:line="69"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69"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There were no net unrecognized tax benefits as of September 30, 2022 which, if recognized, would affect our effective tax rate. We expect none of the gross unrecognized tax benefits will decrease within the next year.</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significant changes in the Company’s uncertain tax positions during the nine months ended September 30, 2022.</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Leases</w:t>
      </w:r>
    </w:p>
    <w:p>
      <w:pPr>
        <w:spacing w:after="0" w:line="108"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This ASU requires a lessee to recognize a right-of-use asset and a lease liability on its balance sheet for most operating leases. ASU 2016-02 is effective for annual and interim periods beginning after December 15, 2018, including interim periods within those fiscal years. In July 2018, the FASB issued ASU 2018-11, Leases (Topic 842): Targeted Improvements, which provides companies with an additional optional transition method to apply the new standard to leases in effect at the adoption date through a cumulative effect adjustment. The Company adopted the new lease standard as of January 1, 2021 using the modified retrospective transition method.</w:t>
      </w:r>
    </w:p>
    <w:p>
      <w:pPr>
        <w:spacing w:after="0" w:line="69" w:lineRule="exact"/>
        <w:rPr>
          <w:sz w:val="20"/>
          <w:szCs w:val="20"/>
          <w:color w:val="auto"/>
        </w:rPr>
      </w:pPr>
    </w:p>
    <w:p>
      <w:pPr>
        <w:jc w:val="both"/>
        <w:ind w:firstLine="524"/>
        <w:spacing w:after="0" w:line="244" w:lineRule="auto"/>
        <w:rPr>
          <w:sz w:val="20"/>
          <w:szCs w:val="20"/>
          <w:color w:val="auto"/>
        </w:rPr>
      </w:pPr>
      <w:r>
        <w:rPr>
          <w:rFonts w:ascii="Times New Roman" w:cs="Times New Roman" w:eastAsia="Times New Roman" w:hAnsi="Times New Roman"/>
          <w:sz w:val="18"/>
          <w:szCs w:val="18"/>
          <w:color w:val="auto"/>
        </w:rPr>
        <w:t>The Company elected the package of practical expedients referenced in ASU 2016-02, which permits companies to retain original lease identification and classification without reassessing initial direct costs for existing leases. The Company also elected the practical expedient that exempts leases with an initial lease term of twelve months or less, as well as the practical expedient that allows companies to select, by class of underlying asset, not to separate lease and non-lease components. Adoption of this standard resulted in the recognition of a right-of-use asset and a lease liability on the Company’s January 1, 2021 Consolidated Balance Sheet of $1,560,000 and $1,559,000, respectively. There was no material impact on the Company’s Condensed Consolidated Statement of Operations and Comprehensive Loss.</w:t>
      </w:r>
    </w:p>
    <w:p>
      <w:pPr>
        <w:spacing w:after="0" w:line="87"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office space) and certain equipment with various expiration dates. The Company also has one finance lease for certain equipment. Rent expense was $150,000 and $82,000, for the three months ended September 30, 2022 and 2021, respectively. For the nine months ended September 30, 2022 and 2021, the Company’s rent expense was $379,000 and $303,000, respectively.</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 w:name="page17"/>
    <w:bookmarkEnd w:id="16"/>
    <w:p>
      <w:pPr>
        <w:ind w:right="18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Condensed Consolidated Balance Sheets as of September 30, 2022 and December 31, 2021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0"/>
                <w:szCs w:val="20"/>
                <w:color w:val="auto"/>
              </w:rPr>
            </w:pPr>
          </w:p>
        </w:tc>
      </w:tr>
      <w:tr>
        <w:trPr>
          <w:trHeight w:val="198"/>
        </w:trPr>
        <w:tc>
          <w:tcPr>
            <w:tcW w:w="6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r>
      <w:tr>
        <w:trPr>
          <w:trHeight w:val="210"/>
        </w:trPr>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FF0FC"/>
          </w:tcPr>
          <w:p>
            <w:pPr>
              <w:spacing w:after="0"/>
              <w:rPr>
                <w:sz w:val="18"/>
                <w:szCs w:val="18"/>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r>
      <w:tr>
        <w:trPr>
          <w:trHeight w:val="21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September 30, 2022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5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5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(422 )</w:t>
            </w:r>
          </w:p>
        </w:tc>
        <w:tc>
          <w:tcPr>
            <w:tcW w:w="5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524"/>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4.4 years, and 2.5 years for the finance lease. The weighted average discount rate is 8.5%.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jc w:val="both"/>
        <w:ind w:firstLine="524"/>
        <w:spacing w:after="0" w:line="242"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will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jc w:val="both"/>
        <w:spacing w:after="0" w:line="243" w:lineRule="auto"/>
        <w:rPr>
          <w:sz w:val="20"/>
          <w:szCs w:val="20"/>
          <w:color w:val="auto"/>
        </w:rPr>
      </w:pPr>
      <w:r>
        <w:rPr>
          <w:rFonts w:ascii="Times New Roman" w:cs="Times New Roman" w:eastAsia="Times New Roman" w:hAnsi="Times New Roman"/>
          <w:sz w:val="18"/>
          <w:szCs w:val="18"/>
          <w:color w:val="auto"/>
        </w:rPr>
        <w:t>Sponsor III LLC and the Closing ProKidney Unitholders party thereto. Such restrictions begin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06"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06"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the those same VWAP thresholds within a five-year period immediately following the Closing. Upon vesting, the Earnout Rights will automatically convert into Post Combination ProKidney Common Units and Class B ordinary shares.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Debt</w:t>
      </w:r>
    </w:p>
    <w:p>
      <w:pPr>
        <w:spacing w:after="0" w:line="106"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On January 18, 2022, in connection with the execution of the Business Combination Agreement, the Company entered into the Promissory Notes. Through such promissory notes, the holders could fund up to $100,000,000 to support the operational financing needs of the Company prior to the Closing. These notes bore interest at a rate of 3% per annum and were due upon the earliest of either (i) the date on which the Business Combination closed or (ii) January 17, 2023.</w:t>
      </w:r>
    </w:p>
    <w:p>
      <w:pPr>
        <w:spacing w:after="0" w:line="69"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Drawdowns on the Promissory Notes could be made in multiples of $10,000 unless otherwise agreed upon. Once an amount was drawn down under the Promissory Notes, it was no longer available for future drawdown requests even if prepaid.</w:t>
      </w:r>
    </w:p>
    <w:p>
      <w:pPr>
        <w:spacing w:after="0" w:line="40"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borrowed $35,000,000 under the Promissory Notes. No borrowings were made during the three months ended September 30, 2022. During the three and nine months ended September 30, 2022, the Company recognized interest expense of $27,000 and $207,000, respectively related to the Promissory Notes. The amounts due under the Promissory Notes were paid, and the Promissory Notes were effectively terminated upon Closing as described in Note 1.</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ProKidney-KY and Nefro Health</w:t>
      </w:r>
    </w:p>
    <w:p>
      <w:pPr>
        <w:spacing w:after="0" w:line="322" w:lineRule="exact"/>
        <w:rPr>
          <w:sz w:val="20"/>
          <w:szCs w:val="20"/>
          <w:color w:val="auto"/>
        </w:rPr>
      </w:pPr>
    </w:p>
    <w:p>
      <w:pPr>
        <w:jc w:val="both"/>
        <w:ind w:firstLine="524"/>
        <w:spacing w:after="0" w:line="241" w:lineRule="auto"/>
        <w:rPr>
          <w:sz w:val="20"/>
          <w:szCs w:val="20"/>
          <w:color w:val="auto"/>
        </w:rPr>
      </w:pPr>
      <w:r>
        <w:rPr>
          <w:rFonts w:ascii="Times New Roman" w:cs="Times New Roman" w:eastAsia="Times New Roman" w:hAnsi="Times New Roman"/>
          <w:sz w:val="18"/>
          <w:szCs w:val="18"/>
          <w:color w:val="auto"/>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Pablo Legorreta. Under the agreement, Nefro receives $25,000 per quarter and is reimbursed for any out-of-pocket expenses incurred in connection with activities Nefro conducted under the agreement. ProKidney-KY has paid Nefro an aggregate of $75,000 for each of the nine month periods ended September 30, 2022 and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jc w:val="both"/>
        <w:spacing w:after="0" w:line="250" w:lineRule="auto"/>
        <w:rPr>
          <w:sz w:val="20"/>
          <w:szCs w:val="20"/>
          <w:color w:val="auto"/>
        </w:rPr>
      </w:pPr>
      <w:r>
        <w:rPr>
          <w:rFonts w:ascii="Times New Roman" w:cs="Times New Roman" w:eastAsia="Times New Roman" w:hAnsi="Times New Roman"/>
          <w:sz w:val="18"/>
          <w:szCs w:val="18"/>
          <w:color w:val="auto"/>
        </w:rPr>
        <w:t>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jc w:val="both"/>
        <w:ind w:firstLine="524"/>
        <w:spacing w:after="0" w:line="241"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Pablo Legorreta. Under the agreement, Nefro receives $25,000 per quarter and is reimbursed for any out-of-pocket expenses incurred in connection with activities Nefro conducted under the agreement. ProKidney-US has paid Nefro an aggregate of $75,000 for each of the nine month periods ended September 30, 2022 and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3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08" w:lineRule="exact"/>
        <w:rPr>
          <w:sz w:val="20"/>
          <w:szCs w:val="20"/>
          <w:color w:val="auto"/>
        </w:rPr>
      </w:pPr>
    </w:p>
    <w:p>
      <w:pPr>
        <w:jc w:val="both"/>
        <w:ind w:firstLine="524"/>
        <w:spacing w:after="0" w:line="24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Post-Combination ProKidney Common Units representing the outstanding 73.6%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73"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September 30, 2022, the redeemable noncontrolling interest was recorded based on its initial fair value plus accumulated losses associated with the noncontrolling interest as this amount was higher than the redemption value as of the balance sheet date which was approximately $1.6 billion.</w:t>
      </w:r>
    </w:p>
    <w:p>
      <w:pPr>
        <w:spacing w:after="0" w:line="6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For the Period from July 11, 2022</w:t>
            </w:r>
          </w:p>
        </w:tc>
        <w:tc>
          <w:tcPr>
            <w:tcW w:w="0" w:type="dxa"/>
            <w:vAlign w:val="bottom"/>
          </w:tcPr>
          <w:p>
            <w:pPr>
              <w:spacing w:after="0"/>
              <w:rPr>
                <w:sz w:val="1"/>
                <w:szCs w:val="1"/>
                <w:color w:val="auto"/>
              </w:rPr>
            </w:pPr>
          </w:p>
        </w:tc>
      </w:tr>
      <w:tr>
        <w:trPr>
          <w:trHeight w:val="238"/>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through September 30, 2022</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1"/>
        </w:trPr>
        <w:tc>
          <w:tcPr>
            <w:tcW w:w="75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(Increase)/Decrease in ProKidney Corp. accumulated deficit for impact of</w:t>
            </w: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equity-based compensation</w:t>
            </w:r>
          </w:p>
        </w:tc>
        <w:tc>
          <w:tcPr>
            <w:tcW w:w="12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5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(Increase)/Decrease in ProKidney Corp. accumulated deficit for vesting of</w:t>
            </w:r>
          </w:p>
        </w:tc>
        <w:tc>
          <w:tcPr>
            <w:tcW w:w="120" w:type="dxa"/>
            <w:vAlign w:val="bottom"/>
            <w:shd w:val="clear" w:color="auto" w:fill="CFF0FC"/>
          </w:tcPr>
          <w:p>
            <w:pPr>
              <w:spacing w:after="0"/>
              <w:rPr>
                <w:sz w:val="14"/>
                <w:szCs w:val="14"/>
                <w:color w:val="auto"/>
              </w:rPr>
            </w:pPr>
          </w:p>
        </w:tc>
        <w:tc>
          <w:tcPr>
            <w:tcW w:w="2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Common Units in ProKidney LP</w:t>
            </w:r>
          </w:p>
        </w:tc>
        <w:tc>
          <w:tcPr>
            <w:tcW w:w="120" w:type="dxa"/>
            <w:vAlign w:val="bottom"/>
            <w:tcBorders>
              <w:bottom w:val="single" w:sz="8" w:color="auto"/>
            </w:tcBorders>
            <w:shd w:val="clear" w:color="auto" w:fill="CFF0FC"/>
          </w:tcPr>
          <w:p>
            <w:pPr>
              <w:spacing w:after="0"/>
              <w:rPr>
                <w:sz w:val="19"/>
                <w:szCs w:val="19"/>
                <w:color w:val="auto"/>
              </w:rPr>
            </w:pPr>
          </w:p>
        </w:tc>
        <w:tc>
          <w:tcPr>
            <w:tcW w:w="2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5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Change from net loss available to Class A ordinary shareholders and change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(4,829 )</w:t>
            </w:r>
          </w:p>
        </w:tc>
        <w:tc>
          <w:tcPr>
            <w:tcW w:w="0" w:type="dxa"/>
            <w:vAlign w:val="bottom"/>
          </w:tcPr>
          <w:p>
            <w:pPr>
              <w:spacing w:after="0"/>
              <w:rPr>
                <w:sz w:val="1"/>
                <w:szCs w:val="1"/>
                <w:color w:val="auto"/>
              </w:rPr>
            </w:pPr>
          </w:p>
        </w:tc>
      </w:tr>
      <w:tr>
        <w:trPr>
          <w:trHeight w:val="194"/>
        </w:trPr>
        <w:tc>
          <w:tcPr>
            <w:tcW w:w="75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in ownership interest in ProKidney LP</w:t>
            </w:r>
          </w:p>
        </w:tc>
        <w:tc>
          <w:tcPr>
            <w:tcW w:w="120" w:type="dxa"/>
            <w:vAlign w:val="bottom"/>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-264795</wp:posOffset>
            </wp:positionV>
            <wp:extent cx="59690" cy="265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08"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In conjunction with the Business Combination, 186,500,000 Class A Units and 27,100,937 Class B and B-1 Units of PKLP were converted into an aggregate of 170,723,961 Class B ordinary shares of the Company and 9,276,039 Restricted Stock Rights in the Company (the “Restricted Stock Rights”).</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Subsequent to the Business Combination, the Company’s authorized share capital consists of 1,005,000,000 shares including (i) 500,000,000 Class A ordinary shares, par value $0.0001 per share, (ii) 500,000,000 Class B ordinary shares, par value $0.0001 per share and (iii) 5,000,000 preference shares, par value $0.0001 per share.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A Ordinary Shares</w:t>
      </w:r>
    </w:p>
    <w:p>
      <w:pPr>
        <w:spacing w:after="0" w:line="119"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Each holder of Class A ordinary shares is entitled to one vote for each Class A ordinary share held of record by such holder on all matters on which shareholders generally are entitled to vote.</w:t>
      </w:r>
    </w:p>
    <w:p>
      <w:pPr>
        <w:spacing w:after="0" w:line="54" w:lineRule="exact"/>
        <w:rPr>
          <w:sz w:val="20"/>
          <w:szCs w:val="20"/>
          <w:color w:val="auto"/>
        </w:rPr>
      </w:pPr>
    </w:p>
    <w:p>
      <w:pPr>
        <w:jc w:val="both"/>
        <w:ind w:firstLine="581"/>
        <w:spacing w:after="0" w:line="250"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preference shares, the holders of Class A ordinary shares are entitled to receive ratably such dividends, if any, as may be declared from time to time by the Board out of funds legally available therefor. All dividends are subject to certain restrictions under Cayman Islands law, namely that we may only pay dividends out of profits or share premium account, and provided always that, in no circumstances may a dividend be paid if this would result in us being unable to pay our debts as they fall due in the ordinary course of business.</w:t>
      </w:r>
    </w:p>
    <w:p>
      <w:pPr>
        <w:spacing w:after="0" w:line="69"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Company’s Class A ordinary shares are entitled to share ratably in all assets remaining after payment of our debts and other liabilities, subject to prior distribution rights of preference shares or any class or series of shares having a preference over the Company’s Class A ordinary shares, then outstanding, if any.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Class B Ordinary Shares</w:t>
      </w:r>
    </w:p>
    <w:p>
      <w:pPr>
        <w:spacing w:after="0" w:line="119"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Each holder of the Company’s Class B ordinary shares is entitled to one vote for each Class B ordinary share held of record by such holder on all matters on which shareholders generally are entitled to vote. The holders of the Company’s Class B ordinary shares will not participate in any dividends declared by our board of directors.</w:t>
      </w:r>
    </w:p>
    <w:p>
      <w:pPr>
        <w:spacing w:after="0" w:line="82"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B ordinary shares are entitled to a ratable amount equal to the capital paid up on such Class B ordinary shares of all assets remaining after payment of our debts and other liabilities, subject to prior distribution rights of preference shares or any class or series of shares having a preference over the Company’s Class B ordinary shares, then outstanding, if any. The Company’s Class B ordinary shares shall not carry any other right to participate in our profits or assets.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06"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At the closing of the Business Combination, certain shareholders were issued an aggregate of 17,500,000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Post-Combination ProKidney Common Units and Class B ordinary shares.</w:t>
      </w:r>
    </w:p>
    <w:p>
      <w:pPr>
        <w:spacing w:after="0" w:line="87"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The issuance of the Earnout Rights was accounted for as an equity transaction. Since the Earnout Rights were issued to Closing ProKidney Unitholders (i.e., the accounting acquirer in the business combination), the accounting for the Earnout Rights arrangement does not fall under Accounting Standards Codification (“ASC”) Topic 805, Business Combinations nor Topic 718, Stock Compensation.</w:t>
      </w:r>
    </w:p>
    <w:p>
      <w:pPr>
        <w:spacing w:after="0" w:line="82"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The accounting for the Earnout Rights was also evaluated under ASC Topic 480, Distinguishing Liabilities from Equity, to determine if the arrangement should be classified as a liability. Based on that analysis, it was determined that the Earnout Rights did not meet the criteria to be accounted for as a liability. Additionally, the Earnout Rights were evaluated under ASC Topic 815, Derivatives. As part of that analysis, it was determined that the Earnout Rights met the definition of a derivative; however, they meet the scope exception criteria as they were clearly and closely related to the entity’s own stock, and met the criteria for equity treatment.</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69" w:lineRule="exact"/>
        <w:rPr>
          <w:sz w:val="20"/>
          <w:szCs w:val="20"/>
          <w:color w:val="auto"/>
        </w:rPr>
      </w:pPr>
    </w:p>
    <w:p>
      <w:pPr>
        <w:jc w:val="both"/>
        <w:ind w:firstLine="524"/>
        <w:spacing w:after="0" w:line="242" w:lineRule="auto"/>
        <w:rPr>
          <w:sz w:val="20"/>
          <w:szCs w:val="20"/>
          <w:color w:val="auto"/>
        </w:rPr>
      </w:pPr>
      <w:r>
        <w:rPr>
          <w:rFonts w:ascii="Times New Roman" w:cs="Times New Roman" w:eastAsia="Times New Roman" w:hAnsi="Times New Roman"/>
          <w:sz w:val="18"/>
          <w:szCs w:val="18"/>
          <w:color w:val="auto"/>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three and nine months ended September 30, 2022, as presented on the unaudited consolidated statements of operations, represents only the period after the Business Combination to September 30, 2022.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period from July 11, 2022 through September 30, 2022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 from July 11, 2022 through September 30, 2022</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(29,930 )</w:t>
            </w:r>
          </w:p>
        </w:tc>
        <w:tc>
          <w:tcPr>
            <w:tcW w:w="0" w:type="dxa"/>
            <w:vAlign w:val="bottom"/>
          </w:tcPr>
          <w:p>
            <w:pPr>
              <w:spacing w:after="0"/>
              <w:rPr>
                <w:sz w:val="1"/>
                <w:szCs w:val="1"/>
                <w:color w:val="auto"/>
              </w:rPr>
            </w:pPr>
          </w:p>
        </w:tc>
      </w:tr>
      <w:tr>
        <w:trPr>
          <w:trHeight w:val="171"/>
        </w:trPr>
        <w:tc>
          <w:tcPr>
            <w:tcW w:w="89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Less: Net loss attributable to noncontrolling interests for the period from</w:t>
            </w:r>
          </w:p>
        </w:tc>
        <w:tc>
          <w:tcPr>
            <w:tcW w:w="680" w:type="dxa"/>
            <w:vAlign w:val="bottom"/>
            <w:shd w:val="clear" w:color="auto" w:fill="CFF0FC"/>
          </w:tcPr>
          <w:p>
            <w:pPr>
              <w:spacing w:after="0"/>
              <w:rPr>
                <w:sz w:val="14"/>
                <w:szCs w:val="14"/>
                <w:color w:val="auto"/>
              </w:rPr>
            </w:pPr>
          </w:p>
        </w:tc>
        <w:tc>
          <w:tcPr>
            <w:tcW w:w="15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(22,017 )</w:t>
            </w:r>
          </w:p>
        </w:tc>
        <w:tc>
          <w:tcPr>
            <w:tcW w:w="0" w:type="dxa"/>
            <w:vAlign w:val="bottom"/>
          </w:tcPr>
          <w:p>
            <w:pPr>
              <w:spacing w:after="0"/>
              <w:rPr>
                <w:sz w:val="1"/>
                <w:szCs w:val="1"/>
                <w:color w:val="auto"/>
              </w:rPr>
            </w:pPr>
          </w:p>
        </w:tc>
      </w:tr>
      <w:tr>
        <w:trPr>
          <w:trHeight w:val="221"/>
        </w:trPr>
        <w:tc>
          <w:tcPr>
            <w:tcW w:w="8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July 11, 2022 through September 30, 2022</w:t>
            </w:r>
          </w:p>
        </w:tc>
        <w:tc>
          <w:tcPr>
            <w:tcW w:w="680" w:type="dxa"/>
            <w:vAlign w:val="bottom"/>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9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loss available to Class A ordinary shareholders of ProKidney Corp. for the</w:t>
            </w:r>
          </w:p>
        </w:tc>
        <w:tc>
          <w:tcPr>
            <w:tcW w:w="6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(7,913 )</w:t>
            </w:r>
          </w:p>
        </w:tc>
        <w:tc>
          <w:tcPr>
            <w:tcW w:w="0" w:type="dxa"/>
            <w:vAlign w:val="bottom"/>
          </w:tcPr>
          <w:p>
            <w:pPr>
              <w:spacing w:after="0"/>
              <w:rPr>
                <w:sz w:val="1"/>
                <w:szCs w:val="1"/>
                <w:color w:val="auto"/>
              </w:rPr>
            </w:pPr>
          </w:p>
        </w:tc>
      </w:tr>
      <w:tr>
        <w:trPr>
          <w:trHeight w:val="221"/>
        </w:trPr>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period from July 11, 2022 through September 30, 2022, basic and diluted</w:t>
            </w:r>
          </w:p>
        </w:tc>
        <w:tc>
          <w:tcPr>
            <w:tcW w:w="680" w:type="dxa"/>
            <w:vAlign w:val="bottom"/>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9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Class A ordinary shares or ProKidney Corp. outstanding,</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Class A Unit</w:t>
            </w:r>
          </w:p>
        </w:tc>
        <w:tc>
          <w:tcPr>
            <w:tcW w:w="6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Class A ordinary share of ProKidney Corp., basic and diluted</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6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ProKidney Corp. Class B ordinary shares</w:t>
            </w:r>
          </w:p>
        </w:tc>
        <w:tc>
          <w:tcPr>
            <w:tcW w:w="6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171,210,060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6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8,766,071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Rights</w:t>
            </w:r>
          </w:p>
        </w:tc>
        <w:tc>
          <w:tcPr>
            <w:tcW w:w="6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Legacy SCS Restricted Share Units</w:t>
            </w:r>
          </w:p>
        </w:tc>
        <w:tc>
          <w:tcPr>
            <w:tcW w:w="6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6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-2214245</wp:posOffset>
            </wp:positionV>
            <wp:extent cx="68580" cy="402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4025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-1142365</wp:posOffset>
            </wp:positionV>
            <wp:extent cx="68580"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Equity Based Compensation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06"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Upon adoption of the plan, there were 24,154,023 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w:t>
      </w:r>
    </w:p>
    <w:p>
      <w:pPr>
        <w:spacing w:after="0" w:line="72" w:lineRule="exact"/>
        <w:rPr>
          <w:sz w:val="20"/>
          <w:szCs w:val="20"/>
          <w:color w:val="auto"/>
        </w:rPr>
      </w:pPr>
    </w:p>
    <w:p>
      <w:pPr>
        <w:jc w:val="both"/>
        <w:ind w:right="20" w:firstLine="5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granted 129,370 stock option awards under the 2022 Plan. The weighted average grant date fair value of these awards was $7.15. These awards vest in equal installments upon the anniversary of grant over a period of three years. As of September 30, 2022, the unrecognized compensation expense related to these awards was $910,000.</w:t>
      </w:r>
    </w:p>
    <w:p>
      <w:pPr>
        <w:spacing w:after="0" w:line="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stock option awards granted under the 2022 Plan for the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Pr>
          <w:p>
            <w:pPr>
              <w:spacing w:after="0"/>
              <w:rPr>
                <w:sz w:val="18"/>
                <w:szCs w:val="18"/>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outstanding at January 1, 2022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129,370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Profits Interests</w:t>
      </w:r>
    </w:p>
    <w:p>
      <w:pPr>
        <w:spacing w:after="0" w:line="106"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ProKidney 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Under the Limited Partnership Agreement, Legacy GP determined the terms and conditions of the Profits Interests issued. The threshold value assigned to each grant was not to be less than the fair market value of PKLP on the date of grant. Profits Interests awards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2"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w:t>
      </w:r>
    </w:p>
    <w:p>
      <w:pPr>
        <w:spacing w:after="0" w:line="200" w:lineRule="exact"/>
        <w:rPr>
          <w:sz w:val="20"/>
          <w:szCs w:val="20"/>
          <w:color w:val="auto"/>
        </w:rPr>
      </w:pPr>
    </w:p>
    <w:p>
      <w:pPr>
        <w:spacing w:after="0" w:line="400"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7"/>
          <w:szCs w:val="17"/>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Profits Interest awards for the nine months ended September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16"/>
                <w:szCs w:val="16"/>
                <w:color w:val="auto"/>
              </w:rPr>
            </w:pPr>
          </w:p>
        </w:tc>
        <w:tc>
          <w:tcPr>
            <w:tcW w:w="1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60" w:type="dxa"/>
            <w:vAlign w:val="bottom"/>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January 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2,015,943</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8,174,016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(1,365,987 )</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(57,901 )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8,766,071</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As of September 30, 2022, the unrecognized compensation expense related to these awards was $49,853,000. The current weighted average remaining period over which the unrecognized compensation expense is expected to be recognized is 3.2 years. The weighted average grant date fair value of the Profits Interests granted during the nine months ended September 30, 2022, was $7.43 per Class B-1 unit, as adjusted for the effects of the recapitalization. There were no Profits Interests granted during the three months ended September 30, 2022 and the three and nine months ended September 30,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Profits Interest Awards</w:t>
      </w:r>
    </w:p>
    <w:p>
      <w:pPr>
        <w:spacing w:after="0" w:line="121"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69"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 related to awards granted to its employees. The portion of this additional compensation expense attributable to vested awards of $3,715,000 was recognized immediately upon modification during the nine months ended September 30, 2022.</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Profits Interests to Service Provider</w:t>
      </w:r>
    </w:p>
    <w:p>
      <w:pPr>
        <w:spacing w:after="0" w:line="108"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issued 2,253,033 fully vested Class B-1 Units in PKLP to a third-party service provider as payment for research and development services provided in prior periods. The Company had previously recognized expense of $2,502,000 for these services based on the liability related to the services incurred. As the fair value of shares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jc w:val="both"/>
        <w:spacing w:after="0" w:line="280" w:lineRule="auto"/>
        <w:rPr>
          <w:sz w:val="20"/>
          <w:szCs w:val="20"/>
          <w:color w:val="auto"/>
        </w:rPr>
      </w:pPr>
      <w:r>
        <w:rPr>
          <w:rFonts w:ascii="Times New Roman" w:cs="Times New Roman" w:eastAsia="Times New Roman" w:hAnsi="Times New Roman"/>
          <w:sz w:val="18"/>
          <w:szCs w:val="18"/>
          <w:color w:val="auto"/>
        </w:rPr>
        <w:t>issued to satisfy that obligation was higher than the amount previously expensed, the Company recognized additional research and development expense of $14,080,000 during the nine months ended September 30, 2022</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Class B-1 Units in PKLP</w:t>
      </w:r>
    </w:p>
    <w:p>
      <w:pPr>
        <w:spacing w:after="0" w:line="108" w:lineRule="exact"/>
        <w:rPr>
          <w:sz w:val="20"/>
          <w:szCs w:val="20"/>
          <w:color w:val="auto"/>
        </w:rPr>
      </w:pPr>
    </w:p>
    <w:p>
      <w:pPr>
        <w:jc w:val="both"/>
        <w:ind w:firstLine="524"/>
        <w:spacing w:after="0" w:line="246" w:lineRule="auto"/>
        <w:rPr>
          <w:sz w:val="20"/>
          <w:szCs w:val="20"/>
          <w:color w:val="auto"/>
        </w:rPr>
      </w:pPr>
      <w:r>
        <w:rPr>
          <w:rFonts w:ascii="Times New Roman" w:cs="Times New Roman" w:eastAsia="Times New Roman" w:hAnsi="Times New Roman"/>
          <w:sz w:val="18"/>
          <w:szCs w:val="18"/>
          <w:color w:val="auto"/>
        </w:rPr>
        <w:t>As discussed further in Note 6, certain of the Company’s employees, board members and service providers purchased 6,648,353 of Class B-1 Units in PKLP for total cash proceeds of $6,050,000, respectively, during the nine months ended September 30, 2022. Since these Class B-1 Units in PKLP were fully vested upon purchase and contained no service requirements, the Company immediately recognized the difference between the purchase price and the estimated fair value for these Class B-1 Units in PKLP of $34,254,000 as equity-based compensation expense during the nine months ended September 30, 2022, respectively. No such sales occurred during the three months ended September 30, 2022 and the three and nine months ended September 30, 2021.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Estimate for Profits Interest</w:t>
      </w:r>
    </w:p>
    <w:p>
      <w:pPr>
        <w:spacing w:after="0" w:line="108"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w:t>
      </w:r>
    </w:p>
    <w:p>
      <w:pPr>
        <w:spacing w:after="0"/>
        <w:rPr>
          <w:sz w:val="20"/>
          <w:szCs w:val="20"/>
          <w:color w:val="auto"/>
        </w:rPr>
      </w:pPr>
      <w:r>
        <w:rPr>
          <w:rFonts w:ascii="Times New Roman" w:cs="Times New Roman" w:eastAsia="Times New Roman" w:hAnsi="Times New Roman"/>
          <w:sz w:val="18"/>
          <w:szCs w:val="18"/>
          <w:color w:val="auto"/>
        </w:rPr>
        <w:t xml:space="preserve">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also known as the Practice Aid.</w:t>
      </w:r>
    </w:p>
    <w:p>
      <w:pPr>
        <w:spacing w:after="0" w:line="85"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For the Profits Interest Awards granted during the nine months ended September 30,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p>
    <w:p>
      <w:pPr>
        <w:spacing w:after="0" w:line="69" w:lineRule="exact"/>
        <w:rPr>
          <w:sz w:val="20"/>
          <w:szCs w:val="20"/>
          <w:color w:val="auto"/>
        </w:rPr>
      </w:pPr>
    </w:p>
    <w:p>
      <w:pPr>
        <w:jc w:val="both"/>
        <w:ind w:firstLine="524"/>
        <w:spacing w:after="0" w:line="245" w:lineRule="auto"/>
        <w:rPr>
          <w:sz w:val="20"/>
          <w:szCs w:val="20"/>
          <w:color w:val="auto"/>
        </w:rPr>
      </w:pPr>
      <w:r>
        <w:rPr>
          <w:rFonts w:ascii="Times New Roman" w:cs="Times New Roman" w:eastAsia="Times New Roman" w:hAnsi="Times New Roman"/>
          <w:sz w:val="18"/>
          <w:szCs w:val="18"/>
          <w:color w:val="auto"/>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spacing w:after="0" w:line="87" w:lineRule="exact"/>
        <w:rPr>
          <w:sz w:val="20"/>
          <w:szCs w:val="20"/>
          <w:color w:val="auto"/>
        </w:rPr>
      </w:pPr>
    </w:p>
    <w:p>
      <w:pPr>
        <w:jc w:val="both"/>
        <w:ind w:firstLine="524"/>
        <w:spacing w:after="0" w:line="250" w:lineRule="auto"/>
        <w:rPr>
          <w:sz w:val="20"/>
          <w:szCs w:val="20"/>
          <w:color w:val="auto"/>
        </w:rPr>
      </w:pPr>
      <w:r>
        <w:rPr>
          <w:rFonts w:ascii="Times New Roman" w:cs="Times New Roman" w:eastAsia="Times New Roman" w:hAnsi="Times New Roman"/>
          <w:sz w:val="18"/>
          <w:szCs w:val="18"/>
          <w:color w:val="auto"/>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spacing w:after="0" w:line="69"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8"/>
          <w:szCs w:val="18"/>
          <w:color w:val="auto"/>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reflects the key assumptions used in each of the valuation scenarios: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OPM</w:t>
            </w:r>
          </w:p>
        </w:tc>
        <w:tc>
          <w:tcPr>
            <w:tcW w:w="260" w:type="dxa"/>
            <w:vAlign w:val="bottom"/>
          </w:tcPr>
          <w:p>
            <w:pPr>
              <w:spacing w:after="0"/>
              <w:rPr>
                <w:sz w:val="20"/>
                <w:szCs w:val="20"/>
                <w:color w:val="auto"/>
              </w:rPr>
            </w:pP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PWERM</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equity value (in thousands)</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$234,551 - $280,400</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total equity</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95 %</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- 90%</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for lack of market</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00" w:type="dxa"/>
            <w:vAlign w:val="bottom"/>
            <w:shd w:val="clear" w:color="auto" w:fill="CFF0FC"/>
          </w:tcPr>
          <w:p>
            <w:pPr>
              <w:spacing w:after="0"/>
              <w:rPr>
                <w:sz w:val="18"/>
                <w:szCs w:val="18"/>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time to exit event</w:t>
            </w: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 years - 3.7 years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years - 0.5 years</w:t>
            </w:r>
          </w:p>
        </w:tc>
        <w:tc>
          <w:tcPr>
            <w:tcW w:w="100" w:type="dxa"/>
            <w:vAlign w:val="bottom"/>
          </w:tcPr>
          <w:p>
            <w:pPr>
              <w:spacing w:after="0"/>
              <w:rPr>
                <w:sz w:val="20"/>
                <w:szCs w:val="20"/>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SCS Awards</w:t>
      </w:r>
    </w:p>
    <w:p>
      <w:pPr>
        <w:spacing w:after="0" w:line="106" w:lineRule="exact"/>
        <w:rPr>
          <w:sz w:val="20"/>
          <w:szCs w:val="20"/>
          <w:color w:val="auto"/>
        </w:rPr>
      </w:pPr>
    </w:p>
    <w:p>
      <w:pPr>
        <w:jc w:val="both"/>
        <w:ind w:right="20" w:firstLine="524"/>
        <w:spacing w:after="0" w:line="247" w:lineRule="auto"/>
        <w:rPr>
          <w:sz w:val="20"/>
          <w:szCs w:val="20"/>
          <w:color w:val="auto"/>
        </w:rPr>
      </w:pPr>
      <w:r>
        <w:rPr>
          <w:rFonts w:ascii="Times New Roman" w:cs="Times New Roman" w:eastAsia="Times New Roman" w:hAnsi="Times New Roman"/>
          <w:sz w:val="18"/>
          <w:szCs w:val="18"/>
          <w:color w:val="auto"/>
        </w:rPr>
        <w:t>In 2021, SCS had agreed to grant 50,000 restricted stock units (“RSUs”) to certain of its board members and other advisors which were contingent upon the consummation of a Business Combination and a shareholder approved equity plan. The RSUs were to vest upon the consummation of such Business Combination and represent 50,000 Class A ordinary shares of the Company that will settle 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date determined in the sole discretion of the Company that shall occur between the vesting date and March 15th of the year following the year in which vesting occurs.</w:t>
      </w:r>
    </w:p>
    <w:p>
      <w:pPr>
        <w:spacing w:after="0" w:line="40" w:lineRule="exact"/>
        <w:rPr>
          <w:sz w:val="20"/>
          <w:szCs w:val="20"/>
          <w:color w:val="auto"/>
        </w:rPr>
      </w:pPr>
    </w:p>
    <w:p>
      <w:pPr>
        <w:jc w:val="both"/>
        <w:ind w:firstLine="524"/>
        <w:spacing w:after="0" w:line="245" w:lineRule="auto"/>
        <w:rPr>
          <w:sz w:val="20"/>
          <w:szCs w:val="20"/>
          <w:color w:val="auto"/>
        </w:rPr>
      </w:pPr>
      <w:r>
        <w:rPr>
          <w:rFonts w:ascii="Times New Roman" w:cs="Times New Roman" w:eastAsia="Times New Roman" w:hAnsi="Times New Roman"/>
          <w:sz w:val="18"/>
          <w:szCs w:val="18"/>
          <w:color w:val="auto"/>
        </w:rPr>
        <w:t>The RSUs granted by the Company are in the scope of ASC 718. Under ASC 718, stock-based compensation associated with equity-classified awards is measured at fair value upon the grant date. The RSUs granted were subject to a performance condition (i.e., the occurrence of a Business Combination). Compensation expense related to the RSUs is recognized only when the performance condition is probable of occurrence under the applicable accounting literature in this circumstance. Upon Closing, the performance conditions for these awards were met as both a Business Combination had occurred and the shareholders approved a qualifying equity plan. As such, the entire amount of share-based compensation expense related to these awards of $0.4 million was recognized in the three and nine months ended September 31, 2022. The weighted average grant date fair value per share of these RSUs was $7.92.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08"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share-based awards is included in research and development and general and administrative expense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0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 w:type="dxa"/>
            <w:vAlign w:val="bottom"/>
            <w:gridSpan w:val="2"/>
          </w:tcPr>
          <w:p>
            <w:pPr>
              <w:spacing w:after="0"/>
              <w:rPr>
                <w:sz w:val="18"/>
                <w:szCs w:val="18"/>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gridSpan w:val="2"/>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gridSpan w:val="2"/>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20,385</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50"/>
        </w:trPr>
        <w:tc>
          <w:tcPr>
            <w:tcW w:w="4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65,529</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08"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Subsequent to September 30, 2022, the Company has issued 5,226,638 stock option awards with an exercise price of $10.33 to certain of its employees under the 2022 Equity Incentive Plan. These awards either vest on a monthly basis over a four year period or with 25% vesting upon the first anniversary of the employee’s hire date and on a monthly basis for the three years thereafter.</w:t>
      </w:r>
    </w:p>
    <w:p>
      <w:pPr>
        <w:spacing w:after="0" w:line="61" w:lineRule="exact"/>
        <w:rPr>
          <w:sz w:val="20"/>
          <w:szCs w:val="20"/>
          <w:color w:val="auto"/>
        </w:rPr>
      </w:pPr>
    </w:p>
    <w:p>
      <w:pPr>
        <w:jc w:val="both"/>
        <w:ind w:firstLine="524"/>
        <w:spacing w:after="0" w:line="243" w:lineRule="auto"/>
        <w:rPr>
          <w:sz w:val="20"/>
          <w:szCs w:val="20"/>
          <w:color w:val="auto"/>
        </w:rPr>
      </w:pPr>
      <w:r>
        <w:rPr>
          <w:rFonts w:ascii="Times New Roman" w:cs="Times New Roman" w:eastAsia="Times New Roman" w:hAnsi="Times New Roman"/>
          <w:sz w:val="18"/>
          <w:szCs w:val="18"/>
          <w:color w:val="auto"/>
        </w:rPr>
        <w:t>Additionally, 3,639,607 stock option awards with an exercise price of $10.33 were granted to the Company’s CEO which vest and become exercisable based on the satisfaction of both time and performance vesting conditions. The performance vesting conditions become satisfied in equal one-third tranches upon the Company's Class A ordinary shares exceeding a volume weighted average price hurdle of $15.00, $20.00 and $25.00, respectively, for 20 trading days within any 30 consecutive trading day period occurring prior to July 11, 2027. Once the performance vesting condition for a tranche is satisfied, such tranche will continue to be subject to time-vesting conditions and will vest ratably on each of the first, second and third anniversaries of the date that such tranche satisfied the performance vesting condition described above.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ProKidney Corp.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prospectus dated September 8, 2022 and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60" w:firstLine="524"/>
        <w:spacing w:after="0" w:line="246" w:lineRule="auto"/>
        <w:rPr>
          <w:sz w:val="20"/>
          <w:szCs w:val="20"/>
          <w:color w:val="auto"/>
        </w:rPr>
      </w:pPr>
      <w:r>
        <w:rPr>
          <w:rFonts w:ascii="Times New Roman" w:cs="Times New Roman" w:eastAsia="Times New Roman" w:hAnsi="Times New Roman"/>
          <w:sz w:val="18"/>
          <w:szCs w:val="18"/>
          <w:color w:val="auto"/>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or improvement of kidney function to stop or delay progression of CKD. Our lead product candidate, which we refer to as REACT, is designed to stabilize or improve kidney function in a CKD patient’s diseased kidneys. REACT is a product that includes selected renal cells (“SRCs”) prepared from a patient’s own, autologous, renal cells. SRCs are formulated into a product for reinjection into the patient’s kidney using a minimally invasive outpatient procedure that can be repeated if necessary. Because REACT is a personalized treatment composed of cells prepared from a patient’s kidney, there is no need for treatment with immunosuppressive therapies, which are required during a patient’s lifetime when a patient receives a kidney transplant from another, allogeneic donor.</w:t>
      </w:r>
    </w:p>
    <w:p>
      <w:pPr>
        <w:spacing w:after="0" w:line="71" w:lineRule="exact"/>
        <w:rPr>
          <w:sz w:val="20"/>
          <w:szCs w:val="20"/>
          <w:color w:val="auto"/>
        </w:rPr>
      </w:pPr>
    </w:p>
    <w:p>
      <w:pPr>
        <w:jc w:val="both"/>
        <w:ind w:right="220" w:firstLine="509"/>
        <w:spacing w:after="0" w:line="246" w:lineRule="auto"/>
        <w:rPr>
          <w:sz w:val="20"/>
          <w:szCs w:val="20"/>
          <w:color w:val="auto"/>
        </w:rPr>
      </w:pPr>
      <w:r>
        <w:rPr>
          <w:rFonts w:ascii="Times New Roman" w:cs="Times New Roman" w:eastAsia="Times New Roman" w:hAnsi="Times New Roman"/>
          <w:sz w:val="18"/>
          <w:szCs w:val="18"/>
          <w:color w:val="auto"/>
        </w:rPr>
        <w:t>We are currently conducting a Phase 3 development program and multiple Phase 2 clinical trials for REACT in subjects with moderate to severe diabetic kidney disease. We are also conducting a Phase 1 clinical trial for REACT in subjects with congenital anomalies of the kidney and urinary tract (“CAKUT”). REACT has been well tolerated by subjects with moderate to severe diabetic kidney disease in Phase 1 and 2 clinical testing to date. It has also been shown to stabilize renal function in subjects based on measurements of iohexol renal clearance and UACR. REACT has received Regenerative Medicine Advanced Therapy (“RMAT”) designation from the United States Food and Drug Administration (the “FDA”).</w:t>
      </w:r>
    </w:p>
    <w:p>
      <w:pPr>
        <w:spacing w:after="0" w:line="73" w:lineRule="exact"/>
        <w:rPr>
          <w:sz w:val="20"/>
          <w:szCs w:val="20"/>
          <w:color w:val="auto"/>
        </w:rPr>
      </w:pPr>
    </w:p>
    <w:p>
      <w:pPr>
        <w:ind w:right="60" w:firstLine="569"/>
        <w:spacing w:after="0" w:line="250"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entered into the business combination agreement, dated as of January 18, 2022 (the “Business Combination Agreement”) with Social Capital Suvretta Holdings Corp. III (“SCS”), a special purpose acquisition company, on January 18, 2022 (the “Business Combination”). Pursuant to the Business Combination Agreement, and upon the close of the transaction on July 11, 2022, SCS acquired ProKidney LP (“PKLP”) and its subsidiaries. As a result of the closing (the “Closing”) of the Business Combination, SCS’s name was changed to ProKidney Corp. After the Closing, the combined company is organized in an umbrella partnership-C corporation (a so called “Up-C”) structure, and the Company’s direct assets consist of common units in the combined company (“Post-Combination ProKidney Common Units”) and all of the issued and outstanding equity interests of ProKidney Corp. GP Limited (“New GP”), which became the general partner of PKLP upon the Closing. Substantially all of the operating assets and business of the Company is indirectly through PKLP.</w:t>
      </w:r>
    </w:p>
    <w:p>
      <w:pPr>
        <w:spacing w:after="0" w:line="92"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The Business Combination was accounted for as a common control transaction in accordance with accounting principles generally accepted in the United States of America (“GAAP”). Under the guidance in ASC 805, SCS was treated as the “acquired” company for financial reporting purposes. Accordingly, the Business Combination is reflected as the equivalent of PKLP issuing stock</w:t>
      </w: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5" w:name="page26"/>
    <w:bookmarkEnd w:id="25"/>
    <w:p>
      <w:pPr>
        <w:ind w:right="460"/>
        <w:spacing w:after="0" w:line="258" w:lineRule="auto"/>
        <w:rPr>
          <w:sz w:val="20"/>
          <w:szCs w:val="20"/>
          <w:color w:val="auto"/>
        </w:rPr>
      </w:pPr>
      <w:r>
        <w:rPr>
          <w:rFonts w:ascii="Times New Roman" w:cs="Times New Roman" w:eastAsia="Times New Roman" w:hAnsi="Times New Roman"/>
          <w:sz w:val="18"/>
          <w:szCs w:val="18"/>
          <w:color w:val="auto"/>
        </w:rPr>
        <w:t>for the net assets of SCS, accompanied by a recapitalization whereby no goodwill or other intangible assets are recorded. Operations following the Business Combination are those of ProKidney Corp. The Business Combination had a significant impact on our future reported financial position and results as a consequence of the reverse capitalization.</w:t>
      </w:r>
    </w:p>
    <w:p>
      <w:pPr>
        <w:spacing w:after="0" w:line="6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the Company’s two promissory note agreements with certain holders of its Class A Units and related accrued interest. 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Impact of the COVID-19 Pandemic</w:t>
      </w:r>
    </w:p>
    <w:p>
      <w:pPr>
        <w:spacing w:after="0" w:line="10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global COVID-19 pandemic continues to rapidly evolve, and we will continue to monitor the COVID-19 situation closely. 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our ongoing and planned clinical trials.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contract research organizations (“CROs”), and other third parties with whom we do business, as well as its impact on regulatory authorities and our key scientific and management personnel. To the extent possible, we are conducting business as usual, with necessary or advisable modifications to employee travel as some of our employees are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The development of our product candidates could be disrupted and materially adversely affected in the future by the COVID-19 pandemic. Our planned clinical trials also could be delayed due to government orders and site policies on account of the pandemic, and some patients may be unwilling or unable to travel to study sites,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REACT or any future product candidates. Furthermore, COVID-19 could affect our employees or the employees of research sites and service providers on whom we rely, including CROs, as well as those of companies with which we do business, including our suppliers, thereby disrupting our business operations. Quarantines and travel restrictions imposed by governments in the jurisdictions in which we and the companies with which we do business operate could materially impact the ability of employees to access clinical sites, laboratories, manufacturing sites and offices. These and other events resulting from the COVID-19 pandemic could disrupt, delay, or otherwise adversely impact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Trends and Uncertainties</w:t>
      </w:r>
    </w:p>
    <w:p>
      <w:pPr>
        <w:spacing w:after="0" w:line="12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7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although we have no operations in or direct exposure to Russia, Belarus and Ukraine, we have experienced limited constraints in availability and increasing costs required to obtain some materials and supplies due, in part, to the negative impact of the Russia-Ukraine military conflict on the global economy. To date, our business has not been materially impacted by the conflict, however, as the conflict continues or worsens, it may impact our business, financial condition or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REACT.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0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40"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76"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95"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REACT moves into later stages of clinical development.</w:t>
      </w:r>
    </w:p>
    <w:p>
      <w:pPr>
        <w:spacing w:after="0" w:line="16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successful development of REACT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spacing w:after="0" w:line="8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safety-profile;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including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 particularly in light of the current COVID-19 pandemic environment;</w:t>
      </w:r>
    </w:p>
    <w:p>
      <w:pPr>
        <w:spacing w:after="0" w:line="6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0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particularly in light of the current COVID-19 pandemic environment;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REACT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REACT, if approved, whether alone or in collaboration with others;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REACT following approval.</w:t>
      </w:r>
    </w:p>
    <w:p>
      <w:pPr>
        <w:spacing w:after="0" w:line="21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8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and cash equivalents held in financial institutions.</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06" w:lineRule="exact"/>
        <w:rPr>
          <w:sz w:val="20"/>
          <w:szCs w:val="20"/>
          <w:color w:val="auto"/>
        </w:rPr>
      </w:pPr>
    </w:p>
    <w:p>
      <w:pPr>
        <w:ind w:right="420" w:firstLine="509"/>
        <w:spacing w:after="0" w:line="254" w:lineRule="auto"/>
        <w:rPr>
          <w:sz w:val="20"/>
          <w:szCs w:val="20"/>
          <w:color w:val="auto"/>
        </w:rPr>
      </w:pPr>
      <w:r>
        <w:rPr>
          <w:rFonts w:ascii="Times New Roman" w:cs="Times New Roman" w:eastAsia="Times New Roman" w:hAnsi="Times New Roman"/>
          <w:sz w:val="18"/>
          <w:szCs w:val="18"/>
          <w:color w:val="auto"/>
        </w:rPr>
        <w:t>Income tax expense reflects federal and state taxes on income earned by our subsidiary that is organized as a C corporation for U.S. income tax purposes.</w:t>
      </w: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 (in thousands):</w:t>
      </w:r>
    </w:p>
    <w:p>
      <w:pPr>
        <w:spacing w:after="0" w:line="24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19685</wp:posOffset>
            </wp:positionV>
            <wp:extent cx="2854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jc w:val="both"/>
        <w:ind w:left="7120"/>
        <w:spacing w:after="0"/>
        <w:tabs>
          <w:tab w:leader="none" w:pos="8700" w:val="left"/>
          <w:tab w:leader="none" w:pos="101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854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operating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before taxes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9" w:lineRule="exact"/>
        <w:rPr>
          <w:sz w:val="20"/>
          <w:szCs w:val="20"/>
          <w:color w:val="auto"/>
        </w:rPr>
      </w:pPr>
    </w:p>
    <w:p>
      <w:pPr>
        <w:ind w:left="160" w:right="2260" w:hanging="134"/>
        <w:spacing w:after="0" w:line="242" w:lineRule="auto"/>
        <w:rPr>
          <w:sz w:val="20"/>
          <w:szCs w:val="20"/>
          <w:color w:val="auto"/>
        </w:rPr>
      </w:pPr>
      <w:r>
        <w:rPr>
          <w:rFonts w:ascii="Times New Roman" w:cs="Times New Roman" w:eastAsia="Times New Roman" w:hAnsi="Times New Roman"/>
          <w:sz w:val="18"/>
          <w:szCs w:val="18"/>
          <w:color w:val="auto"/>
        </w:rPr>
        <w:t>Net and comprehensive loss before noncontrolling interest</w:t>
      </w:r>
    </w:p>
    <w:p>
      <w:pPr>
        <w:spacing w:after="0" w:line="1" w:lineRule="exact"/>
        <w:rPr>
          <w:sz w:val="20"/>
          <w:szCs w:val="20"/>
          <w:color w:val="auto"/>
        </w:rPr>
      </w:pPr>
    </w:p>
    <w:p>
      <w:pPr>
        <w:ind w:left="340" w:right="2320" w:hanging="134"/>
        <w:spacing w:after="0" w:line="234" w:lineRule="auto"/>
        <w:rPr>
          <w:sz w:val="20"/>
          <w:szCs w:val="20"/>
          <w:color w:val="auto"/>
        </w:rPr>
      </w:pPr>
      <w:r>
        <w:rPr>
          <w:rFonts w:ascii="Times New Roman" w:cs="Times New Roman" w:eastAsia="Times New Roman" w:hAnsi="Times New Roman"/>
          <w:sz w:val="18"/>
          <w:szCs w:val="18"/>
          <w:color w:val="auto"/>
        </w:rPr>
        <w:t>Net loss and comprehensive loss attributable to noncontrolling interest</w:t>
      </w:r>
    </w:p>
    <w:p>
      <w:pPr>
        <w:spacing w:after="0" w:line="1" w:lineRule="exact"/>
        <w:rPr>
          <w:sz w:val="20"/>
          <w:szCs w:val="20"/>
          <w:color w:val="auto"/>
        </w:rPr>
      </w:pPr>
    </w:p>
    <w:p>
      <w:pPr>
        <w:ind w:left="160" w:right="2060" w:hanging="134"/>
        <w:spacing w:after="0" w:line="234" w:lineRule="auto"/>
        <w:rPr>
          <w:sz w:val="20"/>
          <w:szCs w:val="20"/>
          <w:color w:val="auto"/>
        </w:rPr>
      </w:pPr>
      <w:r>
        <w:rPr>
          <w:rFonts w:ascii="Times New Roman" w:cs="Times New Roman" w:eastAsia="Times New Roman" w:hAnsi="Times New Roman"/>
          <w:sz w:val="18"/>
          <w:szCs w:val="18"/>
          <w:color w:val="auto"/>
        </w:rPr>
        <w:t>Net loss and comprehensive loss available to Class A ordinary shareholders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24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26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240" w:type="dxa"/>
            <w:vAlign w:val="bottom"/>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1,581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(29 )</w:t>
            </w:r>
          </w:p>
        </w:tc>
        <w:tc>
          <w:tcPr>
            <w:tcW w:w="42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99"/>
        </w:trPr>
        <w:tc>
          <w:tcPr>
            <w:tcW w:w="440" w:type="dxa"/>
            <w:vAlign w:val="bottom"/>
          </w:tcPr>
          <w:p>
            <w:pPr>
              <w:spacing w:after="0"/>
              <w:rPr>
                <w:sz w:val="24"/>
                <w:szCs w:val="24"/>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(33,945 )</w:t>
            </w:r>
          </w:p>
        </w:tc>
        <w:tc>
          <w:tcPr>
            <w:tcW w:w="420" w:type="dxa"/>
            <w:vAlign w:val="bottom"/>
          </w:tcPr>
          <w:p>
            <w:pPr>
              <w:spacing w:after="0"/>
              <w:rPr>
                <w:sz w:val="24"/>
                <w:szCs w:val="24"/>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(17,142 )</w:t>
            </w:r>
          </w:p>
        </w:tc>
        <w:tc>
          <w:tcPr>
            <w:tcW w:w="4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(16,803 )</w:t>
            </w: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(22,017 )</w:t>
            </w:r>
          </w:p>
        </w:tc>
        <w:tc>
          <w:tcPr>
            <w:tcW w:w="42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(22,017 )</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(11,928 )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(17,142 )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-2056765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-1782445</wp:posOffset>
            </wp:positionV>
            <wp:extent cx="7132320" cy="1783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5920" w:space="720"/>
            <w:col w:w="4580"/>
          </w:cols>
          <w:pgMar w:left="320" w:top="644"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The increase in research and development expenses of approximately $6.4 million was primarily driven by the following:</w:t>
      </w:r>
    </w:p>
    <w:p>
      <w:pPr>
        <w:spacing w:after="0" w:line="117" w:lineRule="exact"/>
        <w:rPr>
          <w:sz w:val="20"/>
          <w:szCs w:val="20"/>
          <w:color w:val="auto"/>
        </w:rPr>
      </w:pPr>
    </w:p>
    <w:p>
      <w:pPr>
        <w:ind w:left="1020" w:right="62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$1.7 million related to equity-based compensation costs due to additional awards granted to employees and other service providers during 2022;</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costs of approximately $2.0 million due to the hiring of additional personnel; and</w:t>
      </w:r>
    </w:p>
    <w:p>
      <w:pPr>
        <w:spacing w:after="0" w:line="7" w:lineRule="exact"/>
        <w:rPr>
          <w:rFonts w:ascii="Times New Roman" w:cs="Times New Roman" w:eastAsia="Times New Roman" w:hAnsi="Times New Roman"/>
          <w:sz w:val="18"/>
          <w:szCs w:val="18"/>
          <w:color w:val="auto"/>
        </w:rPr>
      </w:pPr>
    </w:p>
    <w:p>
      <w:pPr>
        <w:ind w:left="1020" w:right="900" w:hanging="503"/>
        <w:spacing w:after="0" w:line="24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research and development costs of approximately $2.1 million related to additional spending on manufacturing improvements, quality control and professional fees.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general and administrative expenses of approximately $12.1 million was primarily driven by the following:</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professional service fees of approximately $2.0 million incurred in connection with the Business Combination;</w:t>
      </w:r>
    </w:p>
    <w:p>
      <w:pPr>
        <w:spacing w:after="0" w:line="15" w:lineRule="exact"/>
        <w:rPr>
          <w:rFonts w:ascii="Times New Roman" w:cs="Times New Roman" w:eastAsia="Times New Roman" w:hAnsi="Times New Roman"/>
          <w:sz w:val="18"/>
          <w:szCs w:val="18"/>
          <w:color w:val="auto"/>
        </w:rPr>
      </w:pPr>
    </w:p>
    <w:p>
      <w:pPr>
        <w:ind w:left="1020" w:hanging="503"/>
        <w:spacing w:after="0" w:line="24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approximately $4.5 million related to director and officer insurance coverage associated with our operations as a public company and also includes the costs related to a director and officers tail policy with respect to SCS;</w:t>
      </w:r>
    </w:p>
    <w:p>
      <w:pPr>
        <w:spacing w:after="0" w:line="1"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equity-based compensation costs of approximately $2.6 million due to additional awards granted to employees and other service providers during 2022;</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expenses increased approximately $0.7 million due to the hiring of additional personnel; and</w:t>
      </w:r>
    </w:p>
    <w:p>
      <w:pPr>
        <w:spacing w:after="0" w:line="7" w:lineRule="exact"/>
        <w:rPr>
          <w:rFonts w:ascii="Times New Roman" w:cs="Times New Roman" w:eastAsia="Times New Roman" w:hAnsi="Times New Roman"/>
          <w:sz w:val="18"/>
          <w:szCs w:val="18"/>
          <w:color w:val="auto"/>
        </w:rPr>
      </w:pPr>
    </w:p>
    <w:p>
      <w:pPr>
        <w:ind w:left="1020" w:right="380" w:hanging="503"/>
        <w:spacing w:after="0" w:line="24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legal and professional service fees of approximately $1.9 million primarily driven by costs incurred related to operating as a public company.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2022 was relatively consistent with the income tax expense recognized for the three months ended September 30, 2021.</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 (in thousands):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29" w:name="page30"/>
    <w:bookmarkEnd w:id="29"/>
    <w:p>
      <w:pPr>
        <w:ind w:left="7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19685</wp:posOffset>
            </wp:positionV>
            <wp:extent cx="2854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ind w:left="7120"/>
        <w:spacing w:after="0"/>
        <w:tabs>
          <w:tab w:leader="none" w:pos="8700" w:val="left"/>
          <w:tab w:leader="none" w:pos="101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854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operating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before taxes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ind w:left="160" w:right="2260" w:hanging="134"/>
        <w:spacing w:after="0" w:line="242" w:lineRule="auto"/>
        <w:rPr>
          <w:sz w:val="20"/>
          <w:szCs w:val="20"/>
          <w:color w:val="auto"/>
        </w:rPr>
      </w:pPr>
      <w:r>
        <w:rPr>
          <w:rFonts w:ascii="Times New Roman" w:cs="Times New Roman" w:eastAsia="Times New Roman" w:hAnsi="Times New Roman"/>
          <w:sz w:val="18"/>
          <w:szCs w:val="18"/>
          <w:color w:val="auto"/>
        </w:rPr>
        <w:t>Net and comprehensive loss before noncontrolling interest</w:t>
      </w:r>
    </w:p>
    <w:p>
      <w:pPr>
        <w:spacing w:after="0" w:line="1" w:lineRule="exact"/>
        <w:rPr>
          <w:sz w:val="20"/>
          <w:szCs w:val="20"/>
          <w:color w:val="auto"/>
        </w:rPr>
      </w:pPr>
    </w:p>
    <w:p>
      <w:pPr>
        <w:ind w:left="340" w:right="2320" w:hanging="134"/>
        <w:spacing w:after="0" w:line="234" w:lineRule="auto"/>
        <w:rPr>
          <w:sz w:val="20"/>
          <w:szCs w:val="20"/>
          <w:color w:val="auto"/>
        </w:rPr>
      </w:pPr>
      <w:r>
        <w:rPr>
          <w:rFonts w:ascii="Times New Roman" w:cs="Times New Roman" w:eastAsia="Times New Roman" w:hAnsi="Times New Roman"/>
          <w:sz w:val="18"/>
          <w:szCs w:val="18"/>
          <w:color w:val="auto"/>
        </w:rPr>
        <w:t>Net loss and comprehensive loss attributable to noncontrolling interest</w:t>
      </w:r>
    </w:p>
    <w:p>
      <w:pPr>
        <w:spacing w:after="0" w:line="1" w:lineRule="exact"/>
        <w:rPr>
          <w:sz w:val="20"/>
          <w:szCs w:val="20"/>
          <w:color w:val="auto"/>
        </w:rPr>
      </w:pPr>
    </w:p>
    <w:p>
      <w:pPr>
        <w:ind w:left="160" w:right="2060" w:hanging="134"/>
        <w:spacing w:after="0" w:line="234" w:lineRule="auto"/>
        <w:rPr>
          <w:sz w:val="20"/>
          <w:szCs w:val="20"/>
          <w:color w:val="auto"/>
        </w:rPr>
      </w:pPr>
      <w:r>
        <w:rPr>
          <w:rFonts w:ascii="Times New Roman" w:cs="Times New Roman" w:eastAsia="Times New Roman" w:hAnsi="Times New Roman"/>
          <w:sz w:val="18"/>
          <w:szCs w:val="18"/>
          <w:color w:val="auto"/>
        </w:rPr>
        <w:t>Net loss and comprehensive loss available to Class A ordinary shareholders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61,180</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24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61,592</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122,772</w:t>
            </w: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41,401</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(122,772</w:t>
            </w:r>
          </w:p>
        </w:tc>
        <w:tc>
          <w:tcPr>
            <w:tcW w:w="26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(41,401</w:t>
            </w:r>
          </w:p>
        </w:tc>
        <w:tc>
          <w:tcPr>
            <w:tcW w:w="240" w:type="dxa"/>
            <w:vAlign w:val="bottom"/>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1,581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(213 )</w:t>
            </w:r>
          </w:p>
        </w:tc>
        <w:tc>
          <w:tcPr>
            <w:tcW w:w="42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80" w:type="dxa"/>
            <w:vAlign w:val="bottom"/>
          </w:tcPr>
          <w:p>
            <w:pPr>
              <w:spacing w:after="0"/>
              <w:rPr>
                <w:sz w:val="24"/>
                <w:szCs w:val="24"/>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(123,562 )</w:t>
            </w:r>
          </w:p>
        </w:tc>
        <w:tc>
          <w:tcPr>
            <w:tcW w:w="420" w:type="dxa"/>
            <w:vAlign w:val="bottom"/>
          </w:tcPr>
          <w:p>
            <w:pPr>
              <w:spacing w:after="0"/>
              <w:rPr>
                <w:sz w:val="24"/>
                <w:szCs w:val="24"/>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(41,476 )</w:t>
            </w:r>
          </w:p>
        </w:tc>
        <w:tc>
          <w:tcPr>
            <w:tcW w:w="4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(82,086 )</w:t>
            </w:r>
          </w:p>
        </w:tc>
        <w:tc>
          <w:tcPr>
            <w:tcW w:w="0" w:type="dxa"/>
            <w:vAlign w:val="bottom"/>
          </w:tcPr>
          <w:p>
            <w:pPr>
              <w:spacing w:after="0"/>
              <w:rPr>
                <w:sz w:val="1"/>
                <w:szCs w:val="1"/>
                <w:color w:val="auto"/>
              </w:rPr>
            </w:pPr>
          </w:p>
        </w:tc>
      </w:tr>
      <w:tr>
        <w:trPr>
          <w:trHeight w:val="391"/>
        </w:trPr>
        <w:tc>
          <w:tcPr>
            <w:tcW w:w="380" w:type="dxa"/>
            <w:vAlign w:val="bottom"/>
          </w:tcPr>
          <w:p>
            <w:pPr>
              <w:spacing w:after="0"/>
              <w:rPr>
                <w:sz w:val="24"/>
                <w:szCs w:val="24"/>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(22,017 )</w:t>
            </w:r>
          </w:p>
        </w:tc>
        <w:tc>
          <w:tcPr>
            <w:tcW w:w="42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(22,017 )</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(101,545 )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(41,476 )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(60,069 )</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-2056765</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-1782445</wp:posOffset>
            </wp:positionV>
            <wp:extent cx="7132320" cy="17830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600"/>
          </w:cols>
          <w:pgMar w:left="320" w:top="320" w:right="339" w:bottom="1440" w:gutter="0" w:footer="0" w:header="0"/>
          <w:type w:val="continuous"/>
        </w:sectPr>
      </w:pP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research and development expenses of approximately $25.6 million was primarily driven by the following:</w:t>
      </w:r>
    </w:p>
    <w:p>
      <w:pPr>
        <w:spacing w:after="0" w:line="104" w:lineRule="exact"/>
        <w:rPr>
          <w:sz w:val="20"/>
          <w:szCs w:val="20"/>
          <w:color w:val="auto"/>
        </w:rPr>
      </w:pPr>
    </w:p>
    <w:p>
      <w:pPr>
        <w:ind w:left="1020" w:right="14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cost of $14.1 million related to equity-based payments for services rendered by a third-party in prior periods, as the cost of those payments was adjusted to the fair value of the awards issued upon their grant date in the nine months ended September 30, 2022;</w:t>
      </w:r>
    </w:p>
    <w:p>
      <w:pPr>
        <w:ind w:left="1020" w:hanging="503"/>
        <w:spacing w:after="0" w:line="23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equity-based compensation costs of approximately $6.3 million due to additional awards granted to employees during 2022;</w:t>
      </w:r>
    </w:p>
    <w:p>
      <w:pPr>
        <w:ind w:left="1020" w:hanging="503"/>
        <w:spacing w:after="0" w:line="23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depreciation of $0.8 million related to the addition of new equipment during the year;</w:t>
      </w:r>
    </w:p>
    <w:p>
      <w:pPr>
        <w:ind w:left="1020" w:right="280" w:hanging="503"/>
        <w:spacing w:after="0" w:line="24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and recruitment costs of approximately $4.0 million related to the hiring of additional employees in 2022;</w:t>
      </w:r>
    </w:p>
    <w:p>
      <w:pPr>
        <w:spacing w:after="0" w:line="1"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manufacturing improvements of approximately $2.8 million; and</w:t>
      </w:r>
    </w:p>
    <w:p>
      <w:pPr>
        <w:ind w:left="1020" w:right="20" w:hanging="503"/>
        <w:spacing w:after="0" w:line="24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research and development costs related to professional fees, quality control and depreciation of approximately $2.2 million; offset by:</w:t>
      </w:r>
    </w:p>
    <w:p>
      <w:pPr>
        <w:spacing w:after="0" w:line="1" w:lineRule="exact"/>
        <w:rPr>
          <w:rFonts w:ascii="Times New Roman" w:cs="Times New Roman" w:eastAsia="Times New Roman" w:hAnsi="Times New Roman"/>
          <w:sz w:val="18"/>
          <w:szCs w:val="18"/>
          <w:color w:val="auto"/>
        </w:rPr>
      </w:pPr>
    </w:p>
    <w:p>
      <w:pPr>
        <w:ind w:left="1020" w:right="360" w:hanging="503"/>
        <w:spacing w:after="0" w:line="24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cost of clinical trials of approximately $4.9 million related primarily to decreased costs for the Phase 3 trials which were incurring start-up costs in the nine-month period ended September 30, 2021 and decreases in spending for the Phase 2 trials.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general and administrative expenses of approximately $55.8 million was primarily driven by the following:</w:t>
      </w:r>
    </w:p>
    <w:p>
      <w:pPr>
        <w:spacing w:after="0" w:line="104" w:lineRule="exact"/>
        <w:rPr>
          <w:sz w:val="20"/>
          <w:szCs w:val="20"/>
          <w:color w:val="auto"/>
        </w:rPr>
      </w:pPr>
    </w:p>
    <w:p>
      <w:pPr>
        <w:ind w:left="1020" w:right="300" w:hanging="503"/>
        <w:spacing w:after="0" w:line="253"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equity-based compensation of approximately $33.0 million for Class B-1 Units sold at less than their fair value to employees, board members and other service providers of the Company;</w:t>
      </w:r>
    </w:p>
    <w:p>
      <w:pPr>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equity-based compensation expense of approximately $11.2 million which was driven by a modification to the existing awards as well as the grant of additional awards during the nine months ended September 30, 2022;</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expenses of approximately $2.2 million due to the hiring of additional personnel;</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professional service fees of approximately $2.0 million incurred in connection with the Business Combination;</w:t>
      </w:r>
    </w:p>
    <w:p>
      <w:pPr>
        <w:ind w:left="1020" w:hanging="503"/>
        <w:spacing w:after="0" w:line="23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approximately $4.2 million related to director and officer insurance coverage; and</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legal and professional fees of approximately $2.2 million attributable, in part, to operating as a public company.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7"/>
          <w:szCs w:val="17"/>
          <w:color w:val="auto"/>
        </w:rPr>
        <w:t>The increase in income tax expense of approximately $2.1 million for the nine months ended September 30, 2022 as compared to the nine months ended September 30, 2021, was driven primarily by the impact of a provision of the Tax Cuts and Jobs Act of 2017 (the “TCJA”) which became effective for tax years beginning after December 31, 2021. This provision requires specified research and development expenses to be capitalized and amortized ratably over a five-year period and is the primary driver of the income tax expense recognized during the nine months ended September 30, 2022.</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06"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September 30, 2022, we funded our operations primarily through capital contributions from the holders of PKLP prior to the Closing and the proceeds obtained through the Business Combination and related PIPE financing.</w:t>
      </w:r>
    </w:p>
    <w:p>
      <w:pPr>
        <w:spacing w:after="0" w:line="69" w:lineRule="exact"/>
        <w:rPr>
          <w:sz w:val="20"/>
          <w:szCs w:val="20"/>
          <w:color w:val="auto"/>
        </w:rPr>
      </w:pPr>
    </w:p>
    <w:p>
      <w:pPr>
        <w:jc w:val="both"/>
        <w:ind w:right="180" w:firstLine="545"/>
        <w:spacing w:after="0" w:line="258" w:lineRule="auto"/>
        <w:rPr>
          <w:sz w:val="20"/>
          <w:szCs w:val="20"/>
          <w:color w:val="auto"/>
        </w:rPr>
      </w:pPr>
      <w:r>
        <w:rPr>
          <w:rFonts w:ascii="Times New Roman" w:cs="Times New Roman" w:eastAsia="Times New Roman" w:hAnsi="Times New Roman"/>
          <w:sz w:val="18"/>
          <w:szCs w:val="18"/>
          <w:color w:val="auto"/>
        </w:rPr>
        <w:t>We expect that the net proceeds from the Business Combination, together with our existing cash and cash equivalents at September 30, 2022, will enable us to fund our operating expenses and capital expenditure requirements through 2024. We have based this estimate on assumptions that may prove to be wrong and we could exhaust our capital resources sooner than we expect.</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0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REACT;</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 in developing internal manufacturing capabilities;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0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expect to incur additional costs associated with operating as a public company, including significant legal, audit, accounting, investor and public relations, regulatory, tax-related, director and officer insurance premiums and other expenses that we did not incur as a private company.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87"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unitholders.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units. 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Nine Months Ended September 30, 2022 and 2021</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2022 and 2021 (in thousands):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6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6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(1,432 )</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(4,652 )</w:t>
            </w: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548,529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(483 </w:t>
            </w:r>
            <w:r>
              <w:rPr>
                <w:rFonts w:ascii="Times New Roman" w:cs="Times New Roman" w:eastAsia="Times New Roman" w:hAnsi="Times New Roman"/>
                <w:sz w:val="18"/>
                <w:szCs w:val="18"/>
                <w:color w:val="auto"/>
                <w:highlight w:val="white"/>
              </w:rPr>
              <w:t>)</w:t>
            </w: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was approximately $61.2 million for the nine months ended September 30, 2022, reflecting a net loss of approximately $123.6 million and uses driven by changes in working capital of approximately $5.5 million. Such uses were partially offset by non-cash charges of $67.8 million. The non-cash charges primarily consisted of equity-based compensation expense of $65.5 million and depreciation and amortization expense of $2.2 million. The changes in working capital primarily relate to the timing of payments made to our vendors for services performed.</w:t>
      </w:r>
    </w:p>
    <w:p>
      <w:pPr>
        <w:spacing w:after="0" w:line="7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$37.3 million for the nine months ended September 30, 2021, reflecting a net loss of $41.5 million, partially offset by non-cash charges of $1.9 million and a net change of $2.3 million in our net working capital. The non-cash charges primarily consisted of depreciation and amortization of $1.4 million and equity-based compensation expense of $0.5 million.</w:t>
      </w:r>
    </w:p>
    <w:p>
      <w:pPr>
        <w:spacing w:after="0" w:line="61"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approximately $24.0 million increase in cash used in operating activities for the nine months ended September 30, 2022 compared to the nine months ended September 30, 2021 was primarily driven by an increase in net loss after adjusting for the non-cash charges of approximately $16.2 million coupled with the increased use of cash related to the timing of payments to our vendors.</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were approximately $1.4 million and $4.6 million for the nine months ended September 30, 2022 and 2021, respectively, which was primarily due to purchases of equipment and facility expansion.</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$548.5 million and $41.5 million for the nine months ended September 30, 2022 and 2021, respectively. The primarily driver of the financing activities for the nine months ended September 30, 2022 was the proceeds received from the Business Combination. The driver of the financing activities for the 2021 period was the sales of Class A and B-1 Units in PKLP during the period.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9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unaudited condensed consolidated financial statements included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40" w:firstLine="509"/>
        <w:spacing w:after="0" w:line="24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do not currently have any material interest rate exposure.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140" w:firstLine="578"/>
        <w:spacing w:after="0" w:line="244"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September 30, 2022. Based upon that evaluation, our Chief Executive Officer and Chief Financial Officer concluded that, as of September 30, 2022,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7" w:lineRule="exact"/>
        <w:rPr>
          <w:sz w:val="20"/>
          <w:szCs w:val="20"/>
          <w:color w:val="auto"/>
        </w:rPr>
      </w:pPr>
    </w:p>
    <w:p>
      <w:pPr>
        <w:ind w:right="20" w:firstLine="578"/>
        <w:spacing w:after="0" w:line="24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73" w:lineRule="exact"/>
        <w:rPr>
          <w:sz w:val="20"/>
          <w:szCs w:val="20"/>
          <w:color w:val="auto"/>
        </w:rPr>
      </w:pPr>
    </w:p>
    <w:p>
      <w:pPr>
        <w:ind w:right="160" w:firstLine="578"/>
        <w:spacing w:after="0" w:line="250"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ind w:right="80" w:firstLine="578"/>
        <w:spacing w:after="0" w:line="242" w:lineRule="auto"/>
        <w:rPr>
          <w:sz w:val="20"/>
          <w:szCs w:val="20"/>
          <w:color w:val="auto"/>
        </w:rPr>
      </w:pPr>
      <w:r>
        <w:rPr>
          <w:rFonts w:ascii="Times New Roman" w:cs="Times New Roman" w:eastAsia="Times New Roman" w:hAnsi="Times New Roman"/>
          <w:sz w:val="18"/>
          <w:szCs w:val="18"/>
          <w:color w:val="auto"/>
        </w:rPr>
        <w:t>We previously reported a material weakness in our internal control over financial reporting related to the Company’s accounting for complex financial instruments, which condition existed prior to the Closing of the Business Combination. That material weakness has been remediated. There have been no other changes in our internal control over financial reporting during our most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recent fiscal quarter that have materially affected, or are reasonably likely to materially affect, our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08" w:lineRule="exact"/>
        <w:rPr>
          <w:sz w:val="20"/>
          <w:szCs w:val="20"/>
          <w:color w:val="auto"/>
        </w:rPr>
      </w:pPr>
    </w:p>
    <w:p>
      <w:pPr>
        <w:ind w:right="20" w:firstLine="578"/>
        <w:spacing w:after="0" w:line="247"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Registration Statement on Form S-1 filed with the SEC on August 9, 2022 and declared effective on September 8, 2022.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September 30,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2" w:right="4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160" w:type="dxa"/>
            <w:vAlign w:val="bottom"/>
            <w:gridSpan w:val="27"/>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160" w:type="dxa"/>
            <w:vAlign w:val="bottom"/>
            <w:tcBorders>
              <w:bottom w:val="single" w:sz="8" w:color="auto"/>
            </w:tcBorders>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Second Amended &amp; Restated Memorandum and Articles of Association of ProKidney Corp. (incorporated by reference from Exhibit 3.1 to</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8-K filed with the SEC on July 15, 2022) (File No. 001-40560).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Tax Receivable Agreement, dated as of July 11, 2022, by and among ProKidney Corp. (formerly known as Social Capital Suvretta Holdings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Corp. III), the TRA Party Representative (as defined therein) and the TRA Parties (as defined therein) (incorporated by reference from</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Exhibit 10.1 to Form 8-K filed with the SEC on July 15, 2022) (File No. 001-40560).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Exchange Agreement, dated as of July 11, 2022, by and among ProKidney Corp. (formerly known as Social Capital Suvretta Holdings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Corp. III), ProKidney LP, acting through its general partner ProKidney Corp. GP Limited, and certain holders named therein (incorporated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8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by reference from Exhibit 10.2 to Form 8-K filed with the SEC on July 15, 2022) (File No. 001-40560).</w:t>
              </w:r>
            </w:hyperlink>
          </w:p>
        </w:tc>
        <w:tc>
          <w:tcPr>
            <w:tcW w:w="20" w:type="dxa"/>
            <w:vAlign w:val="bottom"/>
            <w:tcBorders>
              <w:bottom w:val="single" w:sz="8" w:color="0000EE"/>
            </w:tcBorders>
          </w:tcPr>
          <w:p>
            <w:pPr>
              <w:spacing w:after="0"/>
              <w:rPr>
                <w:sz w:val="14"/>
                <w:szCs w:val="14"/>
                <w:color w:val="auto"/>
              </w:rPr>
            </w:pPr>
          </w:p>
        </w:tc>
        <w:tc>
          <w:tcPr>
            <w:tcW w:w="252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Lock-up Agreement, dated as of July 11, 2022, by and among ProKidney Corp. (formerly known as Social Capital Suvretta Holdings Corp.</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III), SCS Sponsor III LLC, the Sponsor Key Holders (as defined therein) and the ProKidney Holders (as defined therein) (incorporated by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reference from Exhibit 10.3 to Form 8-K filed with the SEC on July 15, 2022) (File No. 001-40560).</w:t>
              </w:r>
            </w:hyperlink>
          </w:p>
        </w:tc>
        <w:tc>
          <w:tcPr>
            <w:tcW w:w="20" w:type="dxa"/>
            <w:vAlign w:val="bottom"/>
            <w:tcBorders>
              <w:top w:val="single" w:sz="8" w:color="0000FF"/>
              <w:bottom w:val="single" w:sz="8" w:color="0000EE"/>
            </w:tcBorders>
          </w:tcPr>
          <w:p>
            <w:pPr>
              <w:spacing w:after="0"/>
              <w:rPr>
                <w:sz w:val="14"/>
                <w:szCs w:val="14"/>
                <w:color w:val="auto"/>
              </w:rPr>
            </w:pPr>
          </w:p>
        </w:tc>
        <w:tc>
          <w:tcPr>
            <w:tcW w:w="272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Amended and Restated Registration Rights Agreement, dated as of July 11, 2022, by and among ProKidney Corp. (formerly known as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Social Capital Suvretta Holdings Corp. III), SCS Sponsor III LLC, the ProKidney Holders (as defined therein), Marc Semigran, Uma</w:t>
              </w:r>
            </w:hyperlink>
          </w:p>
        </w:tc>
        <w:tc>
          <w:tcPr>
            <w:tcW w:w="480" w:type="dxa"/>
            <w:vAlign w:val="bottom"/>
            <w:gridSpan w:val="17"/>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Sinha,</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Sukumar Nagendran, David Spiegel and the Investor Stockholders (as defined therein) (incorporated by reference from Exhibit 10.4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8-K filed with the SEC on July 15, 2022) (File No. 001-40560).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4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EE"/>
            </w:tcBorders>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Second Amended and Restated Limited Partnership Agreement for a Limited Partnership Called ProKidney LP, dated as of July 11, 2022,</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9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by and among Tolerantia, LLC, Control Empresarial de Capitales, S.A. de C.V., ProKidney Management Equity LLC, ProKidney Corp.</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4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(formerly known as Social Capital Suvretta Holdings Corp. III), ProKidney Corp. GP Limited and ProKidney GP Limited (incorporated</w:t>
              </w:r>
            </w:hyperlink>
          </w:p>
        </w:tc>
        <w:tc>
          <w:tcPr>
            <w:tcW w:w="360" w:type="dxa"/>
            <w:vAlign w:val="bottom"/>
            <w:gridSpan w:val="11"/>
          </w:tcPr>
          <w:p>
            <w:pPr>
              <w:ind w:left="20"/>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reference from Exhibit 10.5 to Form 8-K filed with the SEC on July 15, 2022) (File No. 001-40560).</w:t>
              </w:r>
            </w:hyperlink>
          </w:p>
        </w:tc>
        <w:tc>
          <w:tcPr>
            <w:tcW w:w="282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ProKidney Corp. 2022 Incentive Equity Plan (incorporated by reference from Exhibit 10.11 to Form 8-K filed with the SEC on July 15,</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2022) (File No. 001-40560).</w:t>
              </w:r>
            </w:hyperlink>
          </w:p>
        </w:tc>
        <w:tc>
          <w:tcPr>
            <w:tcW w:w="220" w:type="dxa"/>
            <w:vAlign w:val="bottom"/>
            <w:gridSpan w:val="5"/>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ProKidney Corp. Employee Stock Purchase Plan (incorporated by reference from Exhibit 10.12 to Form 8-K filed with the SEC on July 15,</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2022) (File No. 001-40560).</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940" w:type="dxa"/>
            <w:vAlign w:val="bottom"/>
            <w:tcBorders>
              <w:left w:val="single" w:sz="8" w:color="0000EE"/>
            </w:tcBorders>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Indemnification Agreement, dated as of July 11, 2022, by and among ProKidney Corp. and its directors and executive officers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(incorporated by reference from Exhibit 10.13 to Form 8-K filed with the SEC on July 15, 2022) (File No. 001-40560).</w:t>
              </w:r>
            </w:hyperlink>
          </w:p>
        </w:tc>
        <w:tc>
          <w:tcPr>
            <w:tcW w:w="240" w:type="dxa"/>
            <w:vAlign w:val="bottom"/>
            <w:gridSpan w:val="6"/>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362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1"/>
                <w:szCs w:val="21"/>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80" w:type="dxa"/>
            <w:vAlign w:val="bottom"/>
            <w:gridSpan w:val="11"/>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1"/>
                <w:szCs w:val="21"/>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20" w:type="dxa"/>
            <w:vAlign w:val="bottom"/>
            <w:gridSpan w:val="12"/>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1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4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21"/>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1"/>
                <w:szCs w:val="21"/>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4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September 30, 2022, formatted in iXBRL</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auto"/>
              </w:rPr>
              <w:t>(Inline Extensible Business Reporting Language):  (i) Condensed Consolidated Balance Sheets (unaudited), (ii) Condensed Consolidated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auto"/>
              </w:rPr>
              <w:t>Statements of Operations (unaudited), (iii) Condensed Consolidated Statements of Changes in Redeemable Noncontrolling Interest and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auto"/>
              </w:rPr>
              <w:t>Stockholders’ Deficit (unaudited), (iv) Consolidated Statements of Cash Flows (unaudited) and (v) Notes to Condensed Consolidated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Financial Statements (unaudited), tagged as blocks of text and including detailed tags.</w:t>
            </w:r>
          </w:p>
        </w:tc>
        <w:tc>
          <w:tcPr>
            <w:tcW w:w="0" w:type="dxa"/>
            <w:vAlign w:val="bottom"/>
          </w:tcPr>
          <w:p>
            <w:pPr>
              <w:spacing w:after="0"/>
              <w:rPr>
                <w:sz w:val="1"/>
                <w:szCs w:val="1"/>
                <w:color w:val="auto"/>
              </w:rPr>
            </w:pP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3"/>
                <w:szCs w:val="23"/>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 the quarter ended September 30, 2022, formatted in Inline 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512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5" w:name="page36"/>
    <w:bookmarkEnd w:id="35"/>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39"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Company Name</w:t>
      </w:r>
    </w:p>
    <w:p>
      <w:pPr>
        <w:spacing w:after="0" w:line="19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 /s/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Timothy A. Bertram</w:t>
      </w:r>
    </w:p>
    <w:p>
      <w:pPr>
        <w:ind w:left="6040"/>
        <w:spacing w:after="0" w:line="234" w:lineRule="auto"/>
        <w:rPr>
          <w:sz w:val="20"/>
          <w:szCs w:val="20"/>
          <w:color w:val="auto"/>
        </w:rPr>
      </w:pPr>
      <w:r>
        <w:rPr>
          <w:rFonts w:ascii="Times New Roman" w:cs="Times New Roman" w:eastAsia="Times New Roman" w:hAnsi="Times New Roman"/>
          <w:sz w:val="18"/>
          <w:szCs w:val="18"/>
          <w:color w:val="auto"/>
        </w:rPr>
        <w:t>Title: Chief Executive Officer</w:t>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 /s/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James Coulston</w:t>
      </w:r>
    </w:p>
    <w:p>
      <w:pPr>
        <w:ind w:left="6040"/>
        <w:spacing w:after="0" w:line="234" w:lineRule="auto"/>
        <w:rPr>
          <w:sz w:val="20"/>
          <w:szCs w:val="20"/>
          <w:color w:val="auto"/>
        </w:rPr>
      </w:pPr>
      <w:r>
        <w:rPr>
          <w:rFonts w:ascii="Times New Roman" w:cs="Times New Roman" w:eastAsia="Times New Roman" w:hAnsi="Times New Roman"/>
          <w:sz w:val="18"/>
          <w:szCs w:val="18"/>
          <w:color w:val="auto"/>
        </w:rPr>
        <w:t>Title: Chief Financial Officer</w:t>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A. Bertram,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ProKidney Corp.;</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A. Bertram</w:t>
      </w:r>
    </w:p>
    <w:p>
      <w:pPr>
        <w:ind w:left="6040"/>
        <w:spacing w:after="0" w:line="234"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ProKidney Corp.;</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61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James Coulston</w:t>
      </w:r>
    </w:p>
    <w:p>
      <w:pPr>
        <w:ind w:left="614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A. Bertram</w:t>
      </w:r>
    </w:p>
    <w:p>
      <w:pPr>
        <w:ind w:left="6040"/>
        <w:spacing w:after="0" w:line="234"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p>
      <w:pPr>
        <w:ind w:left="2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80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James Coulston</w:t>
      </w:r>
    </w:p>
    <w:p>
      <w:pPr>
        <w:ind w:left="624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74" Type="http://schemas.openxmlformats.org/officeDocument/2006/relationships/hyperlink" Target="https://www.sec.gov/Archives/edgar/data/1850270/000119312522195148/d285643dex31.htm" TargetMode="External"/><Relationship Id="rId175" Type="http://schemas.openxmlformats.org/officeDocument/2006/relationships/hyperlink" Target="https://www.sec.gov/Archives/edgar/data/1850270/000119312522195148/d285643dex101.htm" TargetMode="External"/><Relationship Id="rId176" Type="http://schemas.openxmlformats.org/officeDocument/2006/relationships/hyperlink" Target="https://www.sec.gov/Archives/edgar/data/1850270/000119312522195148/d285643dex102.htm" TargetMode="External"/><Relationship Id="rId177" Type="http://schemas.openxmlformats.org/officeDocument/2006/relationships/hyperlink" Target="https://www.sec.gov/Archives/edgar/data/1850270/000119312522195148/d285643dex103.htm" TargetMode="External"/><Relationship Id="rId178" Type="http://schemas.openxmlformats.org/officeDocument/2006/relationships/hyperlink" Target="https://www.sec.gov/Archives/edgar/data/1850270/000119312522195148/d285643dex104.htm" TargetMode="External"/><Relationship Id="rId179" Type="http://schemas.openxmlformats.org/officeDocument/2006/relationships/hyperlink" Target="https://www.sec.gov/Archives/edgar/data/1850270/000119312522195148/d285643dex105.htm" TargetMode="External"/><Relationship Id="rId180" Type="http://schemas.openxmlformats.org/officeDocument/2006/relationships/hyperlink" Target="https://www.sec.gov/Archives/edgar/data/1850270/000119312522195148/d285643dex1011.htm" TargetMode="External"/><Relationship Id="rId181" Type="http://schemas.openxmlformats.org/officeDocument/2006/relationships/hyperlink" Target="https://www.sec.gov/Archives/edgar/data/1850270/000119312522195148/d285643dex1012.htm" TargetMode="External"/><Relationship Id="rId182" Type="http://schemas.openxmlformats.org/officeDocument/2006/relationships/hyperlink" Target="https://www.sec.gov/Archives/edgar/data/1850270/000119312522195148/d285643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2022-11-14T09:23:01Z</dcterms:created>
  <dcterms:modified xsi:type="dcterms:W3CDTF">2022-11-14T09:23:01Z</dcterms:modified>
</cp:coreProperties>
</file>