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ectPr>
          <w:pgSz w:w="11900" w:h="16838" w:orient="portrait"/>
          <w:cols w:equalWidth="0" w:num="1">
            <w:col w:w="11240"/>
          </w:cols>
          <w:pgMar w:left="320" w:top="1343" w:right="339" w:bottom="1440" w:gutter="0" w:footer="0" w:header="0"/>
        </w:sectPr>
      </w:pPr>
    </w:p>
    <w:p>
      <w:pPr>
        <w:spacing w:after="0" w:line="3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113" w:lineRule="exact"/>
        <w:rPr>
          <w:sz w:val="24"/>
          <w:szCs w:val="24"/>
          <w:color w:val="auto"/>
        </w:rPr>
      </w:pPr>
    </w:p>
    <w:p>
      <w:pPr>
        <w:jc w:val="center"/>
        <w:ind w:left="3600"/>
        <w:spacing w:after="0"/>
        <w:rPr>
          <w:sz w:val="20"/>
          <w:szCs w:val="20"/>
          <w:color w:val="auto"/>
        </w:rPr>
      </w:pPr>
      <w:r>
        <w:rPr>
          <w:rFonts w:ascii="Times New Roman" w:cs="Times New Roman" w:eastAsia="Times New Roman" w:hAnsi="Times New Roman"/>
          <w:sz w:val="40"/>
          <w:szCs w:val="40"/>
          <w:b w:val="1"/>
          <w:bCs w:val="1"/>
          <w:color w:val="auto"/>
        </w:rPr>
        <w:t>ProKidney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-283210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98-1586514</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40" w:space="300"/>
            <w:col w:w="3300"/>
          </w:cols>
          <w:pgMar w:left="320" w:top="1343"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2000 Frontis Plaza Blvd., Suite 250</w:t>
      </w:r>
    </w:p>
    <w:p>
      <w:pPr>
        <w:spacing w:after="0" w:line="25" w:lineRule="exact"/>
        <w:rPr>
          <w:sz w:val="24"/>
          <w:szCs w:val="24"/>
          <w:color w:val="auto"/>
        </w:rPr>
      </w:pPr>
    </w:p>
    <w:p>
      <w:pPr>
        <w:ind w:left="20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Winston-Salem, NC</w:t>
      </w:r>
      <w:r>
        <w:rPr>
          <w:sz w:val="20"/>
          <w:szCs w:val="20"/>
          <w:color w:val="auto"/>
        </w:rPr>
        <w:tab/>
      </w:r>
      <w:r>
        <w:rPr>
          <w:rFonts w:ascii="Times New Roman" w:cs="Times New Roman" w:eastAsia="Times New Roman" w:hAnsi="Times New Roman"/>
          <w:sz w:val="18"/>
          <w:szCs w:val="18"/>
          <w:b w:val="1"/>
          <w:bCs w:val="1"/>
          <w:color w:val="auto"/>
        </w:rPr>
        <w:t>27103</w:t>
      </w:r>
    </w:p>
    <w:p>
      <w:pPr>
        <w:spacing w:after="0" w:line="43"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ordinary shares,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PROK</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6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2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ordinary shares on The Nasdaq Stock Market on June 30, 2023, was $688,858,985.</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21, 2024, there were 61,621,330 Class A ordinary shares, par value $0.0001 per share and 167,722,201 Class B ordinary shares, par value $0.0001 per share, outstanding.</w:t>
      </w:r>
    </w:p>
    <w:p>
      <w:pPr>
        <w:spacing w:after="0" w:line="2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 w:name="page2"/>
    <w:bookmarkEnd w:id="1"/>
    <w:p>
      <w:pPr>
        <w:spacing w:after="0" w:line="251" w:lineRule="auto"/>
        <w:rPr>
          <w:sz w:val="20"/>
          <w:szCs w:val="20"/>
          <w:color w:val="auto"/>
        </w:rPr>
      </w:pPr>
      <w:r>
        <w:rPr>
          <w:rFonts w:ascii="Times New Roman" w:cs="Times New Roman" w:eastAsia="Times New Roman" w:hAnsi="Times New Roman"/>
          <w:sz w:val="13"/>
          <w:szCs w:val="13"/>
          <w:color w:val="auto"/>
        </w:rPr>
        <w:t>If the Registrant’s Definitive Proxy Statement relating to the 2024 Annual Meeting of Shareholders (the “Proxy Statement”) is filed with the Securities and Exchange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spacing w:after="0" w:line="107" w:lineRule="exact"/>
        <w:rPr>
          <w:sz w:val="20"/>
          <w:szCs w:val="20"/>
          <w:color w:val="auto"/>
        </w:rPr>
      </w:pPr>
    </w:p>
    <w:p>
      <w:pPr>
        <w:ind w:left="100"/>
        <w:spacing w:after="0"/>
        <w:tabs>
          <w:tab w:leader="none" w:pos="1480" w:val="left"/>
          <w:tab w:leader="none" w:pos="3360" w:val="left"/>
          <w:tab w:leader="none" w:pos="4720" w:val="left"/>
          <w:tab w:leader="none" w:pos="6980" w:val="left"/>
          <w:tab w:leader="none" w:pos="84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Raleigh, North Carolina,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1"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83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w w:val="99"/>
              </w:rPr>
              <w:t>Unresolved Staff Comments</w:t>
            </w:r>
          </w:p>
        </w:tc>
        <w:tc>
          <w:tcPr>
            <w:tcW w:w="72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8"/>
              </w:rPr>
              <w:t>Cybersecurity</w:t>
            </w:r>
          </w:p>
        </w:tc>
        <w:tc>
          <w:tcPr>
            <w:tcW w:w="82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8"/>
              </w:rPr>
              <w:t>Properties</w:t>
            </w:r>
          </w:p>
        </w:tc>
        <w:tc>
          <w:tcPr>
            <w:tcW w:w="85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8"/>
              </w:rPr>
              <w:t>Reserved</w:t>
            </w:r>
          </w:p>
        </w:tc>
        <w:tc>
          <w:tcPr>
            <w:tcW w:w="7400" w:type="dxa"/>
            <w:vAlign w:val="bottom"/>
            <w:tcBorders>
              <w:top w:val="single" w:sz="8" w:color="0563C1"/>
            </w:tcBorders>
            <w:gridSpan w:val="19"/>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563C1"/>
            </w:tcBorders>
            <w:gridSpan w:val="18"/>
          </w:tcPr>
          <w:p>
            <w:pPr>
              <w:spacing w:after="0"/>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563C1"/>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Financial Statements and Supplementary Data</w:t>
            </w:r>
          </w:p>
        </w:tc>
        <w:tc>
          <w:tcPr>
            <w:tcW w:w="1020" w:type="dxa"/>
            <w:vAlign w:val="bottom"/>
            <w:tcBorders>
              <w:top w:val="single" w:sz="8" w:color="0563C1"/>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563C1"/>
            </w:tcBorders>
            <w:gridSpan w:val="19"/>
          </w:tcPr>
          <w:p>
            <w:pPr>
              <w:spacing w:after="0"/>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563C1"/>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Executive Compensation</w:t>
            </w:r>
          </w:p>
        </w:tc>
        <w:tc>
          <w:tcPr>
            <w:tcW w:w="2280" w:type="dxa"/>
            <w:vAlign w:val="bottom"/>
            <w:tcBorders>
              <w:top w:val="single" w:sz="8" w:color="0563C1"/>
            </w:tcBorders>
            <w:gridSpan w:val="5"/>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563C1"/>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9"/>
              </w:rPr>
              <w:t>Form 10-K Summary</w:t>
            </w:r>
          </w:p>
        </w:tc>
        <w:tc>
          <w:tcPr>
            <w:tcW w:w="1600" w:type="dxa"/>
            <w:vAlign w:val="bottom"/>
            <w:tcBorders>
              <w:top w:val="single" w:sz="8" w:color="0563C1"/>
            </w:tcBorders>
            <w:gridSpan w:val="5"/>
          </w:tcPr>
          <w:p>
            <w:pPr>
              <w:spacing w:after="0"/>
              <w:rPr>
                <w:sz w:val="18"/>
                <w:szCs w:val="18"/>
                <w:color w:val="auto"/>
              </w:rPr>
            </w:pPr>
          </w:p>
        </w:tc>
        <w:tc>
          <w:tcPr>
            <w:tcW w:w="61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the terms “we”, “us”, “our”, the “Company” and “ProKidney” mean ProKidney Corp. (formerly Social Capital Suvretta Holdings Corp. III) and our subsidiaries. On July 11, 2022 (the “Closing Date”), Social Capital Suvretta Holdings Corp. III, an exempted company registered under the laws of the Cayman Islands (“SCS” and after the Business Combination described herein, the “Company”), consummated a business combination (the “Business Combination”) pursuant to the terms of the Business Combination Agreement, dated as of January 18, 2022 (the “Business Combination Agreement”), by and between SCS and ProKidney LP, a limited partnership (“PKLP”). Pursuant to the Business Combination and the other transactions contemplated by the Business Combination Agreement (collectively, the “Transactions”, and such completion, the “Closing”), PKLP became a subsidiary of SCS, and SCS changed its name to ProKidney Corp.</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Position and Need for Additional Capital</w:t>
      </w:r>
    </w:p>
    <w:p>
      <w:pPr>
        <w:spacing w:after="0" w:line="11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in the absence of any products approved for sale;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capital to continue the development and commercialization of our drug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raising additional capital to our stockholders and the rights of our drug candidates.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Renal Autologous Cell Therapy or rilparencel (“REACT”) and Our Future Product Candidates</w:t>
      </w:r>
    </w:p>
    <w:p>
      <w:pPr>
        <w:spacing w:after="0" w:line="11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of our clinical trials or our inability to receive regulatory approval for our product candidates;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commencement, enrollment and completion of our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preliminary results and the results of early-stage trials to not be duplicated in later stage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unacceptable serious adverse side effects which are determined to be treatment related;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opinion and regulatory scrutiny of cell-based therapies;</w:t>
      </w:r>
    </w:p>
    <w:p>
      <w:pPr>
        <w:spacing w:after="0" w:line="9"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using our financial and human resources to pursue a particular research program for our product candidates and failing to capitalize on programs or product candidates that may be more profitable or for which there is a greater likelihood of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of REACT and Our Future Product Candidates</w:t>
      </w:r>
    </w:p>
    <w:p>
      <w:pPr>
        <w:spacing w:after="0" w:line="11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REACT or other future product candidates to meet development or commercial needs;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expand our own production capabilities;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commitments from third-party manufacturers;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manufacturing a personalized medicine that is patient-specific;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regulatory approval of the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highly complex supply chain process associated with a personalized cell-based therapy;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third parties to provide us with a sufficient supply of materials for use in our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changes made to the formulation or process used in the manufacturing of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manufacturing facility in a state of compliance with global quality standards;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Commercialization of REACT and Our Future Product Candidates</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in the market, if approved by the appropriate regulatory agencies;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sell and market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assumptions of the addressable market for our product candidates may not be correct;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to commercialize products within different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off-label use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or reimbursement for REACT or our other product candidates;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pricing for our product candidates from patients and third-party private and public payors in amounts that are sufficient to allow us to achieve profitability;</w:t>
      </w: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product liability lawsuits;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environmental, health, and safety laws and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Reliance on Third Parties</w:t>
      </w:r>
    </w:p>
    <w:p>
      <w:pPr>
        <w:spacing w:after="0" w:line="11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professional conduct of third parties we rely on to conduct, supervise and monitor certain of our clinical trials;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materials for our research and development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collaborative relationships to further the development of or commercialize our product candidates;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Legal and Regulatory Compliance Matters</w:t>
      </w:r>
    </w:p>
    <w:p>
      <w:pPr>
        <w:spacing w:after="0" w:line="119" w:lineRule="exact"/>
        <w:rPr>
          <w:sz w:val="20"/>
          <w:szCs w:val="20"/>
          <w:color w:val="auto"/>
        </w:rPr>
      </w:pPr>
    </w:p>
    <w:p>
      <w:pPr>
        <w:ind w:left="1020" w:right="6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laws and regulations on our relationships with healthcare professionals, principal investigators, consultants, customers (actual and potential) and third-party payors;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obligations and continued regulatory review for our drug candidates post-commercialization;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cost containment initiatives;</w:t>
      </w:r>
    </w:p>
    <w:p>
      <w:pPr>
        <w:spacing w:after="0" w:line="9"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funding of the Food and Drug Administration (the “FDA”), the Securities and Exchange Commission (the “SEC”) and other government agencies;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marketing and reimbursement regulations in the European Union and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data privacy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political and economic uncertainty relating to our planned international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foreign trade laws;</w:t>
      </w:r>
    </w:p>
    <w:p>
      <w:pPr>
        <w:spacing w:after="0" w:line="9" w:lineRule="exact"/>
        <w:rPr>
          <w:rFonts w:ascii="Times New Roman" w:cs="Times New Roman" w:eastAsia="Times New Roman" w:hAnsi="Times New Roman"/>
          <w:sz w:val="18"/>
          <w:szCs w:val="18"/>
          <w:color w:val="auto"/>
        </w:rPr>
      </w:pPr>
    </w:p>
    <w:p>
      <w:pPr>
        <w:ind w:left="1020" w:right="66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competitive pecuniary interests held by our executive officers, directors, security holders and their respective affiliates;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incorporation under the laws of the 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Intellectual Property</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protect proprietary rights to our intellectual property;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obligations imposed by future license or collaboration arrangements;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disclosure of our trade secrets or other confidential information;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for infringing intellectual property rights or the disclosure of trade secrets of third parties;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necessary intellectual property rights for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to protect or enforce our patents or other intellectual property;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the patent laws in the United States and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term extensions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Our Business and Operations</w:t>
      </w:r>
    </w:p>
    <w:p>
      <w:pPr>
        <w:spacing w:after="0" w:line="11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expanding our operations and managing growth;</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employees, independent contractors, principal investigators, contract research organizations (“CROs”), contract development and manufacturing organization (“CDMOs”), consultants and collaborators in the event that they engage in misconduct or other improper activities;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computer system failures, cyber-attacks or a deficiency in our cyber-security or that of our partners;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failure to comply with health and data protection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 or policy;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becoming subject to taxes in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outcomes resulting from examination of our income or other tax returns;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investors’ substantial influence over our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corporate governance requirements since we are a “controlled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provisions in our governing documents or state law which may delay or prevent our acquisition by a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our “emerging growth company” and “smaller reporting company” statuses;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Organizational Structure</w:t>
      </w:r>
    </w:p>
    <w:p>
      <w:pPr>
        <w:spacing w:after="0" w:line="11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limited liability related to our investment in PKLP;</w:t>
      </w:r>
    </w:p>
    <w:p>
      <w:pPr>
        <w:spacing w:after="0" w:line="27"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intercompany transfer pricing policies or the impact of changes in laws which could increase our effective tax rate or otherwise harm our business;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payments under the Tax Receivable Agreement (as defined and discussed further below);</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 from PKLP to satisfy our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rights of our shareholders as a Cayman Islands exempted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July 11, 2022, we were a blank check company registered under the laws of the Cayman Islands and formed for the purpose of effecting a merger, capital stock exchange, asset acquisition, stock purchase, reorganization or similar business combination with one or more businesses. On July 11, 2022, we completed the Business Combination pursuant to the Business Combination Agreement dated January 18, 2022, that we entered into with PKLP. Upon the completion of the Business Combination, we changed our name to “ProKidney Corp.” and the business of PKLP became our business.</w:t>
      </w:r>
    </w:p>
    <w:p>
      <w:pPr>
        <w:spacing w:after="0" w:line="75"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chronic kidney disease (“CKD”), shifting the emphasis away from management of kidney failure to the preservation, if not improvement, of kidney function. Our lead product candidate, rilparencel, which we sometimes refer to as REACT®, is designed to preserve kidney function in a CKD patient’s diseased kidneys. REACT is a product that includes autologous Selected Renal Cells (“SRC”) prepared from a patient’s own (autologous) kidney cells. SRC are formulated into a product for reinjection into the patient’s kidney using a minimally invasive outpatient procedure that might be repeatable, if necessary. Because REACT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spacing w:after="0" w:line="6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currently conducting a global Phase 3 development program and multiple Phase 2 clinical trials for REACT in subjects with moderate to severe diabetic kidney disease (“DKD”). We also completed a Phase 1 clinical trial for REACT in subjects with CKD due to congenital anomalies of the kidney and urinary tract (“CAKUT”) for which the last subject visit occurred in January 2023 and the clinical study report was submitted to the FDA in December 2023. REACT has, to date, been generally well tolerated by subjects with moderate to severe CKD in Phase 1 and 2 clinical testing.</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patented technology includes multiple breakthroughs in the manufacturing and medical delivery of cellular therapy products. While it has long been accepted that the body contains cells with regenerative power, our technology prepares key progenitor cells, or SRC, by expanding a patient’s own kidney cells for reinjection into the same patient in an attempt to preserve or improve kidney function that is being lost due to chronic diseases. Our process begins when a small piece or biopsy of a patient’s diseased kidney is sent to our manufacturing facility. We are able to process cells taken from the biopsy and select specific cells with a regenerative capacity. These SRC are formulated into a personalized product for reinjection into the damaged kidney(s). To date, clinical studies suggest that REACT has the capacity to, for a time, positively impact kidney function as reflected by stabilizing the estimated glomerular filtration rate (“eGFR”) or attenuating the rate of eGFR decline in patients with CKD caused by type 2 diabetes.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initially pursuing the development of REACT in the United States for use in patients with moderate to severe CKD caused by type 2 diabetes. We estimate that approximately 36-37 million adults, representing approximately 14% of the U.S. adult population, currently suffer from CKD. Chronic kidney disease is segmented into five CKD stages, from mild (CKD stage 1) to severe (CKD stage 5 or kidney failure). With respect to those patients with stage 3b and 4 CKD caused primarily by diabetes, we estimate that approximately 1.2 to 1.8 million patients could be eligible for treatment with REACT in the United States. The phase 3 developmental program includes other countries in North America, Europe, Latin and South America, and Asia Pacific.</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currently operate a manufacturing facility that has been designed to comply with FDA and European Medicines Agency (“EMA”) quality standards and to produce REACT treatments from biopsied material. This facility, based in Winston-Salem, North Carolina, in the United States, has a potential capacity sufficient to supply our global Phase 3 program as well as the first stage of a potential commercial launch, should REACT receive regulatory approval.</w:t>
      </w:r>
    </w:p>
    <w:p>
      <w:pPr>
        <w:spacing w:after="0" w:line="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1"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leveraging our cell therapy technology to develop product candidates designed to stop or delay kidney failure in CKD from diabetes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CAKUT. The following table summarizes our current clinical study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172200" cy="2786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REACT is an investigational therapy that is a mixture of kidney cells prepared from the participant’s own kidney tissue. The initial kidney tissue is obtained by a standard kidney biopsy performed by a specially trained physician. From this tissue, certain kidney cells, which are thought to be important for healing the kidney, are grown and multiplied in a highly specialized laboratory facility. After several weeks, when sufficient cells are available, the REACT preparation of cells is sent back to the clinical trial site where it can be injected directly into the participant’s own kidneys. It is believed that these SRC may help a diseased kidney stabilize or improve function over time, thereby potentially delaying the need for dialysis or transplantation by preserving kidney function.</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Clinical studies suggest that REACT can impact kidney function positively by stabilizing eGFR, or attenuating the rate of eGFR decline, in patients with CKD caused by type 2 diabetes. We have developed a cryopreserved version of REACT that allows for long-term product preservation to be used in our Phase 3 trials of REACT (called REGEN-006 and REGEN-016), as well as our Phase 2 trial of REACT (called REGEN-007), treating patients with CKD caused by type 2 diabetes. In addition to the cryopreserved formulation of REACT, we used a gelatin-based hydrogel formulation in our Phase 2 trials (called RMCL-002 and REGEN-003) and Phase 1 trial in congenital anomalies of the kidney and urinary tract (“CAKUT”) (called REGEN-004). The cryopreserved version of REACT typically allows for preparation of up to 5-10 doses from a single biopsy sample. We have two preclinical programs (called REACT/Gen and REACT/Universal) where we plan to use genetically modified bioactive kidney cell populations to provide regenerative effects to a diseased kidney. The preclinical programs seek to create “universal donor” cell populations where gene editing is used to generate novel kidney cell populations that do not generate an immune response and so can be administered as an “off-the-shelf” product.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Corporate History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an experienced internal research and development team focused on utilizing our deep understanding of kidney disease pathways to discover and develop novel cell-based therapies with a multi-modal mechanism targeting various pathways. Since our founding, we have expanded our team to incorporate additional expertise as needed to pursue our goal of becoming a fully integrated biopharmaceutical company. We have assembled key management team members with expertise in kidney disease, cell therapy, development, regulatory affairs, operations, quality, manufacturing and commercial.</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ProKidney LLC, formerly, a wholly owned subsidiary of PKLP (“ProKidney Bermuda”), was formed in December 2018 as a Bermuda limited liability company and was founded by a group of investors in the pharmaceutical industry.</w:t>
      </w:r>
    </w:p>
    <w:p>
      <w:pPr>
        <w:spacing w:after="0" w:line="54"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ProKidney (formerly known as RegenMed (Cayman) Ltd. (d/b/a inRegen)) (“ProKidney-KY”) was duly incorporated under the Companies Act (as amended) of the Cayman Islands (the “Cayman Islands Companies Act”) on December 21, 2015, as an exempted company. In 2020, ProKidney-KY’s name was changed from RegenMed (Cayman) Ltd. to ProKidney. ProKidney, LLC</w:t>
      </w:r>
    </w:p>
    <w:p>
      <w:pPr>
        <w:spacing w:after="0" w:line="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5" w:right="659" w:bottom="1440" w:gutter="0" w:footer="0" w:header="0"/>
        </w:sectPr>
      </w:pPr>
    </w:p>
    <w:bookmarkStart w:id="8" w:name="page9"/>
    <w:bookmarkEnd w:id="8"/>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(formerly known as Twin City Bio LLC) (“ProKidney-US”) changed its name from Twin City Bio LLC to ProKidney, LLC. ProKidney-US is a Delaware limited liability company formed on December 18, 2015. In January 2019, ProKidney Bermuda acquired all of the equity interests in ProKidney-KY and ProKidney-US.</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ProKidney Bermuda acquired the equity interests in ProKidney-KY to develop its renal autologous cell therapy. ProKidney Bermuda acquired ProKidney-US to provide contractual development and manufacturing services to ProKidney-KY.</w:t>
      </w:r>
    </w:p>
    <w:p>
      <w:pPr>
        <w:spacing w:after="0" w:line="54"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On August 5, 2021, PKLP was organized as a limited partnership under the Limited Partnerships Act, 1907 of Ireland (the “Irish LP Act”), and, as applicable, the Partnership Act 1890, of Ireland, with ProKidney Bermuda becoming a wholly owned subsidiary of PKLP. In September 2021, ProKidney Bermuda distributed its equity interests in ProKidney-KY and ProKidney-US</w:t>
      </w:r>
    </w:p>
    <w:p>
      <w:pPr>
        <w:spacing w:after="0" w:line="1" w:lineRule="exact"/>
        <w:rPr>
          <w:sz w:val="20"/>
          <w:szCs w:val="20"/>
          <w:color w:val="auto"/>
        </w:rPr>
      </w:pPr>
    </w:p>
    <w:p>
      <w:pPr>
        <w:ind w:left="60" w:right="1880"/>
        <w:spacing w:after="0" w:line="260" w:lineRule="auto"/>
        <w:rPr>
          <w:sz w:val="20"/>
          <w:szCs w:val="20"/>
          <w:color w:val="auto"/>
        </w:rPr>
      </w:pPr>
      <w:r>
        <w:rPr>
          <w:rFonts w:ascii="Times New Roman" w:cs="Times New Roman" w:eastAsia="Times New Roman" w:hAnsi="Times New Roman"/>
          <w:sz w:val="18"/>
          <w:szCs w:val="18"/>
          <w:color w:val="auto"/>
        </w:rPr>
        <w:t>to PKLP with the effect that ProKidney-KY and ProKidney-US became direct wholly-owned subsidiaries of PKLP. ProKidney Bermuda was dissolved in October of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References to “ProKidney” or the “Company” generally refer to PKLP after its reorganization and to ProKidney Corp. following the Closing.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goal is to become a fully integrated biopharmaceutical company pioneering treatments for CKD. Key components of our business strategy include the following:</w:t>
      </w:r>
    </w:p>
    <w:p>
      <w:pPr>
        <w:spacing w:after="0" w:line="171" w:lineRule="exact"/>
        <w:rPr>
          <w:sz w:val="20"/>
          <w:szCs w:val="20"/>
          <w:color w:val="auto"/>
        </w:rPr>
      </w:pPr>
    </w:p>
    <w:p>
      <w:pPr>
        <w:ind w:left="1320" w:hanging="472"/>
        <w:spacing w:after="0" w:line="254"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Obtain regulatory approval for, and successfully commercialize, REACT, initially as a treatment for patients with CKD caused by type 2 diabetes. </w:t>
      </w:r>
      <w:r>
        <w:rPr>
          <w:rFonts w:ascii="Times New Roman" w:cs="Times New Roman" w:eastAsia="Times New Roman" w:hAnsi="Times New Roman"/>
          <w:sz w:val="18"/>
          <w:szCs w:val="18"/>
          <w:color w:val="auto"/>
        </w:rPr>
        <w:t>We intend to continue to pursue the clinical development of REACT through a global Phase 3 clinical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that has been reviewed by both the EMA and the FDA. We activated the first site for our first Phase 3 clinical trial, REGEN-006 (which we also call “PROACT 1”), in the fourth quarter of 2021 with the first Informed Consent Form signed and the first subject randomized into the trial in the first quarter of 2022. The Company plans to submit protocol amendments for this study to regulatory agencies in early 2024 and anticipates resuming enrollment of subjects during the first half of 2024. Our second Phase 3 trial, REGEN-016 (which we also call “PROACT 2”), is expected to have site activations throughout 2024. Enrollment for REGEN-016 is anticipated to begin in the second half of 2024. A long-term follow-up trial, REGEN-008, for subjects who received REACT as part of our trials, launched in the fourth quarter of 2023.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20" w:right="20" w:hanging="472"/>
        <w:spacing w:after="0" w:line="257"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 and develop additional product candidates for the treatment of kidney diseases utilizing our cell therapy approach.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has extensive experience in discovery research and deep expertise in kidney disease. While executing its primary mission to develop and commercialize REACT, our team will investigate additional disease pathways associated with kidney disease, identify key targets for intervention and generate product candidates against these targets. We may also in-license from, collaborate with, or acquire third parties to develop product candidates that we, based on our understanding of kidney diseases and pathways, believe are promising therapeutics.</w:t>
      </w:r>
    </w:p>
    <w:p>
      <w:pPr>
        <w:spacing w:after="0" w:line="209" w:lineRule="exact"/>
        <w:rPr>
          <w:rFonts w:ascii="Times New Roman" w:cs="Times New Roman" w:eastAsia="Times New Roman" w:hAnsi="Times New Roman"/>
          <w:sz w:val="18"/>
          <w:szCs w:val="18"/>
          <w:color w:val="auto"/>
        </w:rPr>
      </w:pPr>
    </w:p>
    <w:p>
      <w:pPr>
        <w:ind w:left="1320" w:right="20" w:hanging="472"/>
        <w:spacing w:after="0" w:line="257"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Maintain and continually refine our sophisticated internal expertise in manufacturing our products</w:t>
      </w:r>
      <w:r>
        <w:rPr>
          <w:rFonts w:ascii="Times New Roman" w:cs="Times New Roman" w:eastAsia="Times New Roman" w:hAnsi="Times New Roman"/>
          <w:sz w:val="18"/>
          <w:szCs w:val="18"/>
          <w:color w:val="auto"/>
        </w:rPr>
        <w:t>. We have developed and built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facility, intended to be operated in compliance with current good manufacturing practices (“cGMP”), in which we manufacture REACT for clinical trials and plan to continue to develop for purposes of the eventual commercial manufacturing process, assuming receipt of necessary regulatory approvals. Our current manufacturing facility is capable of manufacturing product for our Phase 3 clinical trials and could serve as our commercial launch facility. We anticipate expanding our manufacturing footprint to meet demand for REACT upon commercialization.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Kidney Disease Overview</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CKD is highly prevalent in the United States and European Union. Based on available U.S. data from the 2018 National Health and Nutritional Examination Survey, we expect the aggregate CKD population in the United States and European Union to grow from approximately 70 million in 2020 to approximately 80 million in 2030 and approximately 93 million in 2040. The most common causes of CKD among adults are diabetes, hypertension, and glomerular disease, and in the pediatric population, CAKUT. In the United States, it is believed that approximately 3.2 million patients per year suffer from stage 3b or 4 CKD and 1.2 to 1.8 million of those patients could be eligible for treatment with REACT.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Working to Preserve Kidney Function through Autologous Cell Therapy</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Autologous cell therapy refers to the prevention or treatment of human disease by administering a person’s own cells that have been selected, multiplied and formulated outside the body and subsequently injected into the body of the patient from whom the cells were derived. We believe that our technology has the potential to preserve kidney function by using a patient’s own SRC.</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REACT is an autologous homologous cell admixture, which means it is made from expanded SRC obtained from each individual subject’s own kidney biopsy tissue.</w:t>
      </w: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9" w:name="page10"/>
    <w:bookmarkEnd w:id="9"/>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Preparing REACT begins when a biopsy of the diseased kidney is sent to our laboratory where the kidney cells are expanded and SRC selected. We are able to identify the patient’s own healthy progenitor cells and formulate them into a personalized product. SRC are formulated into a cryopreserved product at a concentration of approximately 100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cells/mL and shipped frozen to the clinical site where they can be injected into the cortex of the damaged kidney of the patient. Due to one severe bleed that occurred during an early REACT injection procedure, we switched to the use of a noncutting needle design for the REACT procedure. Based on preclinical studies, when the manufactured REACT product is injected into the cortex of the diseased kidney, the product’s progenitor cells rapidly distribute throughout the kidney and integrate into the damaged nephrons and interstitium. To date, clinical studies suggest that treatment with REACT in patients with CKD caused by type 2 diabetes may positively impact kidney function by stabilizing eGFR or attenuating the rate of eGFR decline. Other improvements observed with preclinical and clinical REACT treatment include metabolic, as well as filtration benefits, stabilization and/or reduction in UACR, increased kidney cortical thickness, improved hemoglobin levels, and improvements in calcium phosphate and vitamin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445770</wp:posOffset>
            </wp:positionV>
            <wp:extent cx="4543425" cy="2640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4342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Mechanism of Action of REACT</w:t>
      </w:r>
    </w:p>
    <w:p>
      <w:pPr>
        <w:spacing w:after="0" w:line="12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Engraftment of SRC is believed to provide the molecular and mechanistic basis for activation of endogenous renal repair mechanisms that are still active in the chronically diseased kidney. Non-clinical studies in multiple animal models of CKD have demonstrated that SRC injected directly into the kidney cortex were capable of effecting a regenerative response in multiple locations of the nephron through direct engraftment or tissue replacement and through a putative paracrine mechanism involving the effect of secreted factors. In animal models of CKD, treatment with SRC preserved kidney function, reduced proteinuria and provided a significant survival benefit. Additionally, there is evidence from preclinical models suggesting that injected SRC may augment other important kidney functions related to bone and mineral metabolism and hematopoiesis. In animal models of CKD, SRC have been shown to minimize the development of osteoclastic bone resorption, which is characteristically due to secondary hyperparathyroidism in CKD, and improve cellularity in marrow related to red blood cell production.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REACT is currently in Phase 3 development, as well as ongoing Phase 2 clinical trials, for the treatment of moderate to severe CKD caused by type 2 diabetes. These trials are planned to be conducted at approximately 150 clinical sites based in the United States, Europe, Asia and Latin America. To date, clinical studies in participants with CKD caused by type 2 diabetes suggest that treatment with REACT may delay or prevent renal replacement therapy (“RRT”) by stabilizing eGFR. Other potential improvements observed with REACT in earlier studies include stabilization in UACR, increased kidney cortical thickness, improvement in serum bicarbonate, and stabilization of hemoglobin levels. The potential benefits of REACT will be evaluated in the phase 3 program which includes two adequate and controlled clinical trials.</w:t>
      </w:r>
    </w:p>
    <w:p>
      <w:pPr>
        <w:spacing w:after="0" w:line="79" w:lineRule="exact"/>
        <w:rPr>
          <w:sz w:val="20"/>
          <w:szCs w:val="20"/>
          <w:color w:val="auto"/>
        </w:rPr>
      </w:pPr>
    </w:p>
    <w:p>
      <w:pPr>
        <w:ind w:right="200" w:firstLine="554"/>
        <w:spacing w:after="0" w:line="257" w:lineRule="auto"/>
        <w:rPr>
          <w:sz w:val="20"/>
          <w:szCs w:val="20"/>
          <w:color w:val="auto"/>
        </w:rPr>
      </w:pPr>
      <w:r>
        <w:rPr>
          <w:rFonts w:ascii="Times New Roman" w:cs="Times New Roman" w:eastAsia="Times New Roman" w:hAnsi="Times New Roman"/>
          <w:sz w:val="18"/>
          <w:szCs w:val="18"/>
          <w:color w:val="auto"/>
        </w:rPr>
        <w:t>The ongoing clinical development program utilizes a percutaneous injection method into the kidney that is conducted using conscious sedation in an outpatient same-day procedure. The procedure appears to be generally well tolerated with the most commonly observed procedure related events including nausea, vomiting, fever, and hematuria with kidney biopsy. In the RMCL-002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t>trial, which used a different formulation of the REACT product and a different procedure from that presently used in our Phase 3 trials, one participant experienced serious adverse events that included scarring or fibrosis and a decrease in kidney function. A second participant experienced decreased kidney blood flow observed on contrast-enhanced computerized tomography (“CT”) imaging and a decrease in kidney function. Serious adverse events, including injection-related pain, kidney-related events such as hematoma, renal vascular events, eGFR decline and acute kidney injury, have also been reported. Other serious adverse events, including acute myocardial infarction, acute respiratory failure, end stage renal disease, and coronary artery disease have been reported and are generally associated with the co-morbidities of patients with type 2 diabetes.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Unmet Need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Kidney Disease</w:t>
      </w:r>
    </w:p>
    <w:p>
      <w:pPr>
        <w:spacing w:after="0" w:line="119"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CKD is characterized by progressive disease that, without therapeutic intervention, will worsen until the afflicted person dies or reaches end-stage renal disease (“ESRD”). CKD patients have progressive damage and loss of function in their kidneys, evidenced by decreased eGFR and / or increased excretion of urinary albumin, as observed through laboratory testing. The global adult prevalence of CKD is estimated to be 10% with ranges of 8-16% in various populations. CKD is often associated with considerable comorbidities, such as diabetes, and is often accompanied by adverse outcomes due to underlying disease states and/or risk factors such as cardiovascular disease, hypertension and diabetes, causing an increased risk of mortality. Ninety-seven percent of patients with moderate to severe CKD have asymptomatic disease, and this stage of CKD is associated with a two-to four-fold rise in cardiovascular disease risk, along with a significant increase in all-cause mortality. Only a small proportion of CKD patients progress to ESRD (i.e., Stage 5 disease), but the increasing life expectancy of humans has led to growing numbers of patients with chronic diseases and end-stage organ failure. Even with costly treatments, patients with ESRD experience substantial morbidity and mortality. To survive, ESRD patients require renal replacement therapy (RRT) with peritoneal dialysis, hemodialysis or kidney transplantation. Preventing or delaying progression of CKD, delaying the onset of medical complications and treating comorbidities are key strategies for CKD management. Approved therapies for patients with CKD have been shown to delay CKD progression in some patients. However, many patients continue to lose kidney function and progress to ESRD.</w:t>
      </w:r>
    </w:p>
    <w:p>
      <w:pPr>
        <w:spacing w:after="0" w:line="82" w:lineRule="exact"/>
        <w:rPr>
          <w:sz w:val="20"/>
          <w:szCs w:val="20"/>
          <w:color w:val="auto"/>
        </w:rPr>
      </w:pPr>
    </w:p>
    <w:p>
      <w:pPr>
        <w:ind w:right="440" w:firstLine="509"/>
        <w:spacing w:after="0" w:line="228" w:lineRule="auto"/>
        <w:rPr>
          <w:sz w:val="20"/>
          <w:szCs w:val="20"/>
          <w:color w:val="auto"/>
        </w:rPr>
      </w:pPr>
      <w:r>
        <w:rPr>
          <w:rFonts w:ascii="Times New Roman" w:cs="Times New Roman" w:eastAsia="Times New Roman" w:hAnsi="Times New Roman"/>
          <w:sz w:val="18"/>
          <w:szCs w:val="18"/>
          <w:color w:val="auto"/>
        </w:rPr>
        <w:t>The major causes of CKD in adults are diabetes and hypertension. Nearly half of all CKD cases arise from diabetes, with or without hypertension. The incidence of CKD continues to increase and is primarily due to the increased worldwide incidence of type 2 diabetes and metabolic syndrome. Staging and grading of kidney function relies upon eGFR and urine measurement of albumin excretion (“albuminuria”). KDIGO 2012 Clinical Practice Guideline for the Evaluation and Management of Chronic Kidney Disease provided guidelines intended to aid general practitioners and nephrologists in the evaluation, classification, and management of CKD in both adults and children. As set forth below, Figure 1 categorizes the risk of ESRD from “low” to “very high” based on both eGFR measurements, ranging from &gt;90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&lt;30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albuminuria classifications ranging from &lt;30 mg/g to &gt;300 mg/g. Chronic kidney failure occurs when eGFR is &lt; 15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for 3 or more months, and is often treated by dialysis or kidney transplantation.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Classification Estimates for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156845</wp:posOffset>
            </wp:positionV>
            <wp:extent cx="4603115" cy="3197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0311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Treatment of patients with CKD focuses on treating comorbidities (such as diabetes and hypertension) and medical complications, reducing cardiovascular risk, slowing decline of kidney function and preparing for kidney failure or kidney replacement therapy. For many patients, CKD occurs as part of a complex comorbidity cluster including cardiovascular disease and type 2 diabetes.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Pharmacological therapy may include the administration of any or all of the following: angiotensin converting enzyme inhibitors and/or angiotensin receptor blockers, sodium-glucose cotransporter-2 (SGLT-2) inhibitors, nonsteroidal mineralocorticoid receptor antagonists, insulin and/or anti-diabetic agents for glycemic control and lipid lowering therapy.</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When a patient reaches ESRD, RRT in the form of kidney dialysis or transplantation is generally required to prolong life. The vast majority of dialysis patients in the United States and certain other developed countries receive dialysis primarily in the form of hemodialysis, peritoneal dialysis or home hemodialysis. Dialysis removes toxins that accumulate in the absence of normally functioning kidneys; dialysis also helps to restore fluid and electrolyte balance when kidneys fail. Hemodialysis has been associated with multiple, serious complications as well as interference with quality of life. Although kidney transplantation currently remains the most effective form of RRT for ESRD, there is a chronic shortage of organs. If a patient can secure a kidney for transplantation, long-term immunosuppressive therapy is required to prevent rejection. Use of immunosuppresants results in a higher incidence of infection and, over the long term, some types of cancer. And while xenotransplantation might be a promising alternative approach in the future to bridge the gap between the supply and demand of human organs, tissues, and cells, immunological barriers are limiting factors in clinical xenotransplantation at the current time.</w:t>
      </w:r>
    </w:p>
    <w:p>
      <w:pPr>
        <w:spacing w:after="0" w:line="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While patients continue to lose kidney function while on existing therapies, the cost of CKD treatment is high and the rates of CKD and ESRD, along with the associated expenditures, are expected to continue to rise. A major source of healthcare expenditure in the United States, the annual Medicare spend on beneficiaries with CKD is approximately $86 billion. Medicare spend on beneficiaries with ESRD is approximately $52 billion, with Medicare Advantage comprising approximately $18 billion, with total annual cost per patient on dialysis exceeding $95,000.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0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completed clinical trials and currently ongoing clinical trials of REACT are summarized below; the name of the product candidate tested in the trials was changed after completion of some of the trials from Neo-Kidney Augment (“NKA”) to REACT.</w:t>
      </w:r>
    </w:p>
    <w:p>
      <w:pPr>
        <w:spacing w:after="0" w:line="40"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summary below also includes interim results which are based on a preliminary analysis of then available data, the results, related findings and conclusions of which are subject to change following a more comprehensive review of the data related to the specific trial. In particular, we announced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interim results from our ongoing RMCL-002 Phase 2 clinical trial in November 2023. We submitted final results from our completed REGEN-003 Phase 2 clinical trial and REGEN-004 Phase 1</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78" w:right="59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clinical trial to the FDA in late 2023. We have initiated enrollment of REGEN-006 Phase 3 clinical trial and the REGEN-016 Phase 3 clinical trial is expected to commence in 2024. Interim results from clinical trials that we may complete are not necessarily indicative of results from future data and are subject to the risk that one or more of the clinical outcomes may materially change as more patient data become available. Preliminary or topline results also remain subject to audit and verification procedures that may result in the final data being materially different from any preliminary data that we may previously publish. As a result, interim and preliminary data should be viewed with caution until the final data are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CKD Caused by Diabetes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Development (TNG-CL010 and TNG-CL011)</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TNG-CL010 was an open-label safety and delivery optimization study of REACT (formerly known as NKA) conducted in Sweden in subjects with CKD. TNG-CL010 commenced in April 2013 and completed in December 2014. TNG-CL011 was also an open-label safety and delivery optimization study of REACT in subjects with CKD caused by type 2 diabetes and CKD conducted in the United States. TNG-CL011 commenced with first subject enrolled in February 2014 and completed in December 2014.</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these trials was to assess the safety and delivery of REACT when injected into one kidney. Six subjects from Sweden (TNG-CL010) and one from the United States with CKD caused by type 2 diabetes, ranging in age from 53-70 years, eGFR levels between 19-34 (average 25 +/- 2, Cystatin C) and iohexol clearance of 15-39 (average 26 +/- 3), were enrolled. One subject with CKD caused by type 2 diabetes was enrolled in TNG-CL011.</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results from the Phase 1 trials indicate that REACT was well tolerated when administered to the kidney, with no adverse events from REACT. When the decline of kidney function pre-and post- injection were compared, the subjects receiving REACT in this Phase 1 trial had an imputed delay in dialysis of approximately 1.5 years beyond the standard of care based on a reduced rate of decline in eGFR from pre-injection baseline. Cortical thickness increased in the injected kidney from an average of 14 mm at time of injection to approximately 16 mm after one year. Kidney function was preserved following the REACT injection by iohexol clearance and based on the subjects’ ACRs. Subjects with a baseline anemia (n = 3 of 7) showed improved hemoglobin levels after REACT injection, and the remaining subjects maintained normal levels during the study. Antihypertensive medication was reduced in three of six subjects during the first six months following injection with REACT.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data from TNG-CL011 were accepted by FDA as part of a clinical data package submitted to progress to Phase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Clinical Development (RMCL-001, RMCL-002, REGEN-003, and REGEN-007)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RMCL-001:</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RMCL-001 is a Phase 2, open-label safety and efficacy study of REACT in subjects with CKD caused by type 2 diabetes. The study commenced in May 2016 and ended in May 2017.</w:t>
      </w:r>
    </w:p>
    <w:p>
      <w:pPr>
        <w:spacing w:after="0" w:line="54"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7"/>
          <w:szCs w:val="17"/>
          <w:color w:val="auto"/>
        </w:rPr>
        <w:t>The primary objective of this study was to assess the safety and efficacy of a second REACT injection using a minimally invasive percutaneous procedure that was done under conscious sedation as a same-day outpatient procedure. A single subject with an eGFR of 14 ml/min/1.73m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was enrolled from the Phase 1 study (TNG-CL011) described above. The second dose of REACT was manufactured from cryopreserved kidney cells obtained from the Phase 1 kidney biopsy. The subject was administered a dose of 3x10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7"/>
          <w:szCs w:val="17"/>
          <w:color w:val="auto"/>
        </w:rPr>
        <w:t xml:space="preserve"> cells/g-KW</w:t>
      </w:r>
      <w:r>
        <w:rPr>
          <w:rFonts w:ascii="Times New Roman" w:cs="Times New Roman" w:eastAsia="Times New Roman" w:hAnsi="Times New Roman"/>
          <w:sz w:val="23"/>
          <w:szCs w:val="23"/>
          <w:color w:val="auto"/>
          <w:vertAlign w:val="superscript"/>
        </w:rPr>
        <w:t>est</w:t>
      </w:r>
      <w:r>
        <w:rPr>
          <w:rFonts w:ascii="Times New Roman" w:cs="Times New Roman" w:eastAsia="Times New Roman" w:hAnsi="Times New Roman"/>
          <w:sz w:val="17"/>
          <w:szCs w:val="17"/>
          <w:color w:val="auto"/>
        </w:rPr>
        <w:t>. The subject’s eGFR increased to approximately 20 ml/min/1.73m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for a period of eight months, after which the subject experienced a precipitous drop in kidney function and began hemodialysis. The study was terminated by the sponsor of the clinical trial after this subject went onto dialysis and resources were diverted to study RMCL-002.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RMCL-002:</w:t>
      </w:r>
    </w:p>
    <w:p>
      <w:pPr>
        <w:spacing w:after="0" w:line="121"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RMCL-002 is a Phase 2, prospective, randomized, double-arm, deferred treatment, open-label, repeat dose, safety and efficacy study of REACT in subjects with type 2 diabetes and CKD. The first subject was enrolled in this study in February 2017, and all subjects have completed follow-up.</w:t>
      </w:r>
    </w:p>
    <w:p>
      <w:pPr>
        <w:spacing w:after="0" w:line="3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REACT injections given six months apart (up to four weeks after target date) in patients with CKD caused by type 2 diabetes with eGFRs between 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both doses delivered into the biopsied kidney using an outpatient, minimally invasive, percutaneous approach under conscious sedation completed in less than 90 minutes. Patients received two doses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w:t>
      </w:r>
    </w:p>
    <w:p>
      <w:pPr>
        <w:spacing w:after="0" w:line="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Patients were randomized (1:1) to the active treatment group and the deferred treatment group (i.e., the control group) following kidney biopsy. Subjects in the active treatment group received their first REACT injection as soon as the REACT product was manufactured and shipped to the clinical site. After six months (up to four weeks after target date), a second injection was given, as appropriate. In contrast, subjects in the deferred treatment group underwent a 12-month period of observation after kidney biopsy. The deferred treatment group allowed assessment of the rate of change in kidney function and co-morbidities in a nonexposed group compared to the active treatment arm. During this time, they received contemporaneous, standard-of-care</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0" w:right="619" w:bottom="1440" w:gutter="0" w:footer="0" w:header="0"/>
        </w:sectPr>
      </w:pPr>
    </w:p>
    <w:bookmarkStart w:id="13" w:name="page14"/>
    <w:bookmarkEnd w:id="13"/>
    <w:p>
      <w:pPr>
        <w:ind w:right="380"/>
        <w:spacing w:after="0" w:line="261" w:lineRule="auto"/>
        <w:rPr>
          <w:sz w:val="20"/>
          <w:szCs w:val="20"/>
          <w:color w:val="auto"/>
        </w:rPr>
      </w:pPr>
      <w:r>
        <w:rPr>
          <w:rFonts w:ascii="Times New Roman" w:cs="Times New Roman" w:eastAsia="Times New Roman" w:hAnsi="Times New Roman"/>
          <w:sz w:val="18"/>
          <w:szCs w:val="18"/>
          <w:color w:val="auto"/>
        </w:rPr>
        <w:t>therapy for CKD while undergoing follow-up evaluations every three months, similar to subjects in the active treatment group. After 12 months, subjects from the deferred treatment group received up to two REACT injections given six months apart (+/- four weeks of the target date), as appropriate. Consequently, the study design included a randomized control group receiving standard-of-care treatment for the first 12 months and a randomized, active treatment group receiving up to two REACT injections and follow-up evaluations during the same period of time.</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aggregate number of subjects enrolled in the Phase 2 clinical trial was 83. Upon withdrawal and/or replacement of 2 subjects, 81 subjects were enrolled as of December 2020, of which 41 subjects were enrolled into the active treatment group and 42 subjects were enrolled into the deferred treatment group.</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anticipate final results for safety and efficacy to be available in the first half of 2024. The rate of progression of kidney function for the active treatment group, assessed via pre-randomized serial measurements of eGFR over 24 months after the last REACT injection, will be compared to that of the deferred treatment group. In addition, each subject’s baseline rate of eGFR decline, derived from historical and clinical data, will be compared to the individual subject’s rate of eGFR decline through 24 months following the final REACT injection. The rate of progression of kidney function of subjects, if any, who received a single REACT injection may be compared against that of subjects who received two REACT injections. Patients were followed for 24 months after their last REACT injection in part 1 of the trial. An open label extension portion of the study (part 2) was added in February 2021 to follow all subjects for an additional 3 years. Visits will be conducted at 3-month intervals to give a total of 5 years (part 1 + part 2) of follow-up after the last REACT injection.</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Updated interim data from the study were released in November 2023 and included data from the 83 patients enrolled. The interim dataset revealed a safety profile in line with previously reported data from earlier Phase 1 and Phase 2 trials, with tolerability similar to that of a routine kidney biopsy. Overall, the updated trial data demonstrated REACT’s potential for kidney function preservation in patients with advanced CKD caused by type 2 diabetes, with the most notable potential benefit shown in patients who had the highest risk of kidney failure (CKD Stage 4 with moderate to severe albuminuria).</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expect to provide final results for safety and efficacy of RMCL-002 Phase 2 study in the first half of 2024. Results from interim data may not be indicative of results from future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REGEN-003:</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REGEN-003 is a completed Phase 2, prospective open-label, single-arm, safety and tolerability study of REACT in subjects with CKD caused by type 2 diabetes, specifically those with high-risk late Stage 4 DKD. This study enrolled its first patient in March 2018. The early results were published online in January 2023 in the </w:t>
      </w:r>
      <w:r>
        <w:rPr>
          <w:rFonts w:ascii="Times New Roman" w:cs="Times New Roman" w:eastAsia="Times New Roman" w:hAnsi="Times New Roman"/>
          <w:sz w:val="18"/>
          <w:szCs w:val="18"/>
          <w:i w:val="1"/>
          <w:iCs w:val="1"/>
          <w:color w:val="auto"/>
        </w:rPr>
        <w:t>Journal of Blood Purification</w:t>
      </w:r>
      <w:r>
        <w:rPr>
          <w:rFonts w:ascii="Times New Roman" w:cs="Times New Roman" w:eastAsia="Times New Roman" w:hAnsi="Times New Roman"/>
          <w:sz w:val="18"/>
          <w:szCs w:val="18"/>
          <w:color w:val="auto"/>
        </w:rPr>
        <w:t xml:space="preserve"> in a manuscript entitled, “Renal Autologous Cell Therapy (REACT) in Type 2 Diabetes with Late Stage 4 Diabetes-Related Chronic Kidney Disease: Trial Design and Early Analysis” (DOI: doi.org/10.1159/000527582). Clinical study results were submitted to the FDA on September 8, 2023.</w:t>
      </w:r>
    </w:p>
    <w:p>
      <w:pPr>
        <w:spacing w:after="0" w:line="75" w:lineRule="exact"/>
        <w:rPr>
          <w:sz w:val="20"/>
          <w:szCs w:val="20"/>
          <w:color w:val="auto"/>
        </w:rPr>
      </w:pPr>
    </w:p>
    <w:p>
      <w:pPr>
        <w:ind w:right="36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REACT injections given six months apart (up to four weeks after target date) in patients with CKD caused by type 2 diabetes and with eGFRs between 14 and 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delivered into the biopsied kidney using a minimally invasive percutaneous approach that can be delivered under conscious sedation in less than 90 minutes. Subjects have an eGFR of between 14—20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Subjects receive up to two doses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w:t>
      </w:r>
    </w:p>
    <w:p>
      <w:pPr>
        <w:spacing w:after="0" w:line="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This study enrolled a total of ten adults (5 men and 5 women). Following a percutaneous kidney biopsy and ex vivo expansion of SRC that form REACT, the REACT product was injected into the cortex of the biopsied kidney with CT image guidance. Nine participants received two doses of the REACT product at 6-month intervals; one participant received only one injection. A 6-month observation period pre-trial was required to establish a patient’s “own” baseline and rate of CKD progression. There were no cell product-related serious adverse events reported. Serious renal-linked adverse events related to the REACT procedure were reported in three participants, including acute kidney injury, CKD progression, renal arteriovenous fistula and hematomas, each of which required observation without transfusion or angiographic interventions. At the final analysis, median time to dialysis was 19.4 months (interquartile range 13.3-27.9). Two patients (20%) completed the study (24 months after the second injection) without advancing to RRT. One patient died due to complications related to COVID, and an additional subject died due to a myocardial infarction approximately 18 months after enrollment. The results from this study suggest that REACT has the potential to delay dialysis in high-risk Stage 4 and Stage 5 DKD patients.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REGEN-007:</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REGEN-007 is an ongoing Phase 2, prospective, randomized, open-label, repeat dose, two cohort, safety and efficacy study of REACT in subjects with type 1 or 2 diabetes and CKD.</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Cohort 1 is to assess the safety and efficacy of up to two REACT injections given three months apart (up to 60 days after target date) in patients with CKD caused by type 1 and 2 diabetes with eGFRs between 20 and 50</w:t>
      </w: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4" w:name="page15"/>
    <w:bookmarkEnd w:id="14"/>
    <w:p>
      <w:pPr>
        <w:ind w:right="40"/>
        <w:spacing w:after="0" w:line="243" w:lineRule="auto"/>
        <w:rPr>
          <w:sz w:val="20"/>
          <w:szCs w:val="20"/>
          <w:color w:val="auto"/>
        </w:rPr>
      </w:pPr>
      <w:r>
        <w:rPr>
          <w:rFonts w:ascii="Times New Roman" w:cs="Times New Roman" w:eastAsia="Times New Roman" w:hAnsi="Times New Roman"/>
          <w:sz w:val="18"/>
          <w:szCs w:val="18"/>
          <w:color w:val="auto"/>
        </w:rPr>
        <w:t>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delivered into biopsied and non-biopsied contralateral kidneys using a minimally invasive percutaneous approach. Additionally, the primary objective of Cohort 2 is to administer a single REACT injection followed by monitoring and a potential administration of a second REACT injection delivered into the non-biopsied contralateral kidney triggered by a 20% decrease in eGFR and/or a 30% increase in urinary albumin-creatinine ratio (UACR) delivered within approximately 60 days of the trigger being met. In previous Phase 2 studies we injected REACT into the same kidney twice. Based on a generally favorable safety profile observed in previous studies, in REGEN-007 we are now proceeding with the injection of REACT into both kidneys. We expect the data generated by REGEN-007 will enable us to better understand the impact of REACT on kidney function from injections in both kidneys, which is the dosing regimen for our phase 3 study.</w:t>
      </w:r>
    </w:p>
    <w:p>
      <w:pPr>
        <w:spacing w:after="0" w:line="9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By injecting both kidneys, patients have maximal exposure to REACT cells, with the potential to impact a greater proportion of kidney mass. Further, the number of glomeruli (the filtering units of the kidney) that are amenable to regenerative therapy is effectively doubled when injecting both kidneys.</w:t>
      </w:r>
    </w:p>
    <w:p>
      <w:pPr>
        <w:spacing w:after="0" w:line="75" w:lineRule="exact"/>
        <w:rPr>
          <w:sz w:val="20"/>
          <w:szCs w:val="20"/>
          <w:color w:val="auto"/>
        </w:rPr>
      </w:pPr>
    </w:p>
    <w:p>
      <w:pPr>
        <w:jc w:val="both"/>
        <w:ind w:right="60" w:firstLine="509"/>
        <w:spacing w:after="0" w:line="224" w:lineRule="auto"/>
        <w:rPr>
          <w:sz w:val="20"/>
          <w:szCs w:val="20"/>
          <w:color w:val="auto"/>
        </w:rPr>
      </w:pPr>
      <w:r>
        <w:rPr>
          <w:rFonts w:ascii="Times New Roman" w:cs="Times New Roman" w:eastAsia="Times New Roman" w:hAnsi="Times New Roman"/>
          <w:sz w:val="18"/>
          <w:szCs w:val="18"/>
          <w:color w:val="auto"/>
        </w:rPr>
        <w:t>Subjects will receive up to two injections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per dose. The study will enroll subjects between the ages of 30 and 80 with an eGFR &gt;20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Subjects will be randomized (1:1) before kidney biopsy into two cohorts. Cohort 1 will receive the two REACT injections three months apart. Cohort 2 will receive the first REACT injection, and a trigger, as described below, must be met to qualify for the second REACT injection more than three months after the first dose.</w:t>
      </w:r>
    </w:p>
    <w:p>
      <w:pPr>
        <w:spacing w:after="0" w:line="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Each of the subjects in cohort 1 will receive the first REACT injection as soon as the REACT product is manufactured and shipped to the clinical site. After three months, subjects will receive a second injection, as appropriate. Subjects in cohort 2 will also receive one REACT injection as soon as the REACT product is manufactured and shipped to the clinical site. For cohort 2, a second REACT injection will only be administered if a subject meets one or more clinical surrogate marker criteria. The second REACT injection will be administered to subjects in cohort 2 no less than three months after the first injection, within 30 days (up to four weeks after target date) of meeting the re-dose trigger. The re-dose triggers include (1) a 30-day sustained decline in eGFR by at least 20% from baseline and (2) an increase in the baseline UACR of at least 30% greater than 30mg/gram, measured 30 days after the baseline measurement is taken. For all subjects who receive a second injection, the second injection will be administered in the non-biopsied contralateral kidney.</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this time, subjects in cohort 2 will receive contemporaneous, standard-of-care therapy for CKD while undergoing follow-up evaluations at one, 14 (up to 7 days after target date) and 28 days (up to 7 days after target date) following the first injection, and then at three months (up to 10 days after target date) following the first injection, similar to subjects in cohort 1. All subjects will continue with long-term follow-up visits at three month intervals for a period of 18 months following the last injection. In addition, each subject’s baseline rate of kidney decline, based on adequate historical, clinical data obtained 24 months prior to the first REACT injection, will serve as a comparator for monitoring the rate of progression of renal insufficiency over time. The primary efficacy endpoint of REGEN-007 is attenuation of the rate of kidney function decline as indicated by the change from pre-injection baseline value in total (acute + chronic) slope of eGFR over 18 months. The primary safety endpoint is treatment-emergent adverse events through 18 months following the last REACT injection. REGEN-007 is an unblinded study in which cohort 1 patients will receive the same treatment regimen as the patients in our Phase 3 program that are randomized to the active arms.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REGEN-007 may provide some insights regarding the clinical benefit that could be observed in our Phase 3 program.</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enrollment in REGEN-007 with a total of 53 subjects. We anticipate reporting interim data from this study reflecting twelve months of follow-up from a limited number of Cohort 1 patients in mid 2024 and full twelve month data for Cohort 1 in the first half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Clinical Development: PROACT 1 and PROACT 2 (REGEN-006 and REGEN-016):</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made modifications to the Phase 3 trial designs and endpoints, including the following:</w:t>
      </w:r>
    </w:p>
    <w:p>
      <w:pPr>
        <w:spacing w:after="0" w:line="197" w:lineRule="exact"/>
        <w:rPr>
          <w:sz w:val="20"/>
          <w:szCs w:val="20"/>
          <w:color w:val="auto"/>
        </w:rPr>
      </w:pPr>
    </w:p>
    <w:p>
      <w:pPr>
        <w:ind w:left="1320" w:hanging="472"/>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planned sample size from 500 to 600 subjects in both REGEN-006 and REGEN-016;</w:t>
      </w:r>
    </w:p>
    <w:p>
      <w:pPr>
        <w:spacing w:after="0" w:line="252"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increase in UACR of at least 30% and of at least 30 mg/g, using the random urine microalbumin/urine creatinine ratio sustained for 90 days, from the primary composite endpoint for both REGEN-006 and REGEN-016;</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sham control arm and single blind component to the design of REGEN-016 and composite time-to-event composed of:</w:t>
      </w:r>
    </w:p>
    <w:p>
      <w:pPr>
        <w:spacing w:after="0" w:line="252" w:lineRule="exact"/>
        <w:rPr>
          <w:sz w:val="20"/>
          <w:szCs w:val="20"/>
          <w:color w:val="auto"/>
        </w:rPr>
      </w:pPr>
    </w:p>
    <w:p>
      <w:pPr>
        <w:ind w:left="5540" w:right="1260" w:hanging="4017"/>
        <w:spacing w:after="0" w:line="548" w:lineRule="auto"/>
        <w:tabs>
          <w:tab w:leader="none" w:pos="19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00" w:right="599" w:bottom="1440" w:gutter="0" w:footer="0" w:header="0"/>
        </w:sectPr>
      </w:pPr>
    </w:p>
    <w:bookmarkStart w:id="15" w:name="page16"/>
    <w:bookmarkEnd w:id="15"/>
    <w:p>
      <w:pPr>
        <w:ind w:left="1980" w:hanging="457"/>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188" w:lineRule="exact"/>
        <w:rPr>
          <w:rFonts w:ascii="Times New Roman" w:cs="Times New Roman" w:eastAsia="Times New Roman" w:hAnsi="Times New Roman"/>
          <w:sz w:val="18"/>
          <w:szCs w:val="18"/>
          <w:color w:val="auto"/>
        </w:rPr>
      </w:pPr>
    </w:p>
    <w:p>
      <w:pPr>
        <w:ind w:left="1980" w:hanging="457"/>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13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advance the U.S. clinical development program with the benefit of enhanced clarity as to the FDA’s expectations and requirements for a registrational program, including the design of the trials needed for approval, manufacturing assays, and comparability studies, as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REGEN-016/PROACT 2:</w:t>
      </w:r>
    </w:p>
    <w:p>
      <w:pPr>
        <w:spacing w:after="0" w:line="121"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8"/>
          <w:szCs w:val="18"/>
          <w:color w:val="auto"/>
        </w:rPr>
        <w:t>REGEN-016 (PROACT 2) is a planned Phase 3, randomized, blinded, sham control arm, bi-lateral kidney dose, controlled efficacy study of REACT in subjects with Stages 3b and 4 CKD caused by type 2 diabetes (specifically eGFR between 20 ml and 44 ml 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moderate to severe albuminuria (UACR between 300 and 5,000 mg/g)). This study will be conducted in clinical centers in Europe, Latin America, Asia-Pacific and some United States centers.</w:t>
      </w:r>
    </w:p>
    <w:p>
      <w:pPr>
        <w:spacing w:after="0" w:line="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REACT injections given three months apart and delivered into biopsied and non-biopsied contralateral kidneys using a minimally invasive percutaneous approach. Enrolled subjects will be stratified based upon stage of disease and standard of care (e.g., SGLT2 and/or MRA use) and then randomized (1:1) to the treatment group or the “masked” sham control group prior to kidney biopsy. The total planned enrollment is 600 subjects.</w:t>
      </w:r>
    </w:p>
    <w:p>
      <w:pPr>
        <w:spacing w:after="0" w:line="79" w:lineRule="exact"/>
        <w:rPr>
          <w:sz w:val="20"/>
          <w:szCs w:val="20"/>
          <w:color w:val="auto"/>
        </w:rPr>
      </w:pPr>
    </w:p>
    <w:p>
      <w:pPr>
        <w:ind w:right="120" w:firstLine="509"/>
        <w:spacing w:after="0" w:line="237" w:lineRule="auto"/>
        <w:rPr>
          <w:sz w:val="20"/>
          <w:szCs w:val="20"/>
          <w:color w:val="auto"/>
        </w:rPr>
      </w:pPr>
      <w:r>
        <w:rPr>
          <w:rFonts w:ascii="Times New Roman" w:cs="Times New Roman" w:eastAsia="Times New Roman" w:hAnsi="Times New Roman"/>
          <w:sz w:val="18"/>
          <w:szCs w:val="18"/>
          <w:color w:val="auto"/>
        </w:rPr>
        <w:t>Subjects in the treatment group will receive two injections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The study will enroll subjects between the ages of 30 and 80 years of age with an eGFR</w:t>
      </w:r>
      <w:r>
        <w:rPr>
          <w:rFonts w:ascii="Times New Roman" w:cs="Times New Roman" w:eastAsia="Times New Roman" w:hAnsi="Times New Roman"/>
          <w:sz w:val="18"/>
          <w:szCs w:val="18"/>
          <w:u w:val="single" w:color="auto"/>
          <w:color w:val="auto"/>
        </w:rPr>
        <w:t>&gt;2</w:t>
      </w:r>
      <w:r>
        <w:rPr>
          <w:rFonts w:ascii="Times New Roman" w:cs="Times New Roman" w:eastAsia="Times New Roman" w:hAnsi="Times New Roman"/>
          <w:sz w:val="18"/>
          <w:szCs w:val="18"/>
          <w:color w:val="auto"/>
        </w:rPr>
        <w:t>0 and</w:t>
      </w:r>
      <w:r>
        <w:rPr>
          <w:rFonts w:ascii="Times New Roman" w:cs="Times New Roman" w:eastAsia="Times New Roman" w:hAnsi="Times New Roman"/>
          <w:sz w:val="18"/>
          <w:szCs w:val="18"/>
          <w:u w:val="single" w:color="auto"/>
          <w:color w:val="auto"/>
        </w:rPr>
        <w:t>&lt;44</w:t>
      </w:r>
      <w:r>
        <w:rPr>
          <w:rFonts w:ascii="Times New Roman" w:cs="Times New Roman" w:eastAsia="Times New Roman" w:hAnsi="Times New Roman"/>
          <w:sz w:val="18"/>
          <w:szCs w:val="18"/>
          <w:color w:val="auto"/>
        </w:rPr>
        <w:t xml:space="preserve">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REACT injection in approximately 14 weeks following kidney biopsy. After three months, it is intended that a second injection will be given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group will receive contemporaneous, standard-of-care therapy for CKD while undergoing follow-up evaluations at the same time intervals as subjects in the treatment group. All subjects will continue in the study until the global trial end date is announced and an end of study visit is completed.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composite endpoint is the time from first injection to the earliest of:</w:t>
      </w:r>
    </w:p>
    <w:p>
      <w:pPr>
        <w:spacing w:after="0" w:line="239" w:lineRule="exact"/>
        <w:rPr>
          <w:sz w:val="20"/>
          <w:szCs w:val="20"/>
          <w:color w:val="auto"/>
        </w:rPr>
      </w:pPr>
    </w:p>
    <w:p>
      <w:pPr>
        <w:ind w:left="1320" w:hanging="47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252"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34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 recent audit by the Company’s contracted Qualified Person (QP) to evaluate our readiness for release and distribution of REACT in the EU identified certain deficiencies in the documentation of the quality management systems to be addressed prior to release and distribution of product for EU clinical sites. Manufacturing is therefore paused while we optimize our capabilities to meet EU and global standards for our Phase 3 program and prepare for a transition to commercial manufacturing. No safety events have necessitated this pause. We expect PROACT 2 will commence enrollment in the second half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220" w:firstLine="509"/>
        <w:spacing w:after="0" w:line="239"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dose, sham control arm, controlled efficacy study of REACT in subjects with CKD caused by type 2 diabetes. That study protocol is being amended to focus on a subset of patients with Stage 4 CKD (eGFR between 20 ml and 30 ml 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ml and 35 ml 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accompanying albuminuria. This study will be conducted in clinical centers in the United States, Canada, Australia, Mexico, Taiwan and the United Kingdom.</w:t>
      </w:r>
    </w:p>
    <w:p>
      <w:pPr>
        <w:spacing w:after="0" w:line="9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In concert with the Company’s pause of manufacturing to optimize its capabilities to meet EU and global standards for its Phase 3 program and prepare for a transition to commercial manufacturing, and based on the interim data from RMCL-002 and feedback from payer and health technology assessment (HTA) experts, the Company is proactively modifying REGEN-006 to increase probability of success. The Company will modify the eGFR enrollment range from the current range of ≥20 to ≤ 50 ml/min/1.73m2 to a new range of ≥20 to ≤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This modification reflects a focus on patients at highest risk of kidney disease progression. These patients are also of particular interest to payers due to the significant cost burden associated with their medical care. Based on feedback from clinical sites, the Company also intends to incorporate additional administrative changes to improve operational efficiencies and clinical site engagement. No safety issues have required any of these protocol changes. The Company anticipates submitting protocol amendments for this study to regulatory agencies in early 2024 and anticipates resuming enrollment of subjects during the first half of 2024.</w:t>
      </w:r>
    </w:p>
    <w:p>
      <w:pPr>
        <w:spacing w:after="0" w:line="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99" w:right="559" w:bottom="1440" w:gutter="0" w:footer="0" w:header="0"/>
        </w:sectPr>
      </w:pPr>
    </w:p>
    <w:bookmarkStart w:id="16" w:name="page17"/>
    <w:bookmarkEnd w:id="16"/>
    <w:p>
      <w:pPr>
        <w:ind w:right="60" w:firstLine="509"/>
        <w:spacing w:after="0" w:line="263"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REACT injections given three months apart and delivered into biopsied and non-biopsied contralateral kidneys using a minimally invasive percutaneous approach. The originally planned enrollment of 600 total subjects in this study will be increased to include the approximately 85 subjects already enrolled, for a total target enrollment of approximately 685 patients. Subjects in the treatment group will receive two injections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composite endpoint is the time from first injection to the earliest of:</w:t>
      </w:r>
    </w:p>
    <w:p>
      <w:pPr>
        <w:spacing w:after="0" w:line="239" w:lineRule="exact"/>
        <w:rPr>
          <w:sz w:val="20"/>
          <w:szCs w:val="20"/>
          <w:color w:val="auto"/>
        </w:rPr>
      </w:pPr>
    </w:p>
    <w:p>
      <w:pPr>
        <w:ind w:left="1320" w:hanging="472"/>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252"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Subjects will be randomized (1:1) to the treatment group and the “masked” sham control group prior to kidney biopsy.</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REACT injection within about 14 weeks following kidney biopsy. After three months it is intended that a second dose be given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(sham) group will receive contemporaneous, standard-of-care therapy for CKD while undergoing follow-up evaluations at one, 14 and 28 days (+7 days) following the first injection, and then at three months (+10 days) following the first injection, similar to subjects in the treatment group. All subjects will continue in the study until the global trial end date is announced and an end of study visit is completed.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Clinical Development Studies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REGEN-008</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REGEN-008 is an ongoing Phase 3, prospective, open-label, observational master protocol study of REACT in subjects with diabetes and CKD who were previously enrolled and treated with REACT. There are two sub-studies under the REGEN-008 master protocol:</w:t>
      </w:r>
    </w:p>
    <w:p>
      <w:pPr>
        <w:spacing w:after="0" w:line="54"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REGEN-008 sub-study 1 is a multi-center, prospective, non-interventional, long-term observational extension study of participants who were enrolled and dosed in previous interventional clinical studies with the fresh REACT formulation. Participants will be monitored for up to five years.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REGEN-008 sub-study 2 is intended to follow study participants previously treated with the cryopreserved formulation of REACT. Participants will be followed for up to an additional 5 years for this study (60 months) from completion of previous protocol End of Study Visit.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REGEN-015</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Multi-dose study REGEN-015 was a planned Phase 1 open-label study of REACT in subjects with CKD caused by type 1 or type 2 diabetes. The intended purpose of this study was to evaluate the safety of supplemental REACT injections in participants who have previously received REACT treatment. The Company no longer feels that REGEN-015 adds value to the overall clinical development plan and has decided to no longer pursue this study. No patient received REACT and the study will be officially closed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REGEN-004</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REGEN-004 is a completed Phase 1, prospective, open-label, single-arm, safety, tolerability, and early efficacy study of REACT in subjects with CKD from CAKUT.</w:t>
      </w:r>
    </w:p>
    <w:p>
      <w:pPr>
        <w:spacing w:after="0" w:line="54"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REACT injections given six months (up to four weeks after target date) apart and delivered into the biopsied kidney using a minimally invasive percutaneous approach that can be delivered under conscious sedation in less than 90 minutes in patients with CKD with eGFRs between 14 and 50 ml/min/1.73m2 due to CAKUT. Five subjects were enrolled in this trial. Subjects received two doses of REACT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All five subjects received their first injection, and four subjects received both injections. The trial concluded in January 2023 with the last patient, last visit. Small mean decreases from baseline in eGFR were noted at almost all time points during the study.</w:t>
      </w: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17" w:name="page18"/>
    <w:bookmarkEnd w:id="17"/>
    <w:p>
      <w:pPr>
        <w:ind w:firstLine="509"/>
        <w:spacing w:after="0" w:line="237" w:lineRule="auto"/>
        <w:rPr>
          <w:sz w:val="20"/>
          <w:szCs w:val="20"/>
          <w:color w:val="auto"/>
        </w:rPr>
      </w:pPr>
      <w:r>
        <w:rPr>
          <w:rFonts w:ascii="Times New Roman" w:cs="Times New Roman" w:eastAsia="Times New Roman" w:hAnsi="Times New Roman"/>
          <w:sz w:val="18"/>
          <w:szCs w:val="18"/>
          <w:color w:val="auto"/>
        </w:rPr>
        <w:t>Results show that the estimated rate (standard error) of eGFR decline was -0.4 (2.28)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Pre-Injection Period, -2.1 (1.35)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Post-Second Injection Period, and -1.4 (0.93)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Post-Injection Period.</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 results of this study were reported to the FDA in December 2023. The Company is not pursuing this indication further at this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including developers of tubular and glomerular cell drug modulators, e.g., SGLT2 inhibitors, antifibrosis medications, e.g., Mineralocorticoid Receptor Antagonists (“MRAs”), glucose-dependent insulin release stimulators, e.g., GLP-1 agonists,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 With respect specifically to REACT, we expect the key competitive factors affecting its success, if approved, will include the intended patient population, the relative convenience of dosing and administration, and efficacy.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other companies working on medications for controlling CKD, either alone or with their collaboration partners, have significantly greater financial resources and expertise in research and development, pre-clinical testing, clinical trials, manufacturing, and marketing than do we. We believe that our principal competitors include developers of SGLT2 inhibitors, including canagliflozin (marketed as Invokana® by companies including Janssen Pharmaceuticals, Inc.), dapagliflozin (marketed under the brand names Farxiga® and Forxiga® by companies including AstraZeneca plc and Bristol-Myers Squibb Company), and empagliflozin (marketed as Jardiance® by companies including Boehringer Ingelheim and Eli Lilly and Company), and MRAs, which are small-molecule therapies recently approved to lower risks of CKD progression, notably finerenone (marketed as Kerendia® by companies including Bayer AG). Most recently, glucagon-like peptide 1 (GLP-1) agonists, approved for type 2 diabetes and obesity, have been associated with lowering all-cause mortality among patients with type 2 diabetes, advanced-stage CKD and ESRD with strong support from the industry associations, including semaglutide (marketed under the brand names Ozempic®, Rybelsus® and Wegovy® by Novo Nordisk) and tirzepatide (marketed under the brand name Mounjaro® by Eli Lilly and Company). Future collaborations, mergers and acquisitions may result in further resource concentration among a smaller number of competitors.</w:t>
      </w:r>
    </w:p>
    <w:p>
      <w:pPr>
        <w:spacing w:after="0" w:line="8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over the last 20 years we have developed our manufacturing technology for chemistry, manufacturing, and controls (“CMC”). In doing so, we have established a considerable intellectual property estate, combined with extensive manufacturing know-how, to enable us to manufacture REACT with consistent quality.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support from high level manufacturing and regulatory expertise, our internal manufacturing capabilities have enabled us to progress rapidly through our clinical trials. We believe that our current manufacturing capacities enable us to provide sufficient quantities of clinical trial material to supply our clinical trials. As we continue to develop our product candidates, we may need to expand our manufacturing capacities. The manufacturing facilities located in Winston-Salem, North Carolina and the quality systems are intended to be compliant with global quality standards. It typically takes approximately 12 weeks to produce the clinical REACT products. As of the date hereof, our manufacturing team, facilities, and bioprocess capacity have produced over 200 cell therapies.</w:t>
      </w:r>
    </w:p>
    <w:p>
      <w:pPr>
        <w:spacing w:after="0" w:line="7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 recent audit by the Company’s contracted Qualified Person (QP) to evaluate our readiness for release and distribution of REACT in the EU identified certain deficiencies in the documentation of the quality management systems to be addressed prior to</w:t>
      </w:r>
    </w:p>
    <w:p>
      <w:pPr>
        <w:jc w:val="center"/>
        <w:ind w:right="-2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00" w:right="599" w:bottom="1440" w:gutter="0" w:footer="0" w:header="0"/>
        </w:sectPr>
      </w:pPr>
    </w:p>
    <w:bookmarkStart w:id="18" w:name="page19"/>
    <w:bookmarkEnd w:id="18"/>
    <w:p>
      <w:pPr>
        <w:ind w:right="280"/>
        <w:spacing w:after="0" w:line="282" w:lineRule="auto"/>
        <w:rPr>
          <w:sz w:val="20"/>
          <w:szCs w:val="20"/>
          <w:color w:val="auto"/>
        </w:rPr>
      </w:pPr>
      <w:r>
        <w:rPr>
          <w:rFonts w:ascii="Times New Roman" w:cs="Times New Roman" w:eastAsia="Times New Roman" w:hAnsi="Times New Roman"/>
          <w:sz w:val="18"/>
          <w:szCs w:val="18"/>
          <w:color w:val="auto"/>
        </w:rPr>
        <w:t>release and distribution of product for EU clinical sites. Manufacturing is therefore paused while we optimize our capabilities to meet EU and global standards for our Phase 3 program and prepare for a transition to commercial manufacturing. No safety events have necessitated this pause.</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bioprocesses have been reviewed by the FDA and EMA and validation activities are ongoing in anticipation of being commercial-ready for the potential launch of REACT. We plan to expand our manufacturing capacity, as required, to meet the increase in demand.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strategy focuses on scaling up to meet the projected market for REACT if we obtain the necessary regulatory approvals.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intend to improve bioprocess development to further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 planned to be a cryopreserved formulation, which we expect will reduce manufacturing costs compared to our fresh REACT formulation. We expect to leverage bulk purchasing to actively negotiate pricing of materials to further drive cost reductions. However, there can be no assurance that the manufacturing costs for our Phase 3 trials when we manufacture REACT at commercial scale will actually be lower than for our recently completed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For example, we have or are pursuing patents covering the composition of matter for each of our product candidates and we generally pursue patent protection covering methods-of-use for each clinical trial. We may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clinical data exclusivity to compensate for the time required for regulatory approval of our products.</w:t>
      </w:r>
    </w:p>
    <w:p>
      <w:pPr>
        <w:spacing w:after="0" w:line="17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technologies and product candidates. We plan to file additional patent applications based on our intellectual property strategies where appropriate, including where we seek to adapt to competition or to improve business opportunities. Further, we plan to file patent applications, as we consider appropriate under the circumstances, to protect new technologies that we develop.</w:t>
      </w:r>
    </w:p>
    <w:p>
      <w:pPr>
        <w:spacing w:after="0" w:line="15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cover our proprietary technologies, proprietary cell-based REACT product and related methods, such as methods of use, we have filed patent applications representing 19 patent families. As of December 31, 2023, our patent estate, which is solely owned, included 317 total issued patents or pending patent applications with nine issued U.S. patents, ten pending U.S. non-provisional patent applications, five pending U.S. provisional patent applications, two pending Patent Cooperation Treaty (PCT) applications, 172 issued foreign patents and 119 pending foreign patent applications in various foreign jurisdictions.</w:t>
      </w:r>
    </w:p>
    <w:p>
      <w:pPr>
        <w:spacing w:after="0" w:line="1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Specifically, our patent family with claims directed to cells formulated in REACT, implantable constructs, and methods of using the same to, for example, improve kidney function or treat kidney disease, includes 34 issued patents and eight pending patent applications. Patents in this family have been issued in nine jurisdictions, including the United States (three issued patents), Europe (two issued patents, each separately validated in seven countries), China, Japan, and South Korea. Issued patents and any further patents that may be issued from this family’s eight pending applications are expected to expire in 2029 absent any patent term adjustments or extensions.</w:t>
      </w:r>
    </w:p>
    <w:p>
      <w:pPr>
        <w:spacing w:after="0" w:line="1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also own two patent families directed to our REACT formulations and methods of preparing the formulations. Across these families, we have 16 issued patents in multiple jurisdictions, including the United States, China, Japan, South Korea, and Canada. We also have five patent applications that are pending in multiple jurisdictions, including Europe, Canada, Mexico, and Australia. Patents across these two patent families, including any patents that may be issued from the pending applications, are expected to expire between 2031 and 2038, depending upon their respective filing dates and absent any patent term adjustments or extensions.</w:t>
      </w:r>
    </w:p>
    <w:p>
      <w:pPr>
        <w:spacing w:after="0" w:line="1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Additionally, we own two patent families with claims directed to quality control methods for ensuring that renal cells for formulation in REACT, prepared by our proprietary methods, have phenotypic and functional profiles indicative of therapeutic</w:t>
      </w: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9" w:name="page20"/>
    <w:bookmarkEnd w:id="19"/>
    <w:p>
      <w:pPr>
        <w:ind w:right="20"/>
        <w:spacing w:after="0" w:line="254" w:lineRule="auto"/>
        <w:rPr>
          <w:sz w:val="20"/>
          <w:szCs w:val="20"/>
          <w:color w:val="auto"/>
        </w:rPr>
      </w:pPr>
      <w:r>
        <w:rPr>
          <w:rFonts w:ascii="Times New Roman" w:cs="Times New Roman" w:eastAsia="Times New Roman" w:hAnsi="Times New Roman"/>
          <w:sz w:val="18"/>
          <w:szCs w:val="18"/>
          <w:color w:val="auto"/>
        </w:rPr>
        <w:t>activity. Within the first patent family, we have 61 issued patents in various jurisdictions, including the United States (two issued patents), Europe (two issued patents, one of which has been validated in 21 countries and the other has been validated in 20 countries), China (two issued patents), Japan (two issued patents), South Korea (two issued patents), Hong Kong (two issued patents), Australia (two issued patents), and New Zealand (two issued patents). We also have ten patent applications in this family that are pending in multiple jurisdictions, including the United States, Europe, Australia, China, and South Korea. Issued patents, and any further patents that may be issued from this family’s ten pending applications, are expected to expire in 2033 absent any patent term adjustments or extensions. Within our second patent family we have 16 patent applications pending in multiple jurisdictions including the United States, Europe, Japan, China, and Canada. Any patents that issue from these applications are expected to expire in 2041 absent any patent term adjustments or extensions.</w:t>
      </w:r>
    </w:p>
    <w:p>
      <w:pPr>
        <w:spacing w:after="0" w:line="17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further own three patent families directed to methods of improving kidney function and/or in treating kidney disease, e.g., DKD or kidney disease resulting from a congenital anomaly. Across these families, we have three issued patents, including one U.S. patent and 29 pending patent applications filed in 15 jurisdictions, including the United States, Europe, Hong Kong, China, Korea, Japan, Australia, Brazil, Mexico, Israel, Canada, and Mexico. Our issued U.S. patent is expected to expire in 2037 absent any patent term adjustments or extensions. Patents across all three patent families, if issued, are expected to expire between 2036 and 2042, depending upon their respective filing dates and absent any patent term adjustments or extensions.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plan to file additional applications on aspects of our innovations that may have patent terms that extend beyond these dates.</w:t>
      </w:r>
    </w:p>
    <w:p>
      <w:pPr>
        <w:spacing w:after="0" w:line="21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the countries in which we currently file, the patent term is 20 years from the earliest date of filing of a non-provisional patent application, which serves as a priority application. However, the term of a U.S. patent may be extended to compensate for the time required to obtain regulatory approval to sell a medicine (a patent term extension) or by delays encountered during patent prosecution that are caused by the United States Patent and Trademark Office (the “USPTO”) (referred to as patent term adjustment). For example, the Hatch-Waxman Act permits a patent term extension for FDA-approved medicines of up to five years beyond the expiration of the patent. The length of the patent term extension is related to the length of time the medicine is under regulatory review and diligence during the review process. Patent term extensions cannot extend the remaining term of a patent beyond a total of 14 years from the date of product approval and only one patent covering an approved medicine or its method of use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spacing w:after="0" w:line="17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obtain and maintain a proprietary position on our product candidates and technologies will depend on our success in obtaining effective patent claims on these pending patents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Furthermore, our competitors may be able to independently develop and commercialize products with similar mechanisms of action and duplicate our methods of treatments or strategies without infringing our patents. Because of the extensive time required for clinical development and regulatory review of a therapeutic product we may develop, it is possible that, before any of our products can be commercialized, any related patent may expire or remain in force for only a short period following commercialization, thereby reducing any advantage of any such patent. Moreover, even our issued patents do not guarantee us the right to practice our technology in relation to the commercialization of our clinical candidates. The area of patent and other intellectual property rights in pharmaceuticals is an evolving one with many risks and uncertainties, and third parties may have blocking patents that could be used to prevent us from commercializing our clinical candidates.</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obtain and maintain our proprietary position for our product candidates and technology will depend on our success in enforcing the claims that have been granted or may grant. However, any of our patents, including patents that we may rely on to protect our market for approved therapeutics,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countries may diminish our ability to protect our inventions and enforce our intellectual property rights. Accordingly, we cannot predict the breadth or enforceability of claims that have been or may be granted in our patents or in third-party patents.</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4" w:right="5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may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biological products, including cell-based regenerative therapy products, are subject to regulation under the Federal Food, Drug, and Cosmetic Act (the “FD&amp;C Act”), the Public Health Service Act (the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cell-based therapy product must be reviewed by the FDA. FDA approval must be obtained before the marketing of any biological product. The process of obtaining regulatory approvals and the subsequent compliance with appropriate federal, state, local and foreign statutes and regulations requires the expenditure of substantial time and financial resources and we may not be able to obtain the required regulatory approvals.</w:t>
      </w:r>
    </w:p>
    <w:p>
      <w:pPr>
        <w:spacing w:after="0" w:line="8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Ethical, social and legal concerns about gene or cell-based therapies, genetic testing and genetic research could result in additional laws and regulations restricting or prohibiting the processes we may use. Federal and state legislatures, agencies, congressional committees and foreign governments have expressed interest in further regulating biotechnology. More restrictive laws and regulations or interpretations of existing laws or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239" w:lineRule="exact"/>
        <w:rPr>
          <w:sz w:val="20"/>
          <w:szCs w:val="20"/>
          <w:color w:val="auto"/>
        </w:rPr>
      </w:pPr>
    </w:p>
    <w:p>
      <w:pPr>
        <w:ind w:left="1320" w:right="68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 and applicable requirements for the humane use of laboratory animals or other applicable regulations;</w:t>
      </w:r>
    </w:p>
    <w:p>
      <w:pPr>
        <w:spacing w:after="0" w:line="188" w:lineRule="exact"/>
        <w:rPr>
          <w:rFonts w:ascii="Times New Roman" w:cs="Times New Roman" w:eastAsia="Times New Roman" w:hAnsi="Times New Roman"/>
          <w:sz w:val="18"/>
          <w:szCs w:val="18"/>
          <w:color w:val="auto"/>
        </w:rPr>
      </w:pPr>
    </w:p>
    <w:p>
      <w:pPr>
        <w:ind w:left="1320" w:right="42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(“IND”) application which must become effective before human clinical trials may begin;</w:t>
      </w:r>
    </w:p>
    <w:p>
      <w:pPr>
        <w:spacing w:after="0" w:line="188"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investigational review board (“IRB”) or ethics committee at each clinical trial site before each clinical trial may be initiated;</w:t>
      </w:r>
    </w:p>
    <w:p>
      <w:pPr>
        <w:spacing w:after="0" w:line="188" w:lineRule="exact"/>
        <w:rPr>
          <w:rFonts w:ascii="Times New Roman" w:cs="Times New Roman" w:eastAsia="Times New Roman" w:hAnsi="Times New Roman"/>
          <w:sz w:val="18"/>
          <w:szCs w:val="18"/>
          <w:color w:val="auto"/>
        </w:rPr>
      </w:pPr>
    </w:p>
    <w:p>
      <w:pPr>
        <w:ind w:left="1320" w:right="140" w:hanging="472"/>
        <w:spacing w:after="0" w:line="266"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applicable IND regulations, good clinical practices, or Good Clinical Practices (“GCPs”) and other clinical-trial related regulation, to evaluate the safety and efficacy of the investigational biological product for each proposed indication;</w:t>
      </w:r>
    </w:p>
    <w:p>
      <w:pPr>
        <w:spacing w:after="0" w:line="202" w:lineRule="exact"/>
        <w:rPr>
          <w:rFonts w:ascii="Times New Roman" w:cs="Times New Roman" w:eastAsia="Times New Roman" w:hAnsi="Times New Roman"/>
          <w:sz w:val="18"/>
          <w:szCs w:val="18"/>
          <w:color w:val="auto"/>
        </w:rPr>
      </w:pPr>
    </w:p>
    <w:p>
      <w:pPr>
        <w:ind w:left="1320" w:right="220" w:hanging="472"/>
        <w:spacing w:after="0" w:line="266"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sufficient evidence of establishing the safety, purity, and potency of the proposed biological product for each proposed indication, including from results of nonclinical testing and clinical trials;</w:t>
      </w:r>
    </w:p>
    <w:p>
      <w:pPr>
        <w:spacing w:after="0" w:line="202" w:lineRule="exact"/>
        <w:rPr>
          <w:rFonts w:ascii="Times New Roman" w:cs="Times New Roman" w:eastAsia="Times New Roman" w:hAnsi="Times New Roman"/>
          <w:sz w:val="18"/>
          <w:szCs w:val="18"/>
          <w:color w:val="auto"/>
        </w:rPr>
      </w:pPr>
    </w:p>
    <w:p>
      <w:pPr>
        <w:ind w:left="1320" w:hanging="472"/>
        <w:spacing w:after="0" w:line="261"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compliance with the FDA’s current Good Tissue Practices (“cGTPs”) for the use of human cellular and tissue products;</w:t>
      </w:r>
    </w:p>
    <w:p>
      <w:pPr>
        <w:spacing w:after="0" w:line="206"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nonclinical study and clinical trial sites to assure compliance with GLP and GCP and the integrity of the clinical data submitted in support of the BLA;</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663"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Preclinical Testing</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Before testing any biological product candidate, including a cell-based regenerative therapy product, in humans, the product candidate enters the preclinical testing stage. Preclinical tests, also referred to as nonclinical studies, include laboratory evaluations of a product candidate’s biological characteristics, chemistry, toxicity, stability and formulation, as well as animal studies to assess the potential safety and activity of the product candidate.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The Consolidated Appropriations Act for 2023, signed into law on December 29, 2022, (P.L. 117-328) amended the Federal Food, Drug, and Cosmetic Act (the “FDCA”) and the Public Health Service Act to specify that nonclinical testing for drugs and biologics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conduct of the preclinical tests must comply with federal regulations and requirements including GLP. Some long-term preclinical testing, such as animal tests of reproductive adverse events and carcinogenicity, may continue after an IND for an investigational drug candidate is submitted to the FDA and human clinical trials have been initiated.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and in accordance with GCP requirements and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 IND provides an exemption from the FD&amp;C Act that allows an unapproved product candidate to be shipped in interstate commerce for use in an investigational clinical trial and is also a request for FDA authorization to administer such investigational product to humans. Such authorization must be secured prior to interstate shipment and administration of any biologic product candidate that is not the subject of an approved BLA. In support of a request for an IND, an applicant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An IND automatically becomes effective 30 days after receipt by the FDA, unless before that time the FDA issues a notice expressly authorizing the proposed trial to proceed or raises concerns or questions related to one or more proposed clinical trials and places the clinical trial on a clinical hold. If FDA raises concerns or places the trial on clinical hold, the IND sponsor and the agency must resolve any outstanding concerns before the proposed trials can begin.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submission of an IND may not result in the FDA allowing clinical trials to commence.</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IRB or independent ethics committee (an “IEC”) and informed consent from subjects and must meet other clinical trial requirements, such as sufficient patient population size and statistical powering. The FDA must be able to validate the data through an onsite inspection, if deemed necessary by the FDA.</w:t>
      </w:r>
    </w:p>
    <w:p>
      <w:pPr>
        <w:spacing w:after="0" w:line="7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An IRB or IEC representing each institution participating in the clinical trial must review and approve the plan for any clinical trial before it commences at that institution, and the IRB or IEC must conduct continuing review and reapprove the study at least annually. The IRB or IEC must review and approve, among other things, the study protocol and informed consent information to be provided to study subjects. An IRB or IEC must operate in compliance with FDA regulations. An IRB or IEC can suspend or</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7" w:right="599" w:bottom="1440" w:gutter="0" w:footer="0" w:header="0"/>
        </w:sectPr>
      </w:pPr>
    </w:p>
    <w:bookmarkStart w:id="22" w:name="page23"/>
    <w:bookmarkEnd w:id="22"/>
    <w:p>
      <w:pPr>
        <w:ind w:right="400"/>
        <w:spacing w:after="0" w:line="282" w:lineRule="auto"/>
        <w:rPr>
          <w:sz w:val="20"/>
          <w:szCs w:val="20"/>
          <w:color w:val="auto"/>
        </w:rPr>
      </w:pPr>
      <w:r>
        <w:rPr>
          <w:rFonts w:ascii="Times New Roman" w:cs="Times New Roman" w:eastAsia="Times New Roman" w:hAnsi="Times New Roman"/>
          <w:sz w:val="18"/>
          <w:szCs w:val="18"/>
          <w:color w:val="auto"/>
        </w:rPr>
        <w:t>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Data Safety Monitoring Board (“DSMB”).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U.S. Department of Health and Human Services’ (“DHHS”) Final Rule and the National Institutes of Health’s (“NIH’s”) corresponding policy on ClinicalTrials.gov registration and reporting requirements became effective in 2017, and both NIH and FDA have brought enforcement actions against non-compliant clinical trial sponsors.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that may overlap or be combined:</w:t>
      </w:r>
    </w:p>
    <w:p>
      <w:pPr>
        <w:spacing w:after="0" w:line="237" w:lineRule="exact"/>
        <w:rPr>
          <w:sz w:val="20"/>
          <w:szCs w:val="20"/>
          <w:color w:val="auto"/>
        </w:rPr>
      </w:pPr>
    </w:p>
    <w:p>
      <w:pPr>
        <w:ind w:left="1320" w:right="60" w:hanging="472"/>
        <w:spacing w:after="0" w:line="261"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206" w:lineRule="exact"/>
        <w:rPr>
          <w:rFonts w:ascii="Times New Roman" w:cs="Times New Roman" w:eastAsia="Times New Roman" w:hAnsi="Times New Roman"/>
          <w:sz w:val="18"/>
          <w:szCs w:val="18"/>
          <w:color w:val="auto"/>
        </w:rPr>
      </w:pPr>
    </w:p>
    <w:p>
      <w:pPr>
        <w:ind w:left="1320" w:right="180" w:hanging="472"/>
        <w:spacing w:after="0" w:line="267"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optimal dosage and dosing schedule.</w:t>
      </w:r>
    </w:p>
    <w:p>
      <w:pPr>
        <w:spacing w:after="0" w:line="200" w:lineRule="exact"/>
        <w:rPr>
          <w:rFonts w:ascii="Times New Roman" w:cs="Times New Roman" w:eastAsia="Times New Roman" w:hAnsi="Times New Roman"/>
          <w:sz w:val="18"/>
          <w:szCs w:val="18"/>
          <w:color w:val="auto"/>
        </w:rPr>
      </w:pPr>
    </w:p>
    <w:p>
      <w:pPr>
        <w:ind w:left="1320" w:hanging="472"/>
        <w:spacing w:after="0" w:line="258"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at geographically dispersed clinical trial sites. These clinical trials are intended to establish the overall risk/benefit ratio of the product candidate and provide, if appropriate, an adequate basis for approval and product labeling. These trials may include comparisons with placebo and/or other comparator treatments. The duration of treatment is often extended to mimic the actual use of a product during marketing.</w:t>
      </w:r>
    </w:p>
    <w:p>
      <w:pPr>
        <w:spacing w:after="0" w:line="30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approval of a BLA.</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Consolidated Appropriations Act for 2023, Congress amended the FDCA to require sponsors of a Phase 3 clinical trial, or other “pivotal study” of a new drug or biologic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FDA objects to a sponsor’s diversity action plan and requires the sponsor to amend the plan or take other actions, it may delay trial initiation.</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responsible IRBs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such information. Phase 1, Phase 2 and Phase 3 clinical trials may not be completed successfully within any specified period, if at all.</w:t>
      </w:r>
    </w:p>
    <w:p>
      <w:pPr>
        <w:spacing w:after="0" w:line="8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Human cell-based products administered directly into kidney tissue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purity and potency of human cell-based therapy products, or that the data generated in these studies will be acceptable to the FDA to support marketing approval.</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23" w:name="page24"/>
    <w:bookmarkEnd w:id="23"/>
    <w:p>
      <w:pPr>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To support marketing approval, the data submitted must be sufficient in quality and quantity to establish the safety, purity, potency and efficacy of the investigational product for its proposed indication or indications to the satisfaction of the FDA. The testing and approval processes require substantial time and effort and there can be no assurance that the FDA will accept the BLA for filing and, even if filed, that any approval will be granted on a timely basis, if at all.</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as amended (the “PDUFA”), each BLA must be accompanied by a significant user fee. The FDA adjusts the PDUFA user fees on an annual basis. PDUFA also imposes an annual program fee for registered biologic product manufacturers. Fee waivers or reductions are available in certain circumstances, including a waiver of the application fee for the first application filed by a small business.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pure, potent and effective for its proposed indication or indications and whether the product is being manufactured in accordance with cGMP to ensure the continued safety, purity and potency of such product.</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performance goals and policies implemented by the FDA under PDUFA, for original BLAs, the FDA targets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due to FDA requests for additional information or clarification. The review process and the PDUFA goal date may be extended by the FDA for three additional months to consider new information or in the case of a clarification provided by the applicant to address an outstanding deficiency identified by the FDA following the original submission.</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cell-based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 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spacing w:after="0" w:line="8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refer any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Risk Evaluation and Mitigation Strategy (“REMS”) if it determines that a REMS is</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necessary to ensure that the benefits of the medicine outweigh its risks and to assure the safe use of the medicine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a BLA or supplement to a BLA for a novel product (e.g., new active ingredient, new indication, etc.)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may grant deferrals for submission of data or full or partial waivers. The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8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and the facility in which it is manufactured, processed, packed or held meets standards designed to assure the product’s continued safety, purity and potency. The approval process is lengthy and often difficult, and the FDA may refuse to approve a BLA if the applicable regulatory criteria are not satisfied or may require additional clinical or other data and information. On the basis of the FDA’s evaluation of the BLA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BLA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8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RMAT and Priority Review Designations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RMAT designation and priority review, that are intended to expedite or simplify the process for the development or FDA review of medicines and biologics that are intended for the treatment of serious or life-threatening diseases or conditions. These programs do not change the standards for approval but may help expedite the development or approval process.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be eligible for fast-track designation, the FDA must determine, based on the request of a sponsor, that a new medicine or biological product is intended to treat a serious or life-threatening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addition, fast track designation may be withdrawn by the sponsor or rescinded by the FDA if the designation is no longer supported by data emerging from the clinical trial process.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part of the 21st Century Cures Act (the “Cures Act”), enacted in December 2016, Congress amended the FD&amp;C Act to facilitate an efficient development program for, and expedite review of regenerative medicine advanced therapies, or RMATs, which include cell and gene therapies, therapeutic tissue engineered products, human cell and tissue products, and combination products using any such therapies or products. REACT has received RMAT designation from the FDA. RMAT designation does not include HCT/Ps regulated solely under section 361 of the PHS Act and 21 Code of Federal Regulations Part 1271. This program is intended to facilitate efficient development and expedite review of regenerative medicine therapies that are intended to treat, modify, reverse, or cure a serious or life-threatening disease or condition. A sponsor may request that FDA designate a medicine as a RMAT concurrently with or at any time after submission of an IND. The FDA has 60 calendar days to determine whether the medicine meets the criteria, including whether there is preliminary clinical evidence indicating that the medicine has the potential to address unmet medical needs for a serious or life- 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real-world evidence, such as electronic health records; the collection of larger confirmatory data sets; or post-approval monitoring of all patients treated with such therapy prior to its approval.</w:t>
      </w:r>
    </w:p>
    <w:p>
      <w:pPr>
        <w:spacing w:after="0" w:line="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medicine or biologic that treats a serious condition and, if approved, would provide a significant improvement in safety or effectiveness. The FDA determines at the time that the marketing application is submitted, on a case-by-case basis, whether the proposed medicine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for an original BLA or for a New Molecular Entity NDA from the date of filing.</w:t>
      </w:r>
    </w:p>
    <w:p>
      <w:pPr>
        <w:spacing w:after="0" w:line="84"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RMAT therapy designation and priority review do not change the standards for approval and may not ultimately expedite the development or approval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product has an effect on a surrogate endpoint that is reasonably likely to predict clinical benefit. The FDA may also grant accelerated approval for such a medicine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medicine receiving accelerated approval perform post- 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medicine,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medicine.</w:t>
      </w:r>
    </w:p>
    <w:p>
      <w:pPr>
        <w:spacing w:after="0" w:line="8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medicine, even if the effect on the surrogate or intermediate</w:t>
      </w:r>
    </w:p>
    <w:p>
      <w:pPr>
        <w:jc w:val="center"/>
        <w:ind w:right="-2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26" w:name="page27"/>
    <w:bookmarkEnd w:id="26"/>
    <w:p>
      <w:pPr>
        <w:ind w:right="400"/>
        <w:spacing w:after="0" w:line="266" w:lineRule="auto"/>
        <w:rPr>
          <w:sz w:val="20"/>
          <w:szCs w:val="20"/>
          <w:color w:val="auto"/>
        </w:rPr>
      </w:pPr>
      <w:r>
        <w:rPr>
          <w:rFonts w:ascii="Times New Roman" w:cs="Times New Roman" w:eastAsia="Times New Roman" w:hAnsi="Times New Roman"/>
          <w:sz w:val="18"/>
          <w:szCs w:val="18"/>
          <w:color w:val="auto"/>
        </w:rPr>
        <w:t>clinical endpoint occurs rapidly. For example, accelerated approval has been used extensively in the development and approval of medicines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medicine’s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medicine. 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8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All promotional materials for product candidates being considered and approved under the accelerated approval program are subject to prior review by the FDA.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We must comply with applicable requirements in the cGMP and cGTP regulations, including quality control and quality assurance and maintenance of records and documentation. Entities involved in the manufacture and distribution of approved biologics and HCT/Ps are required to register their establishments with the FDA and certain state agencies, as well as applicable foreign counterparts, and are subject to periodic unannounced inspections by such governmental authorities for compliance with cGMP, cGTP and other laws. Accordingly, we must continue to expend time, money and effort in the area of production and quality control to maintain cGMP compliance. Future inspections by governmental authorities may identify compliance issues at our facilities that may disrupt production or distribution or require substantial resources to correct. In addition, the discovery of conditions that violate these rules, including failure to conform to cGMP or cGTP,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industry-sponsored scientific and educational activities, and promotional activities involving the internet, as well as the prohibition on promoting products for uses or in patient populations that are not described in the product’s approved labeling (known as “off-label use”).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27" w:name="page28"/>
    <w:bookmarkEnd w:id="27"/>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Once an approval or clearance of a medicine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197" w:lineRule="exact"/>
        <w:rPr>
          <w:sz w:val="20"/>
          <w:szCs w:val="20"/>
          <w:color w:val="auto"/>
        </w:rPr>
      </w:pPr>
    </w:p>
    <w:p>
      <w:pPr>
        <w:ind w:left="1320" w:hanging="472"/>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252"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83"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In addition, the distribution of prescription pharmaceutical products is subject to the Prescription Drug Marketing Act, which sets minimum standards for the registration and regulation of pharmaceutical distributors by the states. Furthermore, the Drug Supply Chain Security Act (the “DSCSA”) was enacted with the aim of building an electronic system to identify and trace certain prescription medicines distributed in the United States, including most biological products. The DSCSA mandates phased-in and resource-intensive obligations for pharmaceutical manufacturers, wholesale distributors, and dispensers over a 10-year period which culminated in November 2023. Most recently, the FDA announced a one-year stabilization period to November 2024,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86"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 biological product may also obtain pediatric market exclusivity in the United States. 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w:t>
      </w:r>
    </w:p>
    <w:p>
      <w:pPr>
        <w:spacing w:after="0" w:line="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28" w:name="page29"/>
    <w:bookmarkEnd w:id="28"/>
    <w:p>
      <w:pPr>
        <w:ind w:right="200"/>
        <w:spacing w:after="0" w:line="282" w:lineRule="auto"/>
        <w:rPr>
          <w:sz w:val="20"/>
          <w:szCs w:val="20"/>
          <w:color w:val="auto"/>
        </w:rPr>
      </w:pPr>
      <w:r>
        <w:rPr>
          <w:rFonts w:ascii="Times New Roman" w:cs="Times New Roman" w:eastAsia="Times New Roman" w:hAnsi="Times New Roman"/>
          <w:sz w:val="18"/>
          <w:szCs w:val="18"/>
          <w:color w:val="auto"/>
        </w:rPr>
        <w:t>during which the FDA cannot approve another application. The issuance of a Written Request does not require the sponsor to undertake the described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(the “ACA”) was enacted in the United States and included the Biologics Price Competition and Innovation Act (the “BPCIA”). The BPCIA amended the Public Health Service Act (the “PHSA”) to create an abbreviated approval pathway for biological products that are biosimilar to or interchangeable with an FDA-licensed reference biological product. 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 The FDA approved the first interchangeable biosimilars, including an interchangeable monoclonal antibody biosimilar, in 2021.</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biosimilar applicant must demonstrate that the product is biosimilar based on data from (1) analytical studies showing that the biosimilar product is highly similar to the reference product; (2) animal studies (including toxicity);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PHSA in order to permit multiple interchangeable products approved on the same day to receive and benefit from this one-year exclusivity period.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88"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litigation. As a result, the ultimate impact, implementation and meaning of the BPCIA is subject to significant uncertainty.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9" w:name="page30"/>
    <w:bookmarkEnd w:id="2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some countries have enacted or are considering enacting legal restrictions on the import or export of human genetic materials, cells or tissues. For example, in China, the Ministry of Science and Technology (“MOST”) and the former Ministry of Health in June 1998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Human Genetic Resources Administration Office (“HGRAO”) through its online system.</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2017, the MOST issued the Circular on Optimizing the Administrative Examination and Approval of Human Genetic Resources, which simplified the approval process for collecting and using human genetic resources for the purpose of seeking marketing authorization of medicines in China.</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2019, the State Council of China issued the Regulation on the Administration of Human Genetic Resources (the “HGR Regulation”), which stipulates the approval requirements pertinent to research collaborations between Chinese and foreign-owned entities. Pursuant to this new rule, a new filing system (as opposed to the advance approval approach originally in place) is put in place for international clinical trials using Chinese patients’ biospecimens at clinical study sites without involving the export of such biospecimens outside of China. A notification filing that specifies the type, quantity and usage of the biospecimens, among others, with the HGRAO is required before conducting such clinical trials. The collection, use, and outbound transfer of Chinese patients’ biospecimens in international collaboration for basic scientific research involving export are still subject to the advance approval of the HGRAO.</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2020, the Standing Committee of the National People’s Congress promulgated the China Biosecurity Law, which became effective on April 15, 2021. The China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U.S. Foreign Corrupt Practices Act (the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clinical trials regulation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for each clinical trial to each country’s National Competent Authority (“NCA”) and at least one IEC, much like the FDA and an IRB, respectively. Once the CTA is approved in accordance with a country’s requirements, the corresponding clinical trial may proceed. Under the current regime (the EU Clinical Trials Directive 2001/20/EC and corresponding national laws) all suspected unexpected serious adverse reactions to the investigated medicine that occur during the clinical trial have to be reported to the NCA and ECs of the Member State where they occurred.</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Clinical Trials Regulation (EU) No 536/2014, which came into effect on January 31, 2022, there is a centralized application procedure where one EU Member State’s competent authority takes the lead in reviewing part I of the application,</w:t>
      </w: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which contains scientific and medicinal product documentation, and the other national authorities only have limited involvement. Part II, which contains the national and patient-level documentation, is assessed individually by each EU Member State. Any substantial changes to the trial protocol or other information submitted with the CTA must be notified to or approved by the relevant competent authorities and ethics committees. Medicines used in clinical trials must be manufactured in accordance with good manufacturing practices. Other national and EU-wide regulatory requirements may also apply.</w:t>
      </w:r>
    </w:p>
    <w:p>
      <w:pPr>
        <w:spacing w:after="0" w:line="75"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Currently, the extent to which clinical trials will be governed by the Clinical Trials Regulation will depend on when the clinical trial is initiated or on the duration of an ongoing trial. As of January 2023, all new clinical trials must comply with the Clinical Trials Regulation. In addition, any clinical trial that was already under way as of January 1, 2023 and continues for more than three years from the day on which the Clinical Trials Regulation becomes applicable (i.e., January 31, 2025), the Clinical Trials Regulation will at that time begin to apply to the clinical trial.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Medicinal product review and approval in the EEA</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European Economic Area (the “EEA”) (comprised of the EU Member States plus Norway, Iceland and Liechtenstein), medicinal products, including advanced therapy medicinal products (“ATMPs”), are subject to extensive pre-and post-market regulation by regulatory authorities at both the EEA and national levels. Regulated in accordance with Regulation (EC) No 1394/2007 (the “ATMP Regulation”), ATMPs comprise gene therapy products, somatic cell therapy products and tissue engineered products. The CAT (as defined below) designated REACT as a tissue engineered product. Gene therapy products deliver genes into the body that lead to a therapeutic, prophylactic or diagnostic effect. We anticipate that REACT will be regulated as an ATMP in the EEA.</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obtain regulatory approval of an ATMP under EEA regulatory systems, we must submit a marketing authorization application (“MAA”) under the centralized procedure administered by the EMA. The application used to submit the BLA in the United States is similar to the required application process in the European Union, with the exception of, among other things, certain specific requirements set out in the ATMP Regulation, for example certain additional product characteristic information that must be included in the MAA. The centralized procedure provides for the grant of a single marketing authorization by the European Commission that is valid across all of the EEA. As provided for in the ATMP Regulation, the scientific evaluation of MAAs for ATMPs is primarily performed by a specialized scientific committee called the Committee for Advanced Therapies (the “CAT”). The CAT prepares a draft opinion on the quality, safety and efficacy of the ATMP which is the subject of the MAA, which is sent for final approval to the Committee for Medicinal Products for Human Use (the “CHMP”). The CHMP recommendation is then sent to the European Commission, which adopts a decision binding in all EEA Member States. The maximum timeframe for the evaluation of a MAA for an ATMP is 210 days from receipt of a valid MAA, excluding clock stops when additional information or written or oral explanation is to be provided by the applicant in response to questions of the CAT and/or CHMP. Clock stops may extend the timeframe of evaluation of a MAA considerably beyond 210 days. Where the CHMP gives a positive opinion, the EMA provides the opinion together with supporting documentation to the European Commission, which makes and issues the final decision to grant a marketing authorization within 67 days of receipt of the EMA’s recommendation. Accelerated assessment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8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April 2023, the European Commission issued a proposal that will revise and replace the existing legislation framework for human medicines. If adopted and implemented as currently proposed, these revisions will significantly change several aspects of medicinal product development and approval in the European Union.</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because the United Kingdom (which comprises Great Britain and Northern Ireland) left the European Union, Great Britain will no longer be covered by centralized marketing authorizations (under the Northern Ireland Protocol, centralized marketing authorizations will continue to be recognized in Northern Ireland). All medicinal products with a current centralized marketing authorization were automatically converted to Great Britain marketing authorizations on January, 1 2021. However, to commercialize new medicinal products in the United Kingdom after January 1, 2021, a separate application to the UK’s Medicines and Healthcare products Regulatory Agency (the “MHRA”) is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EEA also provides opportunities for market exclusivity. Upon receiving marketing authorization in the EEA,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during a period of eight years from the date on which the reference product was first authorized in the EEA. During the additional two-year period of market exclusivity, a generic or biosimilar marketing authorization can be submitted, and the innovator’s data may be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1" w:name="page32"/>
    <w:bookmarkEnd w:id="31"/>
    <w:p>
      <w:pPr>
        <w:ind w:right="160"/>
        <w:spacing w:after="0" w:line="255" w:lineRule="auto"/>
        <w:rPr>
          <w:sz w:val="20"/>
          <w:szCs w:val="20"/>
          <w:color w:val="auto"/>
        </w:rPr>
      </w:pPr>
      <w:r>
        <w:rPr>
          <w:rFonts w:ascii="Times New Roman" w:cs="Times New Roman" w:eastAsia="Times New Roman" w:hAnsi="Times New Roman"/>
          <w:sz w:val="18"/>
          <w:szCs w:val="18"/>
          <w:color w:val="auto"/>
        </w:rPr>
        <w:t>referenced, but no generic or biosimilar product can be marketed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an innovative medicinal product gains the prescribed period of data exclusivity, another company may market another version of the product if such company obtained marketing authorization based on a MAA with a complete independent data package of pharmaceutical tests, preclinical tests and clinical trials. There is, however, no guarantee that a product will be considered by the European Union’s regulatory authorities to be an innovative medicinal product, and products may therefore not qualify for data exclusivity.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controls</w:t>
      </w:r>
    </w:p>
    <w:p>
      <w:pPr>
        <w:spacing w:after="0" w:line="121" w:lineRule="exact"/>
        <w:rPr>
          <w:sz w:val="20"/>
          <w:szCs w:val="20"/>
          <w:color w:val="auto"/>
        </w:rPr>
      </w:pPr>
    </w:p>
    <w:p>
      <w:pPr>
        <w:ind w:right="1220" w:firstLine="509"/>
        <w:spacing w:after="0" w:line="28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175" w:lineRule="exact"/>
        <w:rPr>
          <w:sz w:val="20"/>
          <w:szCs w:val="20"/>
          <w:color w:val="auto"/>
        </w:rPr>
      </w:pPr>
    </w:p>
    <w:p>
      <w:pPr>
        <w:ind w:left="1320" w:hanging="472"/>
        <w:spacing w:after="0" w:line="266"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320" w:right="20" w:hanging="472"/>
        <w:spacing w:after="0" w:line="256"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214" w:lineRule="exact"/>
        <w:rPr>
          <w:rFonts w:ascii="Times New Roman" w:cs="Times New Roman" w:eastAsia="Times New Roman" w:hAnsi="Times New Roman"/>
          <w:sz w:val="18"/>
          <w:szCs w:val="18"/>
          <w:color w:val="auto"/>
        </w:rPr>
      </w:pPr>
    </w:p>
    <w:p>
      <w:pPr>
        <w:ind w:left="1320" w:right="40" w:hanging="472"/>
        <w:spacing w:after="0" w:line="255"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3" w:lineRule="exact"/>
        <w:rPr>
          <w:rFonts w:ascii="Times New Roman" w:cs="Times New Roman" w:eastAsia="Times New Roman" w:hAnsi="Times New Roman"/>
          <w:sz w:val="18"/>
          <w:szCs w:val="18"/>
          <w:color w:val="auto"/>
        </w:rPr>
      </w:pPr>
    </w:p>
    <w:p>
      <w:pPr>
        <w:ind w:left="1320" w:right="140" w:hanging="472"/>
        <w:spacing w:after="0" w:line="281" w:lineRule="auto"/>
        <w:tabs>
          <w:tab w:leader="none" w:pos="1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28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Failure to comply with European Union and EU Member State laws that apply to the conduct of clinical trials, manufacturing approval, marketing authorization of medicinal products and marketing of such products (both before and after grant of the marketing authorization), manufacturing of pharmaceutical products, statutory health insurance, bribery and anti-corruption or with other applicable regulatory requirements may result in administrative, civil or criminal penalties. Such penalties could include delays or refusal to authorize the conduct of clinical trials or to grant the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right="380" w:firstLine="524"/>
        <w:spacing w:after="0" w:line="266" w:lineRule="auto"/>
        <w:rPr>
          <w:sz w:val="20"/>
          <w:szCs w:val="20"/>
          <w:color w:val="auto"/>
        </w:rPr>
      </w:pPr>
      <w:r>
        <w:rPr>
          <w:rFonts w:ascii="Times New Roman" w:cs="Times New Roman" w:eastAsia="Times New Roman" w:hAnsi="Times New Roman"/>
          <w:sz w:val="18"/>
          <w:szCs w:val="18"/>
          <w:color w:val="auto"/>
        </w:rPr>
        <w:t>As of January 1, 2021, EU law no longer directly applies in the United Kingdom. The United Kingdom has adopted existing EU medicines regulation as standalone UK legislation with some amendments to reflect procedural and other requirements with respect to marketing authorizations and other regulatory provisions.</w:t>
      </w:r>
    </w:p>
    <w:p>
      <w:pPr>
        <w:spacing w:after="0" w:line="68" w:lineRule="exact"/>
        <w:rPr>
          <w:sz w:val="20"/>
          <w:szCs w:val="20"/>
          <w:color w:val="auto"/>
        </w:rPr>
      </w:pPr>
    </w:p>
    <w:p>
      <w:pPr>
        <w:ind w:right="40" w:firstLine="524"/>
        <w:spacing w:after="0" w:line="273" w:lineRule="auto"/>
        <w:rPr>
          <w:sz w:val="20"/>
          <w:szCs w:val="20"/>
          <w:color w:val="auto"/>
        </w:rPr>
      </w:pPr>
      <w:r>
        <w:rPr>
          <w:rFonts w:ascii="Times New Roman" w:cs="Times New Roman" w:eastAsia="Times New Roman" w:hAnsi="Times New Roman"/>
          <w:sz w:val="17"/>
          <w:szCs w:val="17"/>
          <w:color w:val="auto"/>
        </w:rPr>
        <w:t>The MHRA is responsible for regulating the United Kingdom medicinal products market (Great Britain and Northern Ireland). In order to market medicines in the United Kingdom, manufacturers must hold a UK authorization. On January 1, 2021, all EU marketing authorizations were converted to UK marketing authorizations subject to a manufacturer opt-out. The United Kingdom has introduced a separate UK-specific processes for regulatory submissions and medicinal product MA, and MHRA guidance states that the United Kingdom will have the power to take into account marketing authorizations made under the EU decentralized and mutual recognition procedures. On January 1, 2024, the MHRA launched the International Recognition Procedure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spacing w:after="0" w:line="185" w:lineRule="exact"/>
        <w:rPr>
          <w:sz w:val="20"/>
          <w:szCs w:val="20"/>
          <w:color w:val="auto"/>
        </w:rPr>
      </w:pPr>
    </w:p>
    <w:p>
      <w:pPr>
        <w:jc w:val="right"/>
        <w:ind w:left="5540" w:right="5380" w:hanging="4710"/>
        <w:spacing w:after="0" w:line="284" w:lineRule="auto"/>
        <w:tabs>
          <w:tab w:leader="none" w:pos="128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Route A – 60 days from validation of submission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32" w:name="page33"/>
    <w:bookmarkEnd w:id="32"/>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must be based on a Reference Regulatory (“RR”), marketing authorization within the previous two years</w:t>
      </w:r>
    </w:p>
    <w:p>
      <w:pPr>
        <w:spacing w:after="0" w:line="36" w:lineRule="exact"/>
        <w:rPr>
          <w:rFonts w:ascii="Times New Roman" w:cs="Times New Roman" w:eastAsia="Times New Roman" w:hAnsi="Times New Roman"/>
          <w:sz w:val="18"/>
          <w:szCs w:val="18"/>
          <w:color w:val="auto"/>
        </w:rPr>
      </w:pPr>
    </w:p>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differences from the quality dossier approved by the RR requires assessment under Recognition Route B</w:t>
      </w:r>
    </w:p>
    <w:p>
      <w:pPr>
        <w:spacing w:after="0" w:line="36" w:lineRule="exact"/>
        <w:rPr>
          <w:rFonts w:ascii="Times New Roman" w:cs="Times New Roman" w:eastAsia="Times New Roman" w:hAnsi="Times New Roman"/>
          <w:sz w:val="18"/>
          <w:szCs w:val="18"/>
          <w:color w:val="auto"/>
        </w:rPr>
      </w:pPr>
    </w:p>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GMP compliance for manufacturing sites should be provided with submission</w:t>
      </w:r>
    </w:p>
    <w:p>
      <w:pPr>
        <w:spacing w:after="0" w:line="36" w:lineRule="exact"/>
        <w:rPr>
          <w:rFonts w:ascii="Times New Roman" w:cs="Times New Roman" w:eastAsia="Times New Roman" w:hAnsi="Times New Roman"/>
          <w:sz w:val="18"/>
          <w:szCs w:val="18"/>
          <w:color w:val="auto"/>
        </w:rPr>
      </w:pPr>
    </w:p>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Recognition Route B criteria are met</w:t>
      </w:r>
    </w:p>
    <w:p>
      <w:pPr>
        <w:spacing w:after="0" w:line="36" w:lineRule="exact"/>
        <w:rPr>
          <w:rFonts w:ascii="Times New Roman" w:cs="Times New Roman" w:eastAsia="Times New Roman" w:hAnsi="Times New Roman"/>
          <w:sz w:val="18"/>
          <w:szCs w:val="18"/>
          <w:color w:val="auto"/>
        </w:rPr>
      </w:pPr>
    </w:p>
    <w:p>
      <w:pPr>
        <w:ind w:left="1280" w:right="180" w:hanging="450"/>
        <w:spacing w:after="0" w:line="266"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B – 110 days from validation of submission with one planned clock stop (up to 60 days) at day 70 to allow applicant to respond to issues identified during review</w:t>
      </w:r>
    </w:p>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must be based on a RR marketing authorization within the previous ten years</w:t>
      </w:r>
    </w:p>
    <w:p>
      <w:pPr>
        <w:spacing w:after="0" w:line="36" w:lineRule="exact"/>
        <w:rPr>
          <w:rFonts w:ascii="Times New Roman" w:cs="Times New Roman" w:eastAsia="Times New Roman" w:hAnsi="Times New Roman"/>
          <w:sz w:val="18"/>
          <w:szCs w:val="18"/>
          <w:color w:val="auto"/>
        </w:rPr>
      </w:pPr>
    </w:p>
    <w:p>
      <w:pPr>
        <w:ind w:left="1740" w:hanging="96"/>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requiring Recognition Route B include, among other things:</w:t>
      </w:r>
    </w:p>
    <w:p>
      <w:pPr>
        <w:spacing w:after="0" w:line="36" w:lineRule="exact"/>
        <w:rPr>
          <w:rFonts w:ascii="Times New Roman" w:cs="Times New Roman" w:eastAsia="Times New Roman" w:hAnsi="Times New Roman"/>
          <w:sz w:val="18"/>
          <w:szCs w:val="18"/>
          <w:color w:val="auto"/>
        </w:rPr>
      </w:pPr>
    </w:p>
    <w:p>
      <w:pPr>
        <w:ind w:left="2380" w:hanging="88"/>
        <w:spacing w:after="0"/>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granted a conditional or exceptional circumstances marketing authorization</w:t>
      </w:r>
    </w:p>
    <w:p>
      <w:pPr>
        <w:spacing w:after="0" w:line="36" w:lineRule="exact"/>
        <w:rPr>
          <w:rFonts w:ascii="Times New Roman" w:cs="Times New Roman" w:eastAsia="Times New Roman" w:hAnsi="Times New Roman"/>
          <w:sz w:val="18"/>
          <w:szCs w:val="18"/>
          <w:color w:val="auto"/>
        </w:rPr>
      </w:pPr>
    </w:p>
    <w:p>
      <w:pPr>
        <w:ind w:left="2380" w:right="420" w:hanging="88"/>
        <w:spacing w:after="0" w:line="266" w:lineRule="auto"/>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sites included in the application were not assessed by the RR or a manufacturing site is not GMP certified</w:t>
      </w:r>
    </w:p>
    <w:p>
      <w:pPr>
        <w:ind w:left="2380" w:hanging="88"/>
        <w:spacing w:after="0"/>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changes to the manufacturing process compared to the process approved by the RR</w:t>
      </w:r>
    </w:p>
    <w:p>
      <w:pPr>
        <w:spacing w:after="0" w:line="36" w:lineRule="exact"/>
        <w:rPr>
          <w:rFonts w:ascii="Times New Roman" w:cs="Times New Roman" w:eastAsia="Times New Roman" w:hAnsi="Times New Roman"/>
          <w:sz w:val="18"/>
          <w:szCs w:val="18"/>
          <w:color w:val="auto"/>
        </w:rPr>
      </w:pPr>
    </w:p>
    <w:p>
      <w:pPr>
        <w:ind w:left="2380" w:hanging="88"/>
        <w:spacing w:after="0"/>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 types (e.g., advanced therapy medicinal products, orphan medicines, over-the-counter medicines)</w:t>
      </w:r>
    </w:p>
    <w:p>
      <w:pPr>
        <w:spacing w:after="0" w:line="36" w:lineRule="exact"/>
        <w:rPr>
          <w:rFonts w:ascii="Times New Roman" w:cs="Times New Roman" w:eastAsia="Times New Roman" w:hAnsi="Times New Roman"/>
          <w:sz w:val="18"/>
          <w:szCs w:val="18"/>
          <w:color w:val="auto"/>
        </w:rPr>
      </w:pPr>
    </w:p>
    <w:p>
      <w:pPr>
        <w:ind w:left="2380" w:hanging="88"/>
        <w:spacing w:after="0"/>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Plan was not assessed by the RR</w:t>
      </w:r>
    </w:p>
    <w:p>
      <w:pPr>
        <w:spacing w:after="0" w:line="36" w:lineRule="exact"/>
        <w:rPr>
          <w:rFonts w:ascii="Times New Roman" w:cs="Times New Roman" w:eastAsia="Times New Roman" w:hAnsi="Times New Roman"/>
          <w:sz w:val="18"/>
          <w:szCs w:val="18"/>
          <w:color w:val="auto"/>
        </w:rPr>
      </w:pPr>
    </w:p>
    <w:p>
      <w:pPr>
        <w:ind w:left="2380" w:hanging="88"/>
        <w:spacing w:after="0"/>
        <w:tabs>
          <w:tab w:leader="none" w:pos="238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required one or more post-authorization safety studies for the product</w:t>
      </w:r>
    </w:p>
    <w:p>
      <w:pPr>
        <w:spacing w:after="0" w:line="36" w:lineRule="exact"/>
        <w:rPr>
          <w:rFonts w:ascii="Times New Roman" w:cs="Times New Roman" w:eastAsia="Times New Roman" w:hAnsi="Times New Roman"/>
          <w:sz w:val="18"/>
          <w:szCs w:val="18"/>
          <w:color w:val="auto"/>
        </w:rPr>
      </w:pPr>
    </w:p>
    <w:p>
      <w:pPr>
        <w:ind w:left="2380" w:hanging="132"/>
        <w:spacing w:after="0"/>
        <w:tabs>
          <w:tab w:leader="none" w:pos="23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companion diagnostic is necessary for correct use of the product</w:t>
      </w:r>
    </w:p>
    <w:p>
      <w:pPr>
        <w:spacing w:after="0" w:line="13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United Kingdom medicines legislation is subject to future regulatory change under the Medicines and Medical Devices Act 2021. This act sets out a new framework for the adoption of medicines regulation.</w:t>
      </w:r>
    </w:p>
    <w:p>
      <w:pPr>
        <w:spacing w:after="0" w:line="54"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Different rules apply in Northern Ireland following implementation of the Northern Ireland Protocol, under which EU central marketing applications continue to apply there. However, in March 2023, the United Kingdom government and the European Commission reached agreement on a regulatory framework to replace the Northern Ireland Protocol, referred to as the Windsor Framework. The Windsor Framework is expected to apply as of January 1, 2025 and will change the existing system under the Northern Ireland Protocol, including the regulation of pharmaceutical products in the UK. Specifically, the MHRA will be responsible for approving all medicines intended to be marketed in the UK (i.e., Great Britain and Northern Ireland), while the EMA will no longer be involved in approving medicines intended for sale in Northern Ireland.</w:t>
      </w:r>
    </w:p>
    <w:p>
      <w:pPr>
        <w:spacing w:after="0" w:line="79" w:lineRule="exact"/>
        <w:rPr>
          <w:sz w:val="20"/>
          <w:szCs w:val="20"/>
          <w:color w:val="auto"/>
        </w:rPr>
      </w:pPr>
    </w:p>
    <w:p>
      <w:pPr>
        <w:ind w:right="20" w:firstLine="524"/>
        <w:spacing w:after="0" w:line="253" w:lineRule="auto"/>
        <w:rPr>
          <w:sz w:val="20"/>
          <w:szCs w:val="20"/>
          <w:color w:val="auto"/>
        </w:rPr>
      </w:pPr>
      <w:r>
        <w:rPr>
          <w:rFonts w:ascii="Times New Roman" w:cs="Times New Roman" w:eastAsia="Times New Roman" w:hAnsi="Times New Roman"/>
          <w:sz w:val="18"/>
          <w:szCs w:val="18"/>
          <w:color w:val="auto"/>
        </w:rPr>
        <w:t>The Trade and Cooperation Agreement, which sets forth a framework for partnership between the European Union and the United Kingdom, became effective as of January 1, 2021. 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UK importers and wholesales to recognize certain certification and regulatory standards. The European Commission has not adopted such recognition procedures.</w:t>
      </w:r>
    </w:p>
    <w:p>
      <w:pPr>
        <w:spacing w:after="0" w:line="86" w:lineRule="exact"/>
        <w:rPr>
          <w:sz w:val="20"/>
          <w:szCs w:val="20"/>
          <w:color w:val="auto"/>
        </w:rPr>
      </w:pPr>
    </w:p>
    <w:p>
      <w:pPr>
        <w:ind w:right="520" w:firstLine="524"/>
        <w:spacing w:after="0" w:line="266"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may be incurred with respect to the lack of mutual recognition of batch testing and related regulatory measures.</w:t>
      </w:r>
    </w:p>
    <w:p>
      <w:pPr>
        <w:spacing w:after="0" w:line="68"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EU, the General Data Protection Regulation (“GDPR”) has been implemented in the United Kingdom (as the UK GDPR). The UK GDPR sits alongside the amended UK Data Protection Act 2018 which implements certain derogations in the EU GDPR into United Kingdom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On June 28, 2021, the European Commission issued a decision that the United Kingdom ensures an adequate level of protection for personal data transferred under the EU GDPR from the European Union to the United Kingdom. In June of 2021, the European Commission issued a decision, which will sunset on June 27, 2025 without further action, that the United Kingdom ensures an adequate level of protection for personal data transferred under the E.U. GDPR from the E.U. to the United Kingdom. In addition,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 care laws and compliance requirements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false claims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193" w:lineRule="exact"/>
        <w:rPr>
          <w:sz w:val="20"/>
          <w:szCs w:val="20"/>
          <w:color w:val="auto"/>
        </w:rPr>
      </w:pPr>
    </w:p>
    <w:p>
      <w:pPr>
        <w:ind w:left="1320" w:right="20" w:hanging="472"/>
        <w:spacing w:after="0" w:line="254"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(the “AKS”),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 care program, such as the Medicare and Medicaid programs;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federal False Claims Act (the “FCA”) or federal civil money penalties statute;</w:t>
      </w:r>
    </w:p>
    <w:p>
      <w:pPr>
        <w:spacing w:after="0" w:line="218" w:lineRule="exact"/>
        <w:rPr>
          <w:rFonts w:ascii="Times New Roman" w:cs="Times New Roman" w:eastAsia="Times New Roman" w:hAnsi="Times New Roman"/>
          <w:sz w:val="18"/>
          <w:szCs w:val="18"/>
          <w:color w:val="auto"/>
        </w:rPr>
      </w:pPr>
    </w:p>
    <w:p>
      <w:pPr>
        <w:ind w:left="1320" w:hanging="472"/>
        <w:spacing w:after="0" w:line="254"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218" w:lineRule="exact"/>
        <w:rPr>
          <w:rFonts w:ascii="Times New Roman" w:cs="Times New Roman" w:eastAsia="Times New Roman" w:hAnsi="Times New Roman"/>
          <w:sz w:val="18"/>
          <w:szCs w:val="18"/>
          <w:color w:val="auto"/>
        </w:rPr>
      </w:pPr>
    </w:p>
    <w:p>
      <w:pPr>
        <w:ind w:left="1320" w:right="20" w:hanging="472"/>
        <w:spacing w:after="0" w:line="261"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206" w:lineRule="exact"/>
        <w:rPr>
          <w:rFonts w:ascii="Times New Roman" w:cs="Times New Roman" w:eastAsia="Times New Roman" w:hAnsi="Times New Roman"/>
          <w:sz w:val="18"/>
          <w:szCs w:val="18"/>
          <w:color w:val="auto"/>
        </w:rPr>
      </w:pPr>
    </w:p>
    <w:p>
      <w:pPr>
        <w:ind w:left="1320" w:right="60" w:hanging="472"/>
        <w:spacing w:after="0" w:line="254"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 care benefits, items or services relating to health care matters; similar to the AKS, a person or entity does not need to have actual knowledge of the statute or specific intent to violate it in order to have committed a violation;</w:t>
      </w:r>
    </w:p>
    <w:p>
      <w:pPr>
        <w:spacing w:after="0" w:line="218" w:lineRule="exact"/>
        <w:rPr>
          <w:rFonts w:ascii="Times New Roman" w:cs="Times New Roman" w:eastAsia="Times New Roman" w:hAnsi="Times New Roman"/>
          <w:sz w:val="18"/>
          <w:szCs w:val="18"/>
          <w:color w:val="auto"/>
        </w:rPr>
      </w:pPr>
    </w:p>
    <w:p>
      <w:pPr>
        <w:ind w:left="1320" w:right="40" w:hanging="472"/>
        <w:spacing w:after="0" w:line="255"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including the provision commonly referred to as the Physician Payments Sunshine Act, and its implementing regulations, which requires applicable manufacturers of medicines, devices, biologics and medical supplies for which payment is available under the Medicare, Medicaid or the Children’s Health Insurance Program to report annually to the U.S. Centers for Medicare and Medicaid Services (“CMS”) information related to payments or other transfers of value made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and</w:t>
      </w:r>
    </w:p>
    <w:p>
      <w:pPr>
        <w:spacing w:after="0" w:line="215" w:lineRule="exact"/>
        <w:rPr>
          <w:rFonts w:ascii="Times New Roman" w:cs="Times New Roman" w:eastAsia="Times New Roman" w:hAnsi="Times New Roman"/>
          <w:sz w:val="18"/>
          <w:szCs w:val="18"/>
          <w:color w:val="auto"/>
        </w:rPr>
      </w:pPr>
    </w:p>
    <w:p>
      <w:pPr>
        <w:ind w:left="1320" w:right="260" w:hanging="472"/>
        <w:spacing w:after="0" w:line="258"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and other anti-corruption laws and regulations pertaining to our financial relationships and interactions with foreign government officials, which prohibit U.S. companies and their employees, officers, and representatives from paying, offering to pay, promising, or authorizing the payment of anything of value to any foreign government official (including, potentially, healthcare professionals in countries in which we operate or may sell our products), government staff member, political party, or political candidate to obtain or retain business or to otherwise seek favorable treatment.</w:t>
      </w:r>
    </w:p>
    <w:p>
      <w:pPr>
        <w:spacing w:after="0" w:line="200" w:lineRule="exact"/>
        <w:rPr>
          <w:sz w:val="20"/>
          <w:szCs w:val="20"/>
          <w:color w:val="auto"/>
        </w:rPr>
      </w:pPr>
    </w:p>
    <w:p>
      <w:pPr>
        <w:spacing w:after="0" w:line="32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 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 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34" w:name="page35"/>
    <w:bookmarkEnd w:id="34"/>
    <w:p>
      <w:pPr>
        <w:ind w:right="40"/>
        <w:spacing w:after="0" w:line="266" w:lineRule="auto"/>
        <w:rPr>
          <w:sz w:val="20"/>
          <w:szCs w:val="20"/>
          <w:color w:val="auto"/>
        </w:rPr>
      </w:pPr>
      <w:r>
        <w:rPr>
          <w:rFonts w:ascii="Times New Roman" w:cs="Times New Roman" w:eastAsia="Times New Roman" w:hAnsi="Times New Roman"/>
          <w:sz w:val="18"/>
          <w:szCs w:val="18"/>
          <w:color w:val="auto"/>
        </w:rPr>
        <w:t>and Manufacturers of America’s Code on Interactions with Health 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imprisonment and/or exclusion or suspension from federal and state health care programs such as Medicare and Medicaid and debarment from contracting with the U.S. government. In addition, private individuals have the ability to bring actions on behalf of the U.S. government under the FCA as well as under the false claims laws of several states.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Law enforcement authorities are increasingly focused on enforcing health care fraud and abuse laws, and it is possible that some of our practices may be challenged under these laws. Efforts to ensure that our current and future business arrangements with third parties, and our business generally, will comply with applicable health care laws and regulations will involve substantial costs. If our operations, including our arrangements with physicians and other health 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 care programs (such as Medicare and Medicaid), and imprisonment, any of which could adversely affect our ability to operate our business and our financial results. The approval and commercialization of any of our product candidates outside the United States will also subject us to foreign equivalents of the health care laws mentioned above, among other foreign laws.</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health care providers or entities with whom we expect to do business are found to be not in compliance with applicable laws, they may be subject to criminal, civil or administrative sanctions, including exclusions from government-funded health care programs, which may also adversely affect our business.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these laws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 care company may violate one or more of the requirements. Efforts to ensure that our business arrangements with third parties will comply with applicable health care laws and regulations will involve substantial cost.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are federal, state and foreign laws governing the privacy and security of health information and personal information, many of which differ from each other in significant ways and apply simultaneously, thus complicating compliance efforts.</w:t>
      </w:r>
    </w:p>
    <w:p>
      <w:pPr>
        <w:spacing w:after="0" w:line="54"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(“HITECH”), and its implementing regulations, strengthens and expands requirements relating to the privacy, security, and transmission of individually identifiable health information; and requires notification to affected individuals and regulatory authorities of certain breaches of security of individually identifiable health information.</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HITECH strengthened and expanded HIPAA and increased penalties for violations. Under HITECH, regulated entities are subject to enforcement by the federal government and by state Attorneys General, who were given authority to enforce HIPAA under HITECH. Some state laws impose privacy protections more stringent than HIPAA and data security requirements applicable to information beyond health care information (for example, the California Consumer Privacy Act of 2018 (the “CCPA”)). These state laws create an additional level of enforcement and may require additional reporting in the event of breach. Most of the health care providers in the United States with whom we collaborate to develop and test our products must comply with HIPAA and applicable state law. We may not be directly subject to these laws, however, we must structure our activities in compliance with these laws to ensure that we can access and use health information to support our research, development and other activities. Our failure to comply with these privacy and security laws or a breach of health information or personal data could prompt enforcement against our health care provider partners, create third party liability for our company and/or cause significant financial or reputational harm to our company.</w:t>
      </w:r>
    </w:p>
    <w:p>
      <w:pPr>
        <w:spacing w:after="0" w:line="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may also be subject to additional privacy restrictions. The collection, use, storage, disclosure, transfer, or other processing of personal data regarding individuals in the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explicit consent of the individuals to whom the personal data relates, providing information to individuals regarding data processing activities, implementing safeguards to protect the security and confidentiality of personal data, providing notification of data breaches, and</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35" w:name="page36"/>
    <w:bookmarkEnd w:id="35"/>
    <w:p>
      <w:pPr>
        <w:ind w:right="40"/>
        <w:spacing w:after="0" w:line="255" w:lineRule="auto"/>
        <w:rPr>
          <w:sz w:val="20"/>
          <w:szCs w:val="20"/>
          <w:color w:val="auto"/>
        </w:rPr>
      </w:pPr>
      <w:r>
        <w:rPr>
          <w:rFonts w:ascii="Times New Roman" w:cs="Times New Roman" w:eastAsia="Times New Roman" w:hAnsi="Times New Roman"/>
          <w:sz w:val="18"/>
          <w:szCs w:val="18"/>
          <w:color w:val="auto"/>
        </w:rPr>
        <w:t>taking certain measures when engaging third-party processors. The GDPR also imposes strict rules on the transfer of personal data to countries outside the European Union and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July 2023, the European Commission adopted an adequacy decision for a new mechanism for transferring data from the European Union to the United States – the E.U.-U.S. Data Privacy Framework, which provides individuals in the European Union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in its decision on a case known as Schrems II, which invalidated the previous E.U.-U.S. Privacy Shield.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European Union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 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and biosimilar products for branded prescription medicines, respectively. In recent years, the U.S. Congress has considered reductions in Medicare reimbursement levels for medicines and biologics administered by physicians. CMS, the agency that administers the Medicare and Medicaid programs, also has authority to revise reimbursement rates and to implement coverage restrictions for most drugs and biologics. Cost reduction initiatives and changes in coverage implemented through legislation or regulation could decrease utilization of and reimbursement for any approved products we may market in the future. While Medicare regulations apply only to pharmaceutical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ACA, as amended by the Health Care and Education Affordability Reconciliation Act, was enacted in 2010 and substantially changed the way health care is financed by both governmental and private insurers in the United States, and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With regard to biopharmaceutical products, the ACA, among other things, addressed a new methodology by which rebates owed by manufacturers under the Medicaid Drug Rebate Program are calculated for therapeutics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medicines, created a new Medicare Part D coverage gap discount program, and expanded the 340B drug discount program. As another example, the 2021</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6" w:name="page37"/>
    <w:bookmarkEnd w:id="36"/>
    <w:p>
      <w:pPr>
        <w:ind w:right="160"/>
        <w:spacing w:after="0" w:line="266" w:lineRule="auto"/>
        <w:rPr>
          <w:sz w:val="20"/>
          <w:szCs w:val="20"/>
          <w:color w:val="auto"/>
        </w:rPr>
      </w:pPr>
      <w:r>
        <w:rPr>
          <w:rFonts w:ascii="Times New Roman" w:cs="Times New Roman" w:eastAsia="Times New Roman" w:hAnsi="Times New Roman"/>
          <w:sz w:val="18"/>
          <w:szCs w:val="18"/>
          <w:color w:val="auto"/>
        </w:rPr>
        <w:t>Consolidated Appropriations Act signed into law on December 27, 2020 incorporated extensive health care provisions and amendments to existing laws, including a requirement that all manufacturers of medicines and biological products covered under Medicare Part B report the product’s average sales price, to the DHHS beginning on January 1, 2022, subject to enforcement via civil money penalties.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Legislative and regulatory changes under the ACA remain possible, but it is unknown what form any such changes or any law would take and how or whether it may affect the biopharmaceutical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biopharmaceutical manufacturers set prices for their marketed products. Such scrutiny has resulted in several recent U.S. Congressional inquiries and proposed and enacted federal and state legislation designed to, among other things, bring more transparency to medicine pricing, review the relationship between pricing and manufacturer patient programs, reduce the cost of medicines under Medicare, and reform government program reimbursement methodologies for pharmaceutical products. Notably, on December 20, 2019, the Further Consolidated Appropriations Act for 2020 became law (P.L. 116-94) and included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 recently, in August 2022, President Biden signed into the law the Inflation Reduction Act of 2022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single-source Part D drugs, including biologics that have been on the market for 13 years, without generic or biosimilar competition. CMS will also negotiate drug prices for a select number of Part B drugs, including biologics that have been on the market for 13 years,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79"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At the state level in the United States,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Furthermore, in December 2020, the U.S. Supreme Court held unanimously that federal law does not preempt the states’ ability to regulate pharmaceutical benefit managers and other members of the healthcare and pharmaceutical supply chain, an important decision that may lead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7" w:name="page38"/>
    <w:bookmarkEnd w:id="37"/>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cell-based regenerative therapies for which we may obtain regulatory approval. In the United States and markets in other countries, sales of any cell-based therapies for which we receive regulatory approval for commercial sale will depend, in part, on the availability of coverage and reimbursement from payors. Payors include government authorities, managed care providers, private health insurers and other organizations. Patients who are prescribed treatments for their conditions and providers who prescribe such treatments generally rely on these third-party payors to reimburse all or part of the treatment and other associated health care costs. The process for determining whether a payor will provide coverage for a medicine, device or biologic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cell-based therapies could reduce physician utilization of our products, if they are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and manufacturing costs.</w:t>
      </w:r>
    </w:p>
    <w:p>
      <w:pPr>
        <w:spacing w:after="0" w:line="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In the United States, the principal decisions about reimbursement for new medicines are typically made by CMS.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coverage determination process will require us to provide scientific and clinical support for the use of our products to each payor separately and will be a time-consuming process.</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IRA, which is designed to exert downward pressure on drugs and biologics covered under Medicare Parts B and D (see Health care reform, above), President Biden issued Executive Order 14087 in October 2022, which called for CMS to prepare and submit a report to the White House on potential payment and delivery modes that would complement the IRA, lower drug costs, and promote access to innovative drugs. In February 2023, CMS published its report which described three potential models focusing on affordability, accessibility and feasibility of implementation for further testing by the CMS Innovation Center. As of February 2024, the CMS Innovation Center continues to test the proposed models and has started to roll out plans for access model testing of certain product types (e.g., cell and gene therapies) by states and manufacturers.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with the government authority. Furthermore, some countries may require the completion of additional studies that compare the effectiveness and/or cost-effectiveness of a particular therapy to current standards of care as part of so-called health technology assessments in order to obtain reimbursement or pricing approval. Additionally, there may be a need for activities to secure reimbursement for procedures associated with products administered in a hospital setting under the diagnosis-related group system, whereby a billing code may not exist or may be currently insufficient to cover the cost of the procedure. In other instances, countries may monitor and control product volumes and issue guidance to physicians to limit prescriptions in the form of treatment policies. Efforts to control prices and utilization of pharmaceutical products and medical devices will likely continue as countries attempt to manage health care expenditures.</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ProKidney had 163 full-time employees. This included 53 in research and development, 83 in manufacturing, operations, quality control and quality assurance, and 27 in general and administrative functions. We have no collective bargaining agreements with our employees, and we have not experienced any work stoppages. We consider our relations with our employees to be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34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1"/>
                <w:szCs w:val="21"/>
                <w:color w:val="auto"/>
              </w:rPr>
            </w:pPr>
          </w:p>
        </w:tc>
        <w:tc>
          <w:tcPr>
            <w:tcW w:w="684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spacing w:after="0"/>
              <w:rPr>
                <w:sz w:val="21"/>
                <w:szCs w:val="21"/>
                <w:color w:val="auto"/>
              </w:rPr>
            </w:pP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Culleton, M.D.</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Coulston, CPA</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Darin J. Weber, Ph.D.</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Regulatory Officer, SVP, Regulatory Affairs, Quality, Biometrics &amp; Market Access</w:t>
            </w: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Todd C. Girolamo</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4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8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24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Pablo Legorreta</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F. Doyle</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Fox</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José Ignacio Jimenez Santos</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Alan M. Lotvin, M.D.</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Maraganore, Ph.D.</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Brian J.G. Pereira, M.D.</w:t>
            </w:r>
          </w:p>
        </w:tc>
        <w:tc>
          <w:tcPr>
            <w:tcW w:w="280" w:type="dxa"/>
            <w:vAlign w:val="bottom"/>
            <w:shd w:val="clear" w:color="auto" w:fill="CFF0FC"/>
          </w:tcPr>
          <w:p>
            <w:pPr>
              <w:spacing w:after="0"/>
              <w:rPr>
                <w:sz w:val="21"/>
                <w:szCs w:val="21"/>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Uma Sinha, Ph.D.</w:t>
            </w:r>
          </w:p>
        </w:tc>
        <w:tc>
          <w:tcPr>
            <w:tcW w:w="280" w:type="dxa"/>
            <w:vAlign w:val="bottom"/>
          </w:tcPr>
          <w:p>
            <w:pPr>
              <w:spacing w:after="0"/>
              <w:rPr>
                <w:sz w:val="20"/>
                <w:szCs w:val="20"/>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internet address is https://www.prokidney.com, to which we regularly post copies of our press releases as well as additional information about us. This Annual Report on Form 10-K and our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only as an inactive textual reference. Information contained in our website does not constitute a part of this report or our other filings with the SEC.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incurred significant net losses since our inception. We continue to incur significant research and development and other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ongoing operations. For the years ended December 31, 2023, 2022 and 2021, we reported net losses before noncontrolling interest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$135.4 million, $148.1 million and $55.1 million, respectively. As of December 31, 2023 and 2022, we had an accumulated deficit of $1,139.7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$1,104.1 million, respectively. We have devoted substantially all of our resources and efforts to research and development, and we expect that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several years, if ever, before we generate revenue from product sales. Even if we receive marketing approval for, and commercialize our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REACT, we expect that we will continue to incur substantial research and development and other expenses to develop and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potential product candidates.</w:t>
      </w:r>
    </w:p>
    <w:p>
      <w:pPr>
        <w:spacing w:after="0" w:line="9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 REACT, is still in clinical testing. We expect to continue to incur significant losses for the foreseeable future, and we anticipate that our expenses will increase substantially if, and as, we:</w:t>
      </w:r>
    </w:p>
    <w:p>
      <w:pPr>
        <w:spacing w:after="0" w:line="175" w:lineRule="exact"/>
        <w:rPr>
          <w:sz w:val="20"/>
          <w:szCs w:val="20"/>
          <w:color w:val="auto"/>
        </w:rPr>
      </w:pPr>
    </w:p>
    <w:p>
      <w:pPr>
        <w:ind w:left="1320" w:right="28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REACT and any other future product candidates through clinical development, and, if successful, later-stage clinical trials;</w:t>
      </w:r>
    </w:p>
    <w:p>
      <w:pPr>
        <w:spacing w:after="0" w:line="188" w:lineRule="exact"/>
        <w:rPr>
          <w:rFonts w:ascii="Times New Roman" w:cs="Times New Roman" w:eastAsia="Times New Roman" w:hAnsi="Times New Roman"/>
          <w:sz w:val="18"/>
          <w:szCs w:val="18"/>
          <w:color w:val="auto"/>
        </w:rPr>
      </w:pPr>
    </w:p>
    <w:p>
      <w:pPr>
        <w:ind w:left="1320" w:hanging="472"/>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to any future preclinical studies, our current clinical trials, our receipt of services from our third-party service providers on whom we rely, or our supply chain, including delays due to health crises or events or circumstances beyond our control;</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39" w:name="page40"/>
    <w:bookmarkEnd w:id="39"/>
    <w:p>
      <w:pPr>
        <w:ind w:left="1320" w:hanging="47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future product candidates that may successfully complete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REACT and any future product candidates, if approved;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discover and develop product candidates and line extensions;</w:t>
      </w:r>
    </w:p>
    <w:p>
      <w:pPr>
        <w:spacing w:after="0" w:line="252"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materials needed for clinical trials or, following receipt of necessary regulatory approvals, commercial sales, at our manufacturing facilities;</w:t>
      </w:r>
    </w:p>
    <w:p>
      <w:pPr>
        <w:spacing w:after="0" w:line="188"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commercial-scale cGMP manufacturing facilities and partner with Contract Development and Manufacturing Organizations (“CDMOs”);</w:t>
      </w:r>
    </w:p>
    <w:p>
      <w:pPr>
        <w:spacing w:after="0" w:line="188" w:lineRule="exact"/>
        <w:rPr>
          <w:rFonts w:ascii="Times New Roman" w:cs="Times New Roman" w:eastAsia="Times New Roman" w:hAnsi="Times New Roman"/>
          <w:sz w:val="18"/>
          <w:szCs w:val="18"/>
          <w:color w:val="auto"/>
        </w:rPr>
      </w:pPr>
    </w:p>
    <w:p>
      <w:pPr>
        <w:ind w:left="1320" w:right="760" w:hanging="472"/>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88" w:lineRule="exact"/>
        <w:rPr>
          <w:rFonts w:ascii="Times New Roman" w:cs="Times New Roman" w:eastAsia="Times New Roman" w:hAnsi="Times New Roman"/>
          <w:sz w:val="18"/>
          <w:szCs w:val="18"/>
          <w:color w:val="auto"/>
        </w:rPr>
      </w:pPr>
    </w:p>
    <w:p>
      <w:pPr>
        <w:ind w:left="1320" w:right="300" w:hanging="472"/>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executives in clinical development, regulatory, manufacturing, quality control, quality assurance, scientific, public / investor relations general and administrative and management personnel;</w:t>
      </w:r>
    </w:p>
    <w:p>
      <w:pPr>
        <w:spacing w:after="0" w:line="188" w:lineRule="exact"/>
        <w:rPr>
          <w:rFonts w:ascii="Times New Roman" w:cs="Times New Roman" w:eastAsia="Times New Roman" w:hAnsi="Times New Roman"/>
          <w:sz w:val="18"/>
          <w:szCs w:val="18"/>
          <w:color w:val="auto"/>
        </w:rPr>
      </w:pPr>
    </w:p>
    <w:p>
      <w:pPr>
        <w:ind w:left="1320" w:right="620" w:hanging="472"/>
        <w:spacing w:after="0" w:line="312" w:lineRule="auto"/>
        <w:tabs>
          <w:tab w:leader="none" w:pos="1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increase personnel, including personnel to support our clinical development and manufacturing efforts, general and administrative functions and our operations as a public company;</w:t>
      </w:r>
    </w:p>
    <w:p>
      <w:pPr>
        <w:spacing w:after="0" w:line="166" w:lineRule="exact"/>
        <w:rPr>
          <w:rFonts w:ascii="Times New Roman" w:cs="Times New Roman" w:eastAsia="Times New Roman" w:hAnsi="Times New Roman"/>
          <w:sz w:val="17"/>
          <w:szCs w:val="17"/>
          <w:color w:val="auto"/>
        </w:rPr>
      </w:pPr>
    </w:p>
    <w:p>
      <w:pPr>
        <w:ind w:left="1320" w:hanging="472"/>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domestic and global sales, marketing, medical affairs and distribution infrastructure to commercialize any products for which we may obtain marketing approval and intend to commercialize on our own or jointly with third parties;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34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completing non-clinical studies and clinical trials, obtaining marketing approval for REACT and any future product candidates, manufacturing, marketing and selling products for which we may obtain marketing approval and satisfying any post-marketing requirements. Because of the numerous risks and uncertainties associated with biopharmaceutical product development, we are unable to accurately predict the timing or amount of increased expenses or when, or if, we will be able to achieve profitability.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require substantial additional capital to finance our operations. If we are unable to raise such capital when needed, or on acceptable terms, we may be forced to delay, reduce and/or eliminate one or more of our research and product development programs, future commercialization efforts or other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ongoing and planned clinical trials of REACT and any future product candidates that we may develop, seek regulatory approvals for REACT and our future product candidates, and manufacture,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product development programs or future commercialization efforts.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$363.0 million in cash, cash equivalents and short-term investments. Based on our current operating plan, we believe that our cash, cash equivalents and short-term investments will be sufficient to fund our operating expenses and capital expenditure requirements into the fourth quarter of 2025. However, this does not reflect the possibility that we may not be able to access a portion of our existing cash, cash equivalents and investments due to market conditions. For example, on March 10, 2023, the Federal Deposit Insurance Corporation, or the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Furthermore,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monthly spending levels will vary based on new and ongoing development and corporate activities. Because the length of time and activities associated with development of REACT and any future product candidates is highly uncertain, we are unable</w:t>
      </w: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99" w:right="559" w:bottom="1440" w:gutter="0" w:footer="0" w:header="0"/>
        </w:sectPr>
      </w:pPr>
    </w:p>
    <w:bookmarkStart w:id="40" w:name="page41"/>
    <w:bookmarkEnd w:id="40"/>
    <w:p>
      <w:pPr>
        <w:ind w:right="380"/>
        <w:spacing w:after="0" w:line="282" w:lineRule="auto"/>
        <w:rPr>
          <w:sz w:val="20"/>
          <w:szCs w:val="20"/>
          <w:color w:val="auto"/>
        </w:rPr>
      </w:pPr>
      <w:r>
        <w:rPr>
          <w:rFonts w:ascii="Times New Roman" w:cs="Times New Roman" w:eastAsia="Times New Roman" w:hAnsi="Times New Roman"/>
          <w:sz w:val="18"/>
          <w:szCs w:val="18"/>
          <w:color w:val="auto"/>
        </w:rPr>
        <w:t>to estimate the actual funds we will require for development, marketing and commercialization activities. Our future funding requirements, both near and long-term, will depend on many factors, including, but not limited to:</w:t>
      </w:r>
    </w:p>
    <w:p>
      <w:pPr>
        <w:spacing w:after="0" w:line="175" w:lineRule="exact"/>
        <w:rPr>
          <w:sz w:val="20"/>
          <w:szCs w:val="20"/>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REACT and any future product candidates;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252" w:lineRule="exact"/>
        <w:rPr>
          <w:rFonts w:ascii="Times New Roman" w:cs="Times New Roman" w:eastAsia="Times New Roman" w:hAnsi="Times New Roman"/>
          <w:sz w:val="18"/>
          <w:szCs w:val="18"/>
          <w:color w:val="auto"/>
        </w:rPr>
      </w:pPr>
    </w:p>
    <w:p>
      <w:pPr>
        <w:ind w:left="1320" w:right="46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EMA and other comparable foreign regulatory authorities;</w:t>
      </w:r>
    </w:p>
    <w:p>
      <w:pPr>
        <w:spacing w:after="0" w:line="188"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enter into and maintain collaboration agreements, including the terms of and timing of payments under any such agreements;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REACT or any of our future product candidates;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clinical, technological and market developments;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own commercial-scale cGMP manufacturing facility;</w:t>
      </w:r>
    </w:p>
    <w:p>
      <w:pPr>
        <w:spacing w:after="0" w:line="252"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88" w:lineRule="exact"/>
        <w:rPr>
          <w:rFonts w:ascii="Times New Roman" w:cs="Times New Roman" w:eastAsia="Times New Roman" w:hAnsi="Times New Roman"/>
          <w:sz w:val="18"/>
          <w:szCs w:val="18"/>
          <w:color w:val="auto"/>
        </w:rPr>
      </w:pPr>
    </w:p>
    <w:p>
      <w:pPr>
        <w:ind w:left="1320" w:right="74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REACT and any of our future product candidates for which we receive marketing approval; and</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47"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We currently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shareholders. Further, to the extent that we raise additional capital through the sale of ordinary shares or securities convertible or exchangeable into ordinary shares,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REACT and any future product candidates, technologies, future revenue streams or research programs or grant licenses on terms that may not be favorable to us. We also may be required to seek collaborators for REACT or any of our future product candidates at an earlier stage than otherwise would be desirable or relinquish our rights to REACT and any future product candidates or technologies that we otherwise would seek to develop or commercialize ourselves. Market volatility could also adversely impact our ability to access capital as and when needed. If we are unable to raise additional capital in sufficient amounts or on terms acceptable to us, we may have to significantly delay, scale back or discontinue the development or commercialization of REACT or any of our future product candidates or one or more of our other research and development initiatives. Any of the above events could significantly harm our business, prospects, financial condition and results of operations and cause the price of our ordinary shares to decline.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 of REACT and Our Future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revenue to date, and may never become profitable.</w:t>
      </w:r>
    </w:p>
    <w:p>
      <w:pPr>
        <w:spacing w:after="0" w:line="12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were founded in 2018, have no products approved for commercial sale and have not generated any revenue. Our operations to date have been limited to organizing and staffing our company, business planning, raising capital, undertaking non-clinical studies, conducting clinical trials, developing a network of key opinion leaders, and performing research and development of REACT. Our approach to the discovery and development of product candidates is unproven, and we do not know whether we will be able to develop any products of commercial value. REACT and any other product candidates we develop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later-stage clinical trials leading to successful marketing authorization. We may be unable to obtain regulatory approval, manufacture a commercial scale product, or arrange for a third party to do so on our behalf, achieve market access, and acceptance with insurers and health care providers, or conduct sales and marketing activities necessary for successful product commercialization.</w:t>
      </w:r>
    </w:p>
    <w:p>
      <w:pPr>
        <w:spacing w:after="0" w:line="86"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If and when one of our product candidates were to</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1093" w:right="459" w:bottom="0"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ind w:right="100"/>
        <w:spacing w:after="0" w:line="256" w:lineRule="auto"/>
        <w:rPr>
          <w:sz w:val="20"/>
          <w:szCs w:val="20"/>
          <w:color w:val="auto"/>
        </w:rPr>
      </w:pPr>
      <w:r>
        <w:rPr>
          <w:rFonts w:ascii="Times New Roman" w:cs="Times New Roman" w:eastAsia="Times New Roman" w:hAnsi="Times New Roman"/>
          <w:sz w:val="18"/>
          <w:szCs w:val="18"/>
          <w:color w:val="auto"/>
        </w:rPr>
        <w:t>receive regulatory approval, we would need to transition from a company with a research and development focus to a company capable of supporting commercial activities. We may not be successful in such a transition. In addition, as a business with a limited operating history, we may encounter unforeseen expenses, difficulties, complications, delays and other known and unknown factors and risks frequently experienced by early-stage biopharmaceutical companies in rapidly evolving and complex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medical products.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Due to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succeed in commercializing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shares and impair our ability to raise capital, maintain our research and development efforts, expand our business or continue our operations.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biologics and for the treatment of kidney disease is highly competitive. If we fail to effectively compete, our business, financial condition and operating results will suffer.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the biologics market and in the area of treatment of kidney disease. We face competition from companies that develop and manufacture cell therapies, including major and specialty pharmaceutical and biotechnology companies, developers of tubular and glomerular cell drug modulators, antifibrosis medications,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 We believe that our principal competitors include developers of SGLT2 inhibitors and MRAs, which are small-molecule therapies recently approved to lower risks of CKD progression.</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Many of our current competitors may have competitive advantages over us, including significantly greater financial resources and expertise in research and development, pre-clinical testing, clinical trials, manufacturing, and marketing than we have.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target markets include:</w:t>
      </w:r>
    </w:p>
    <w:p>
      <w:pPr>
        <w:spacing w:after="0" w:line="239" w:lineRule="exact"/>
        <w:rPr>
          <w:sz w:val="20"/>
          <w:szCs w:val="20"/>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including sensitivity and specificity, and reproducibility of results;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offerings or products, if approved;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profile;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promotional support;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patient population;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of dosing and administration.</w:t>
      </w:r>
    </w:p>
    <w:p>
      <w:pPr>
        <w:spacing w:after="0" w:line="34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approved, our products may not compete favorably or may not be successful in the face of increasing competition from new products and technologies introduced by existing competitors or new companies entering our target markets. Notably, we may face additional competition from GLP-1 agonists, approved for type 2 diabetes and obesity, which have shown to reduce mortality in patients with advanced-stage CKD and ESRD, slow the progression of CKD and may lead to long term weight loss. Ongoing and increased adoption of GLP-1 agonists or other new or innovative technologies, drugs or other treatments have the potential to impact the rate of growth of our intended patient population or decrease the size of our addressable market. Any sustained or significant decline in the rate of growth of our intended patient population or demand for our products, whether as a result of developments related to new or innovative technologies, drugs, treatments or otherwise, may adversely impact our business. In addition, our competitors may have or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29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lead product candidate, REACT, as well as any other future product candidates that we may advance into clinical development. REACT and our future product candidates will require significant</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clinical development and funding before we may be able to seek regulatory approval for and launch a product commercially.</w:t>
      </w:r>
    </w:p>
    <w:p>
      <w:pPr>
        <w:spacing w:after="0" w:line="12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REACT, our lead product candidate, is in Phase 3 clinical development. We cannot offer any assurances or predict with any certainty that such Phase 3 clinical development will be successfully completed, that positive clinical data will be obtained from such Phase 3 clinical development efforts or that regulatory authorities will grant marketing approval for REACT, in any such case on the expected timelines. Furthermore, regulatory approvals for REACT, even if obtained, may limit the type of patients in which REACT may be used for CKD or otherwise require specific warning or labeling language, each of which may reduce the commercial potential of REACT. Even if approved, we might not be successful in commercializing REACT. Should we fail to obtain regulatory approvals for REACT or fail to successfully commercialize REACT upon such regulatory approvals, our business and financial condition could be materially harmed and we may be more heavily dependent on the success of our other therapeutic programs.</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As an organization, we have not previously conducted any later stage or pivotal clinical trials, have limited experience in preparing, submitting and pursuing regulatory filings and have not previously submitted a BLA for any product candidate. Before we can generate any revenue from sales of our lead product candidate, REACT, or any of our future product candidates, we must complete clinical development, regulatory review and approval in one or more jurisdictions. We also need to obtain substantial additional funding to support our continuing operations and pursue our growth strategy. In addition, if REACT or any of our future product candidates is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REACT or any of our future product candidates.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or our ability to commercialize, REACT and any of our future product candidates, including:</w:t>
      </w:r>
    </w:p>
    <w:p>
      <w:pPr>
        <w:spacing w:after="0" w:line="175" w:lineRule="exact"/>
        <w:rPr>
          <w:sz w:val="20"/>
          <w:szCs w:val="20"/>
          <w:color w:val="auto"/>
        </w:rPr>
      </w:pPr>
    </w:p>
    <w:p>
      <w:pPr>
        <w:ind w:left="1320" w:hanging="472"/>
        <w:spacing w:after="0" w:line="266"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positive results from the clinical trials of others for product candidates similar to ours leading to their approval, leading to a decision or requirement to conduct additional preclinical testing or clinical trials or to abandon a program;</w:t>
      </w:r>
    </w:p>
    <w:p>
      <w:pPr>
        <w:spacing w:after="0" w:line="202" w:lineRule="exact"/>
        <w:rPr>
          <w:rFonts w:ascii="Times New Roman" w:cs="Times New Roman" w:eastAsia="Times New Roman" w:hAnsi="Times New Roman"/>
          <w:sz w:val="18"/>
          <w:szCs w:val="18"/>
          <w:color w:val="auto"/>
        </w:rPr>
      </w:pPr>
    </w:p>
    <w:p>
      <w:pPr>
        <w:jc w:val="both"/>
        <w:ind w:left="1320" w:right="20" w:hanging="472"/>
        <w:spacing w:after="0" w:line="266"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or adverse events experienced by patients or subjects in our clinical trials or by individuals using medicines or therapeutics that we, the FDA, other regulators or others view as relevant to the development of REACT or any of our future product candidates;</w:t>
      </w:r>
    </w:p>
    <w:p>
      <w:pPr>
        <w:spacing w:after="0" w:line="202"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88"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 including our clinical endpoints, and any requirement for additional confirmatory trials;</w:t>
      </w:r>
    </w:p>
    <w:p>
      <w:pPr>
        <w:spacing w:after="0" w:line="188"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clinical trials and completion of clinical trials, including under the FDA’s GCPs, the guidelines from International Conference on Harmonization (“ICH Guidelines”), GLP, and cGTPs;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compliance with regulatory requirements, including cGMPs, and complying effectively with other procedures;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w:t>
      </w:r>
    </w:p>
    <w:p>
      <w:pPr>
        <w:spacing w:after="0" w:line="252" w:lineRule="exact"/>
        <w:rPr>
          <w:rFonts w:ascii="Times New Roman" w:cs="Times New Roman" w:eastAsia="Times New Roman" w:hAnsi="Times New Roman"/>
          <w:sz w:val="18"/>
          <w:szCs w:val="18"/>
          <w:color w:val="auto"/>
        </w:rPr>
      </w:pPr>
    </w:p>
    <w:p>
      <w:pPr>
        <w:ind w:left="1320" w:right="30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REACT or our future product candidates or other materials necessary for the conduct of our clinical trials;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REACT or our future product candidates during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taking longer than anticipated;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trials being subjected to fraud or data capture failure or other technical mishaps leading to the invalidation of our trial results;</w:t>
      </w:r>
    </w:p>
    <w:p>
      <w:pPr>
        <w:spacing w:after="0" w:line="252"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trials not supporting application for conditional approval in the European Union, the Asia-Pacific region, and Latin America;</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252" w:lineRule="exact"/>
        <w:rPr>
          <w:rFonts w:ascii="Times New Roman" w:cs="Times New Roman" w:eastAsia="Times New Roman" w:hAnsi="Times New Roman"/>
          <w:sz w:val="18"/>
          <w:szCs w:val="18"/>
          <w:color w:val="auto"/>
        </w:rPr>
      </w:pPr>
    </w:p>
    <w:p>
      <w:pPr>
        <w:ind w:left="1320" w:right="56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323"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development generally or with respect to our technology in particular;</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ectPr>
          <w:pgSz w:w="11900" w:h="16838" w:orient="portrait"/>
          <w:cols w:equalWidth="0" w:num="1">
            <w:col w:w="11100"/>
          </w:cols>
          <w:pgMar w:left="320" w:top="1305" w:right="479" w:bottom="2" w:gutter="0" w:footer="0" w:header="0"/>
        </w:sectPr>
      </w:pPr>
    </w:p>
    <w:bookmarkStart w:id="44" w:name="page45"/>
    <w:bookmarkEnd w:id="44"/>
    <w:p>
      <w:pPr>
        <w:ind w:left="472" w:hanging="472"/>
        <w:spacing w:after="0"/>
        <w:tabs>
          <w:tab w:leader="none" w:pos="47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Health Technology Assessment (“HTA”) procedures with governmental authorities;</w:t>
      </w:r>
    </w:p>
    <w:p>
      <w:pPr>
        <w:spacing w:after="0" w:line="264" w:lineRule="exact"/>
        <w:rPr>
          <w:rFonts w:ascii="Times New Roman" w:cs="Times New Roman" w:eastAsia="Times New Roman" w:hAnsi="Times New Roman"/>
          <w:sz w:val="17"/>
          <w:szCs w:val="17"/>
          <w:color w:val="auto"/>
        </w:rPr>
      </w:pPr>
    </w:p>
    <w:p>
      <w:pPr>
        <w:ind w:left="472" w:hanging="472"/>
        <w:spacing w:after="0"/>
        <w:tabs>
          <w:tab w:leader="none" w:pos="4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level review of REACT by CMS;</w:t>
      </w:r>
    </w:p>
    <w:p>
      <w:pPr>
        <w:spacing w:after="0" w:line="252"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on our other ongoing or future programs;</w:t>
      </w:r>
    </w:p>
    <w:p>
      <w:pPr>
        <w:spacing w:after="0" w:line="239"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91"/>
          </w:cols>
          <w:pgMar w:left="1168" w:top="94" w:right="1440" w:bottom="1440" w:gutter="0" w:footer="0" w:header="0"/>
        </w:sectPr>
      </w:pPr>
    </w:p>
    <w:bookmarkStart w:id="45" w:name="page46"/>
    <w:bookmarkEnd w:id="45"/>
    <w:p>
      <w:pPr>
        <w:ind w:left="1320" w:hanging="472"/>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scientific discovery and technology of cell-based therapies and bioprocessing; or</w:t>
      </w:r>
    </w:p>
    <w:p>
      <w:pPr>
        <w:spacing w:after="0" w:line="252" w:lineRule="exact"/>
        <w:rPr>
          <w:rFonts w:ascii="Times New Roman" w:cs="Times New Roman" w:eastAsia="Times New Roman" w:hAnsi="Times New Roman"/>
          <w:sz w:val="18"/>
          <w:szCs w:val="18"/>
          <w:color w:val="auto"/>
        </w:rPr>
      </w:pPr>
    </w:p>
    <w:p>
      <w:pPr>
        <w:ind w:left="1320" w:right="580" w:hanging="472"/>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manufacturing automation which could require a re-design of parts or equipment to ensure quality replacement component, the delays of which could cause significant delays in manufacturing and loss of sales.</w:t>
      </w:r>
    </w:p>
    <w:p>
      <w:pPr>
        <w:spacing w:after="0" w:line="28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REACT is based on a novel technology, which makes it difficult to predict the time and cost of product development and of subsequently obtaining regulatory approval.</w:t>
      </w:r>
    </w:p>
    <w:p>
      <w:pPr>
        <w:spacing w:after="0" w:line="3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cell therapy products are evolving and the FDA or other regulatory bodies may change the requirements, or identify different regulatory pathways, for approval for REACT or any of our future product candidates. For example, the FDA has established the Office of Tissues and Advanced Therapies within the Center for Biologics Evaluation and Research (“CBER”) to consolidate the review of cell therapy and related products, and has established the Cellular, Tissue and Gene Therapies Advisory Committee to advise CBER in its review when called upon. It is possible that over time new or different divisions may be established or be granted the responsibility for regulating cell therapy products, including regenerative cell-based products, such as ours. Further, additional regulatory involvement from FDA advisory bodies, including the Cardio-Renal Advisory Committee, may delay review or make additional recommendations requiring further investigation. As a result, we may be required to change our regulatory strategy or to modify our applications for regulatory approval, which could delay and impair our ability to complete the non-clinical and clinical development and manufacture of, and obtain regulatory approval for, REACT or any future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REACT or any future product candidates or lead to significant post-approval limitations or restrictions.</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regenerative renal cell-based therapies. To date, the FDA has approved a relatively small number of cell-based therapies for commercialization, and no regenerative renal-based cell therapy has been approved for commercial use by any regulatory authority. The processes and requirements imposed by the FDA or other applicable regulatory authorities may cause delays and additional costs in obtaining approvals for marketing authorization for REACT or any future product candidates. Because our platform is novel, and cell-based therapies are relatively new, regulatory agencies may lack experience in evaluating product candidates like REACT. This novelty may lengthen the regulatory review process, including the time it takes for the FDA to review our IND applications if and when submitted, increase our development costs and delay or prevent commercialization of REACT. Additionally, advancing novel CKD therapies creates significant challenges for us, including:</w:t>
      </w:r>
    </w:p>
    <w:p>
      <w:pPr>
        <w:spacing w:after="0" w:line="205" w:lineRule="exact"/>
        <w:rPr>
          <w:sz w:val="20"/>
          <w:szCs w:val="20"/>
          <w:color w:val="auto"/>
        </w:rPr>
      </w:pPr>
    </w:p>
    <w:p>
      <w:pPr>
        <w:ind w:left="1320" w:hanging="472"/>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REACT and, as the clinical development program progresses, on observed side effects with REACT;</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medical personnel on the proper use and delivery of REACT;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subjects in clinical trials;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a manufacturing process to support the clinical development of REACT.</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REACT.</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we advance REACT, we will be required to consult with the FDA and other regulatory authorities, and REACT will likely be reviewed by an FDA advisory committee. We also must comply with applicable requirements, and if we fail to do so, we may be required to delay or discontinue development of REACT. Delays or unexpected costs in obtaining, or the failure to obtain, the regulatory approval necessary to bring a potential product to market could impair our ability to generate sufficient product revenues to maintain our business.</w:t>
      </w:r>
    </w:p>
    <w:p>
      <w:pPr>
        <w:spacing w:after="0" w:line="72"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In addition, adverse developments in preclinical studies or clinical trials conducted by others in the field of cell therapy products may cause the FDA, the EMA, and other regulatory bodies to revise the requirements for approval of any product candidates we may develop, and may otherwise negatively affect our ability to develop and commercialize REACT or future product candidates. Similarly, the European Commission may issue new guidelines concerning the development and marketing authorization for cell therapies and require that we comply with these new guidelines, which could require additional studies or clinical trials to support the marketing approval of REACT or any product candidates we may develop in the future or which could make our product candidates unable to successfully obtain approval.</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46" w:name="page47"/>
    <w:bookmarkEnd w:id="46"/>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regulatory review committees and advisory groups described above and the new guidelines they promulgate may lengthen the regulatory review process, require us to perform additional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complex and expensive process, with an uncertain outcome, and the results of nonclinical studies, previous clinical trials, or interim results of ongoing clinical trials of REACT and any of our future product candidates may not be predictive of future results. Further, we may encounter substantial delays in completing the development of REACT and any of our future product candidates.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 REACT, is in clinical development, and its risk of failure is high. The clinical trials, manufacturing and marketing of REACT or any of our future product candidates, if approved, are and will continue to be subject to extensive and rigorous review and regulation by numerous government authorities in the United States and in other countries where we intend to test and market REACT and any of our future product candidates. Before obtaining regulatory approvals for the commercial sale of REACT or any of our future product candidates, we must demonstrate through lengthy, complex and expensive testing and clinical trials that our product candidates are both safe and effective for use in each target indication. In particular, because REACT is subject to regulation as a biological product, we will need to demonstrate that it is safe, pure and potent for use in its target indication and lacks latent untoward cell effects. REACT and any other product candidate we may develop must demonstrate an adequate risk versus benefit profile in its intended patient population and for its intended use. The process of administration of REACT involves taking a small biopsy of tissue from the kidney. The risks associated with a biopsy include bleeding, pain, hematoma, or bruising, scarring, and infarcts, or loss of blood supply resulting in loss of function.</w:t>
      </w:r>
    </w:p>
    <w:p>
      <w:pPr>
        <w:spacing w:after="0" w:line="8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In particular, the general approach for FDA approval of a new therapeutic modality can include dispositive data from two adequate well-controlled clinical trials of the relevant product in the relevant patient population. Our Phase 3 development program may involve one to two thousand patients, have significant costs and take years to complete. A product candidate can fail at any stage of testing, even after observing promising signals of activity in earlier nonclinical studies or clinical trials. The outcome of nonclinical studies and early clinical trials of REACT and our future product candidates may not be predictive of the success of the Phase 3 registrational development program, and interim results of a clinical trial do not necessarily predict final results.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therapeutic products and there can be no assurance that any of our future clinical trials will ultimately be successful or support further clinical development of REACT or any of our future product candidates. Product candidates and delivery methods for cellular therapeutics and tissue engineered products that appear promising in the early phases of development may fail to reach the market for several reasons, including:</w:t>
      </w:r>
    </w:p>
    <w:p>
      <w:pPr>
        <w:spacing w:after="0" w:line="211" w:lineRule="exact"/>
        <w:rPr>
          <w:sz w:val="20"/>
          <w:szCs w:val="20"/>
          <w:color w:val="auto"/>
        </w:rPr>
      </w:pPr>
    </w:p>
    <w:p>
      <w:pPr>
        <w:ind w:left="1320" w:hanging="472"/>
        <w:spacing w:after="0" w:line="266"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studies or clinical trials may show the product candidates to be less effective than expected (e.g., a clinical trial could fail to meet its primary endpoint(s)) or to have unacceptable side effects or toxicities associated with the product or delivery method;</w:t>
      </w:r>
    </w:p>
    <w:p>
      <w:pPr>
        <w:spacing w:after="0" w:line="20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 and relevant;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52"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mechanism of action, logistical constraints or other factors that make a product candidate uneconomical; and</w:t>
      </w:r>
    </w:p>
    <w:p>
      <w:pPr>
        <w:spacing w:after="0" w:line="188" w:lineRule="exact"/>
        <w:rPr>
          <w:rFonts w:ascii="Times New Roman" w:cs="Times New Roman" w:eastAsia="Times New Roman" w:hAnsi="Times New Roman"/>
          <w:sz w:val="18"/>
          <w:szCs w:val="18"/>
          <w:color w:val="auto"/>
        </w:rPr>
      </w:pPr>
    </w:p>
    <w:p>
      <w:pPr>
        <w:ind w:left="1320" w:right="260" w:hanging="472"/>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product candidates from being commercialized.</w:t>
      </w:r>
    </w:p>
    <w:p>
      <w:pPr>
        <w:spacing w:after="0" w:line="2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our earlier stage trials are open-label studies, where both the subject and investigator know whether the subject is receiving REACT or standard of care therapy. Most typically, open-label clinical trials test only the investigational product candidate and sometimes do so at different dose levels. Open-label clinical trials are subject to various limitations and biases that may exaggerate any therapeutic effect as subjects in open-label clinical trials are aware when they are receiving treatment. In addition, open-label clinical trials may be subject to an</w:t>
      </w:r>
    </w:p>
    <w:p>
      <w:pPr>
        <w:spacing w:after="0" w:line="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47" w:name="page48"/>
    <w:bookmarkEnd w:id="47"/>
    <w:p>
      <w:pPr>
        <w:ind w:right="160"/>
        <w:spacing w:after="0" w:line="256" w:lineRule="auto"/>
        <w:rPr>
          <w:sz w:val="20"/>
          <w:szCs w:val="20"/>
          <w:color w:val="auto"/>
        </w:rPr>
      </w:pPr>
      <w:r>
        <w:rPr>
          <w:rFonts w:ascii="Times New Roman" w:cs="Times New Roman" w:eastAsia="Times New Roman" w:hAnsi="Times New Roman"/>
          <w:sz w:val="18"/>
          <w:szCs w:val="18"/>
          <w:color w:val="auto"/>
        </w:rPr>
        <w:t>“investigator bias” where those assessing and reviewing the physiological outcomes of the clinical trials are aware of which subjects have received treatment and may interpret the information of the treated group more favorably given this knowledge. Given that our earlier stage trials include an open-label dosing design, while we believe our trials utilize objective assessment measures for measuring our endpoints and therefore are unlikely to be influenced in any manner by subject or investigator bias, it is unknown whether the open-label design may not be predictive of future clinical trial results with this or other product candidates for which we conduct an open-label clinical trial when studied in a controlled environment or with only objective endpoints.</w:t>
      </w:r>
    </w:p>
    <w:p>
      <w:pPr>
        <w:spacing w:after="0" w:line="7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Furthermore, the standards that the FDA and comparable foreign regulatory authorities use when regulating REACT require judgment and may change over time, which makes it difficult to predict with certainty how they will be applied. Any analysis we perform of data from nonclinical and clinical activities is subject to validation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Specifically, some countries, such as China, have enacted or are considering enacting restrictions on the import and export of human genetic materials, cells and tissues. Such laws and regulations could impair our ability to import and export human cells and cell-based therapies, which could have a material adverse impact on our business. We cannot predict whether legislative changes will be enacted,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84"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pivotal trials required for the approval of REACT. We may experience delays in conducting any clinical trials, need to be redesigned, recruit and enroll subjects on time or be completed on schedule, or at all. Clinical trials can be delayed suspended or terminated for a variety of reasons, including in connection with:</w:t>
      </w:r>
    </w:p>
    <w:p>
      <w:pPr>
        <w:spacing w:after="0" w:line="189" w:lineRule="exact"/>
        <w:rPr>
          <w:sz w:val="20"/>
          <w:szCs w:val="20"/>
          <w:color w:val="auto"/>
        </w:rPr>
      </w:pPr>
    </w:p>
    <w:p>
      <w:pPr>
        <w:ind w:left="1320" w:right="16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standardizing or controlling a manufacturing process and quality criteria suitable for advanced clinical trials;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252" w:lineRule="exact"/>
        <w:rPr>
          <w:rFonts w:ascii="Times New Roman" w:cs="Times New Roman" w:eastAsia="Times New Roman" w:hAnsi="Times New Roman"/>
          <w:sz w:val="18"/>
          <w:szCs w:val="18"/>
          <w:color w:val="auto"/>
        </w:rPr>
      </w:pPr>
    </w:p>
    <w:p>
      <w:pPr>
        <w:ind w:left="1320" w:right="38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authorizations to conduct future clinical trials;</w:t>
      </w:r>
    </w:p>
    <w:p>
      <w:pPr>
        <w:spacing w:after="0" w:line="252" w:lineRule="exact"/>
        <w:rPr>
          <w:rFonts w:ascii="Times New Roman" w:cs="Times New Roman" w:eastAsia="Times New Roman" w:hAnsi="Times New Roman"/>
          <w:sz w:val="18"/>
          <w:szCs w:val="18"/>
          <w:color w:val="auto"/>
        </w:rPr>
      </w:pPr>
    </w:p>
    <w:p>
      <w:pPr>
        <w:ind w:left="1320" w:right="44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additional/future clinical trial sites or prospective CROs, the terms of which can be subject to extensive negotiation and may vary significantly among different clinical trial sites;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additional/future trial site;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252" w:lineRule="exact"/>
        <w:rPr>
          <w:rFonts w:ascii="Times New Roman" w:cs="Times New Roman" w:eastAsia="Times New Roman" w:hAnsi="Times New Roman"/>
          <w:sz w:val="18"/>
          <w:szCs w:val="18"/>
          <w:color w:val="auto"/>
        </w:rPr>
      </w:pPr>
    </w:p>
    <w:p>
      <w:pPr>
        <w:ind w:left="1320" w:right="60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FDA’s GCP requirements, or applicable regulatory requirements in other countries;</w:t>
      </w:r>
    </w:p>
    <w:p>
      <w:pPr>
        <w:spacing w:after="0" w:line="188"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or the delivery procedure that are viewed to outweigh its potential benefits;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252" w:lineRule="exact"/>
        <w:rPr>
          <w:rFonts w:ascii="Times New Roman" w:cs="Times New Roman" w:eastAsia="Times New Roman" w:hAnsi="Times New Roman"/>
          <w:sz w:val="18"/>
          <w:szCs w:val="18"/>
          <w:color w:val="auto"/>
        </w:rPr>
      </w:pPr>
    </w:p>
    <w:p>
      <w:pPr>
        <w:ind w:left="1320" w:right="84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which could result in improper storage, transport or development conditions for our product components, whose treatment is time-sensitive and temperature-sensitive and which are patient-specific; or</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manufacturing processes, which could lead to our inability to properly administer treatment.</w:t>
      </w:r>
    </w:p>
    <w:p>
      <w:pPr>
        <w:spacing w:after="0" w:line="347" w:lineRule="exact"/>
        <w:rPr>
          <w:sz w:val="20"/>
          <w:szCs w:val="20"/>
          <w:color w:val="auto"/>
        </w:rPr>
      </w:pPr>
    </w:p>
    <w:p>
      <w:pPr>
        <w:ind w:right="740" w:firstLine="509"/>
        <w:spacing w:after="0" w:line="312"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REACT or any of our future product candidates or significantly increase the cost of such trials, including:</w:t>
      </w:r>
    </w:p>
    <w:p>
      <w:pPr>
        <w:spacing w:after="0" w:line="153" w:lineRule="exact"/>
        <w:rPr>
          <w:sz w:val="20"/>
          <w:szCs w:val="20"/>
          <w:color w:val="auto"/>
        </w:rPr>
      </w:pPr>
    </w:p>
    <w:p>
      <w:pPr>
        <w:ind w:left="1320" w:hanging="472"/>
        <w:spacing w:after="0" w:line="282" w:lineRule="auto"/>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receive feedback from regulatory authorities that requires us to modify the design of our clinical trials;</w:t>
      </w:r>
    </w:p>
    <w:p>
      <w:pPr>
        <w:spacing w:after="0" w:line="188" w:lineRule="exact"/>
        <w:rPr>
          <w:rFonts w:ascii="Times New Roman" w:cs="Times New Roman" w:eastAsia="Times New Roman" w:hAnsi="Times New Roman"/>
          <w:sz w:val="18"/>
          <w:szCs w:val="18"/>
          <w:color w:val="auto"/>
        </w:rPr>
      </w:pPr>
    </w:p>
    <w:p>
      <w:pPr>
        <w:ind w:left="1320" w:right="660" w:hanging="472"/>
        <w:spacing w:after="0" w:line="282" w:lineRule="auto"/>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REACT or our future product candidates may produce negative or inconclusive results, and we may decide, or regulators may require us, to conduct additional clinical trials or abandon development programs;</w:t>
      </w:r>
    </w:p>
    <w:p>
      <w:pPr>
        <w:sectPr>
          <w:pgSz w:w="11900" w:h="16838" w:orient="portrait"/>
          <w:cols w:equalWidth="0" w:num="1">
            <w:col w:w="11100"/>
          </w:cols>
          <w:pgMar w:left="320" w:top="1093" w:right="479" w:bottom="0" w:gutter="0" w:footer="0" w:header="0"/>
        </w:sectPr>
      </w:pPr>
    </w:p>
    <w:bookmarkStart w:id="48" w:name="page49"/>
    <w:bookmarkEnd w:id="48"/>
    <w:p>
      <w:pPr>
        <w:ind w:left="472" w:hanging="472"/>
        <w:spacing w:after="0" w:line="266" w:lineRule="auto"/>
        <w:tabs>
          <w:tab w:leader="none" w:pos="4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REACT or our future product candidates may be larger than we anticipate, enrollment in these clinical trials may be slower than we anticipate or subjects may drop out of these clinical trials at a higher rate than we anticipate;</w:t>
      </w:r>
    </w:p>
    <w:p>
      <w:pPr>
        <w:spacing w:after="0" w:line="190" w:lineRule="exact"/>
        <w:rPr>
          <w:sz w:val="20"/>
          <w:szCs w:val="20"/>
          <w:color w:val="auto"/>
        </w:rPr>
      </w:pPr>
    </w:p>
    <w:p>
      <w:pPr>
        <w:ind w:left="4692"/>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2"/>
          </w:cols>
          <w:pgMar w:left="1168" w:top="94" w:right="559" w:bottom="1440" w:gutter="0" w:footer="0" w:header="0"/>
        </w:sectPr>
      </w:pPr>
    </w:p>
    <w:bookmarkStart w:id="49" w:name="page50"/>
    <w:bookmarkEnd w:id="49"/>
    <w:p>
      <w:pPr>
        <w:ind w:left="1320" w:right="50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88" w:lineRule="exact"/>
        <w:rPr>
          <w:rFonts w:ascii="Times New Roman" w:cs="Times New Roman" w:eastAsia="Times New Roman" w:hAnsi="Times New Roman"/>
          <w:sz w:val="18"/>
          <w:szCs w:val="18"/>
          <w:color w:val="auto"/>
        </w:rPr>
      </w:pPr>
    </w:p>
    <w:p>
      <w:pPr>
        <w:ind w:left="1320" w:hanging="472"/>
        <w:spacing w:after="0" w:line="289" w:lineRule="auto"/>
        <w:tabs>
          <w:tab w:leader="none" w:pos="1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investigators might have to suspend or terminate clinical trials of REACT or our future product candidates for various reasons, including non-compliance with regulatory requirements, a finding that REACT or our future product candidates have undesirable side effects or other unexpected characteristics, or a finding that the subjects are being exposed to unacceptable health risks;</w:t>
      </w:r>
    </w:p>
    <w:p>
      <w:pPr>
        <w:spacing w:after="0" w:line="184" w:lineRule="exact"/>
        <w:rPr>
          <w:rFonts w:ascii="Times New Roman" w:cs="Times New Roman" w:eastAsia="Times New Roman" w:hAnsi="Times New Roman"/>
          <w:sz w:val="17"/>
          <w:szCs w:val="17"/>
          <w:color w:val="auto"/>
        </w:rPr>
      </w:pPr>
    </w:p>
    <w:p>
      <w:pPr>
        <w:ind w:left="1320" w:right="22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REACT or our future product candidates may be greater than we anticipate and we may not have funds to cover the costs;</w:t>
      </w:r>
    </w:p>
    <w:p>
      <w:pPr>
        <w:spacing w:after="0" w:line="188"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REACT or our future product candidates or other materials necessary to conduct clinical trials of our product candidates may be insufficient or inadequate;</w:t>
      </w:r>
    </w:p>
    <w:p>
      <w:pPr>
        <w:spacing w:after="0" w:line="188"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REACT or our future product candidates, or such requirements may not be as we anticipate; and</w:t>
      </w:r>
    </w:p>
    <w:p>
      <w:pPr>
        <w:spacing w:after="0" w:line="188" w:lineRule="exact"/>
        <w:rPr>
          <w:rFonts w:ascii="Times New Roman" w:cs="Times New Roman" w:eastAsia="Times New Roman" w:hAnsi="Times New Roman"/>
          <w:sz w:val="18"/>
          <w:szCs w:val="18"/>
          <w:color w:val="auto"/>
        </w:rPr>
      </w:pPr>
    </w:p>
    <w:p>
      <w:pPr>
        <w:ind w:left="1320" w:right="12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2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REACT or any of our future product candidates beyond those that we currently contemplate, if we are unable to successfully complete clinical trials of REACT or our future product candidates or other testing, if the results of these trials or tests are not positive or are only modestly positive or if there are safety concerns, we may:</w:t>
      </w:r>
    </w:p>
    <w:p>
      <w:pPr>
        <w:spacing w:after="0" w:line="189" w:lineRule="exact"/>
        <w:rPr>
          <w:sz w:val="20"/>
          <w:szCs w:val="20"/>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REACT or any of our future product candidates or not obtain marketing approval at all;</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1320" w:right="320" w:hanging="472"/>
        <w:spacing w:after="0" w:line="282"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252"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2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REACT or one of our future product candidates, changes in governmental regulations or administrative actions or lack of adequate funding to continue the clinical trial.</w:t>
      </w:r>
    </w:p>
    <w:p>
      <w:pPr>
        <w:spacing w:after="0" w:line="79" w:lineRule="exact"/>
        <w:rPr>
          <w:sz w:val="20"/>
          <w:szCs w:val="20"/>
          <w:color w:val="auto"/>
        </w:rPr>
      </w:pPr>
    </w:p>
    <w:p>
      <w:pPr>
        <w:ind w:right="540" w:firstLine="509"/>
        <w:spacing w:after="0" w:line="258" w:lineRule="auto"/>
        <w:rPr>
          <w:sz w:val="20"/>
          <w:szCs w:val="20"/>
          <w:color w:val="auto"/>
        </w:rPr>
      </w:pPr>
      <w:r>
        <w:rPr>
          <w:rFonts w:ascii="Times New Roman" w:cs="Times New Roman" w:eastAsia="Times New Roman" w:hAnsi="Times New Roman"/>
          <w:sz w:val="18"/>
          <w:szCs w:val="18"/>
          <w:color w:val="auto"/>
        </w:rPr>
        <w:t>REACT, our lead product candidate, will require extensive clinical testing before we are prepared to submit a BLA or MAA for regulatory approval. We cannot predict with any certainty if or when we might complete the clinical development for REACT and submit a BLA or MAA for regulatory approval of REACT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75" w:lineRule="exact"/>
        <w:rPr>
          <w:sz w:val="20"/>
          <w:szCs w:val="20"/>
          <w:color w:val="auto"/>
        </w:rPr>
      </w:pPr>
    </w:p>
    <w:p>
      <w:pPr>
        <w:ind w:right="240" w:firstLine="509"/>
        <w:spacing w:after="0" w:line="252" w:lineRule="auto"/>
        <w:rPr>
          <w:sz w:val="20"/>
          <w:szCs w:val="20"/>
          <w:color w:val="auto"/>
        </w:rPr>
      </w:pPr>
      <w:r>
        <w:rPr>
          <w:rFonts w:ascii="Times New Roman" w:cs="Times New Roman" w:eastAsia="Times New Roman" w:hAnsi="Times New Roman"/>
          <w:sz w:val="18"/>
          <w:szCs w:val="18"/>
          <w:color w:val="auto"/>
        </w:rPr>
        <w:t>We are currently conducting clinical trials in foreign countries, as well as in the United States. If we continue to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from foreign regulatory agencies may differ from that required to obtain FDA approval. Approval by the FDA does not ensure approval by regulatory authorities outside the United States and vice versa. 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9" w:right="459" w:bottom="645" w:gutter="0" w:footer="0" w:header="0"/>
        </w:sectPr>
      </w:pPr>
    </w:p>
    <w:bookmarkStart w:id="50" w:name="page51"/>
    <w:bookmarkEnd w:id="50"/>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topline data or interim analyses from our nonclinical studies and clinical trials that may be announced or published from time to time may change as more data becomes available and will remain subject to audit and verification procedures that could result in material changes in the final data.</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have disclosed interim analyses of certain ongoing clinical trials and may continue to disclose publicly interim or topline data from its nonclinical studies and clinical trials in the future. These interim updates will be based on a preliminary analysis of then-available data, and the results and related findings and conclusions will be subject to change following a more comprehensive review of the data related to the particular study or trial. We will be required to make assumptions, estimations, calculations and conclusions as part of our analyses of data, and we may not have received or had the opportunity to fully and carefully evaluate all data. As a result, the interim or topline results that we may report might differ from future results of the same studies or trials, or different conclusions or considerations may qualify such results, once additional data have been received and fully evaluated. Interim and topline data will remain subject to audit and verification procedures that may result in the final data being materially different from the data we previously published. As a result, any interim or topline data should be viewed with caution until the final data are available. Interim data from clinical trials that we may complete will be subject to the risk that one or more of the clinical outcomes may materially change as patient enrollment continues and more patient data becomes available.</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or topline data that we report differ from actual results, or if others, including regulatory authorities, disagree with the conclusions reached, our ability to obtain approval for, and commercialize, our product candidate may be harmed, which could harm our business, operating results, prospects or financial condition.</w:t>
      </w:r>
    </w:p>
    <w:p>
      <w:pPr>
        <w:spacing w:after="0" w:line="292"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authorities are lengthy, time-consuming and inherently unpredictable. If we are not able to obtain required regulatory approval for REACT, our lead product candidate, or any of our future product candidates, our business may be materially and adversely affected.</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biologic product candidates in the United States until we receive regulatory approval of a BLA from the FDA, and we cannot market it in the European Union until we receive approval from the FDA or approval for a MAA from the EMA, or other required regulatory approval in other countries. To date, we have had only limited discussions with the regulatory agencies of the United States, the European Union, Argentina, Israel, Canada and Brazil regarding clinical development programs or regulatory approval for any product candidate within such jurisdictions.</w:t>
      </w:r>
    </w:p>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biologic product candidate in the United States or abroad, we must demonstrate with substantial evidence from well-controlled clinical trials, and to the satisfaction of the FDA, EMA or other foreign regulatory agencies, that such product candidates are safe and effective for their intended uses. Results from nonclinical or preclinical studies and clinical trials may be interpreted differently by different regulatory agencies. Even if we believe the nonclinical or clinical data for REACT are promising, such data may be insufficient to support approval by the FDA and other regulatory authorities. The FDA may also require us to conduct additional nonclinical studies or clinical trials for REACT either prior to or after approval, or it may object to elements of our clinical development programs.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REACT could fail to receive regulatory approval for many reasons, including the following:</w:t>
      </w:r>
    </w:p>
    <w:p>
      <w:pPr>
        <w:spacing w:after="0" w:line="239" w:lineRule="exact"/>
        <w:rPr>
          <w:sz w:val="20"/>
          <w:szCs w:val="20"/>
          <w:color w:val="auto"/>
        </w:rPr>
      </w:pPr>
    </w:p>
    <w:p>
      <w:pPr>
        <w:ind w:left="1320" w:hanging="472"/>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88"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52" w:lineRule="exact"/>
        <w:rPr>
          <w:rFonts w:ascii="Times New Roman" w:cs="Times New Roman" w:eastAsia="Times New Roman" w:hAnsi="Times New Roman"/>
          <w:sz w:val="18"/>
          <w:szCs w:val="18"/>
          <w:color w:val="auto"/>
        </w:rPr>
      </w:pPr>
    </w:p>
    <w:p>
      <w:pPr>
        <w:ind w:left="1320" w:right="48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of third-party suppliers with which we contract for clinical and commercial supplies; and</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sectPr>
      </w:pPr>
    </w:p>
    <w:bookmarkStart w:id="51" w:name="page52"/>
    <w:bookmarkEnd w:id="51"/>
    <w:p>
      <w:pPr>
        <w:ind w:left="1320" w:right="4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2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product candidates developed by biologics manufacturers,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REACT or any of our future product candidates, which would significantly harm our business, financial condition, results of operations and prospects.</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REACT. Our business is dependent on our ability to successfully complete nonclinical and clinical development of, obtain regulatory approval for, and, if approved, successfully commercialize REACT and any future product candidates in a timely manner.</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REACT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nonclinical studies and clinical trials may fail to demonstrate substantial evidence of the safety and efficacy of REACT or our future product candidates, or serious adverse or unacceptable side effects may be identified during the development of REACT or any of our future product candidates, which could prevent, delay or limit the scope of regulatory approval of REACT or any of our future product candidates, limit their commercialization, increase our costs or necessitate the abandonment or limitation of the development of REACT or our future product candidates.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REACT and any of our future product candidates, we must demonstrate through lengthy, complex and expensive nonclinical testing and clinical trials that our product candidates are safe, pure and potent for use in each target indication. Nonclinical testing and clinical trials are expensive and time consuming, and their outcomes are inherently uncertain. Failures can occur at any time during the development process. The outcome of nonclinical studies and early clinical trials may not be predictive of the results of later clinical trials, and interim results of a clinical trial do not necessarily predict final results. Moreover, nonclinical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REACT is safe and potent for its intended uses.</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autologous cell therapy products include thrombocytopenia, chills, anemia, febrile neutropenia, diarrhea, neutropenia, vomiting, hypotension, dyspnea, cytokine release syndrome and neurotoxicity. Side effects may be unrecognized and mismanaged by medical personnel and considered unrelated due to unfamiliarity with the REACT cell-based treatments. REACT treatment necessitates a renal biopsy to obtain tissue to manufacture the bioactive component and subsequent injections to deposit the REACT product into the kidney. Each intervention poses well-known risks of adverse events such as renal bleeding, cortical scarring, decline in kidney function or other adverse events that may require hospitalization, blood transfusion or angiographic intervention.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RMCL-002 trial, which used a different formulation of the REACT product and a different procedure than that presently used in our Phase 3 trials, one participant experienced serious adverse events that included scarring or fibrosis and a decrease in kidney function. A second participant experienced decreased kidney blood flow observed on computed tomography (“CT”) imaging and a decrease in kidney function. If other adverse events, or other unexpected serious adverse events, occur, our clinical trials could be suspended or terminated. If we cannot demonstrate that adverse events experienced by subjects enrolled in our current and planned clinical trials were not caused by the REACT product candidate or procedure, the FDA, EMA or other foreign regulatory authorities could order us to cease further development of, or deny approval of, our product candidate for any or all targeted indications. Even if we are able to demonstrate that serious adverse events experienced by subjects enrolled in our current and planned clinical trials are not product-related, such occurrences could affect patient recruitment or the ability of</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9" w:right="599" w:bottom="1440" w:gutter="0" w:footer="0" w:header="0"/>
        </w:sectPr>
      </w:pPr>
    </w:p>
    <w:bookmarkStart w:id="52" w:name="page53"/>
    <w:bookmarkEnd w:id="52"/>
    <w:p>
      <w:pPr>
        <w:ind w:right="120"/>
        <w:spacing w:after="0" w:line="261" w:lineRule="auto"/>
        <w:rPr>
          <w:sz w:val="20"/>
          <w:szCs w:val="20"/>
          <w:color w:val="auto"/>
        </w:rPr>
      </w:pPr>
      <w:r>
        <w:rPr>
          <w:rFonts w:ascii="Times New Roman" w:cs="Times New Roman" w:eastAsia="Times New Roman" w:hAnsi="Times New Roman"/>
          <w:sz w:val="18"/>
          <w:szCs w:val="18"/>
          <w:color w:val="auto"/>
        </w:rPr>
        <w:t>enrolled subjects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7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Furthermore, if REACT or any of our future product candidates is associated with undesirable effects in nonclinical studies or clinical trials or have characteristics that are unexpected, we may decide or be required to perform additional nonclinical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 FDA, EMA, and other health authorities, an IRB, or an IEC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Additionally, if REACT or any of our future product candidates receives marketing approval, and we or others identify unacceptable side effects caused by such products, a number of potentially significant negative consequences could result, including:</w:t>
      </w:r>
    </w:p>
    <w:p>
      <w:pPr>
        <w:spacing w:after="0" w:line="175" w:lineRule="exact"/>
        <w:rPr>
          <w:sz w:val="20"/>
          <w:szCs w:val="20"/>
          <w:color w:val="auto"/>
        </w:rPr>
      </w:pPr>
    </w:p>
    <w:p>
      <w:pPr>
        <w:ind w:left="1320" w:right="500" w:hanging="472"/>
        <w:spacing w:after="0" w:line="282"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nonclinical studies or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34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agencies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autologous cell therapy using REACT may adversely impact the development or commercial success of our current and future product candidates.</w:t>
      </w:r>
    </w:p>
    <w:p>
      <w:pPr>
        <w:spacing w:after="0" w:line="5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The clinical and commercial success of REACT will depend in part on public acceptance of the use of autologous cell therapy for treatment of kidney disease. Any adverse public attitudes about the use of REACT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5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REACT or any of our future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REACT or our future product candidates, stricter labeling requirements for those product candidates that are approved and a decrease in demand for any such product candidates, all of which would have a negative impact on our business and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conducting our first Phase 3 clinical trials and may be unable to successfully complete them or any future clinical trials.</w:t>
      </w:r>
    </w:p>
    <w:p>
      <w:pPr>
        <w:spacing w:after="0" w:line="121"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 conduct of a Phase 3 clinical trial is a complicated process. Although members of our management team have conducted Phase 3 clinical trials in the past while employed at other companies, we as a company are currently conducting our first Phase 3 development program, and as a result may require more time and incur greater costs than we anticipate. Failure to include the correct treatment regimen, complete, or delays in, our Phase 3 clinical trials could prevent us from or delay us in commencing</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53" w:name="page54"/>
    <w:bookmarkEnd w:id="53"/>
    <w:p>
      <w:pPr>
        <w:ind w:right="520"/>
        <w:spacing w:after="0" w:line="266" w:lineRule="auto"/>
        <w:rPr>
          <w:sz w:val="20"/>
          <w:szCs w:val="20"/>
          <w:color w:val="auto"/>
        </w:rPr>
      </w:pPr>
      <w:r>
        <w:rPr>
          <w:rFonts w:ascii="Times New Roman" w:cs="Times New Roman" w:eastAsia="Times New Roman" w:hAnsi="Times New Roman"/>
          <w:sz w:val="18"/>
          <w:szCs w:val="18"/>
          <w:color w:val="auto"/>
        </w:rPr>
        <w:t>future clinical trials for REACT, obtaining regulatory approval of and commercializing REACT, which would adversely impact our financial performance. In addition, some of our competitors are currently conducting clinical trials for product candidates that treat the same indications as REACT, and patients who are otherwise eligible for our clinical trials may instead enroll in clinical trials of our competitors’ product candidates.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encounter difficulties enrolling patients in our clinical trials, and our clinical development activities have been and may continue to be delayed or otherwise adversely affected.</w:t>
      </w:r>
    </w:p>
    <w:p>
      <w:pPr>
        <w:spacing w:after="0" w:line="5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5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may be subject to delays as a result of patient enrollment taking longer than anticipated or greater than anticipated subject withdrawal. We may not be able to initiate or continue clinical trials for REACT or our future product candidates if we are unable to locate and enroll a sufficient number of eligible patients to participate in these trials as required by the FDA or foreign regulatory authorities. We cannot predict how successful we will be at enrolling subjects in future clinical trials. The enrollment of patients depends on many factors, including:</w:t>
      </w:r>
    </w:p>
    <w:p>
      <w:pPr>
        <w:spacing w:after="0" w:line="193" w:lineRule="exact"/>
        <w:rPr>
          <w:sz w:val="20"/>
          <w:szCs w:val="20"/>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52" w:lineRule="exact"/>
        <w:rPr>
          <w:rFonts w:ascii="Times New Roman" w:cs="Times New Roman" w:eastAsia="Times New Roman" w:hAnsi="Times New Roman"/>
          <w:sz w:val="18"/>
          <w:szCs w:val="18"/>
          <w:color w:val="auto"/>
        </w:rPr>
      </w:pPr>
    </w:p>
    <w:p>
      <w:pPr>
        <w:ind w:left="1320" w:right="160" w:hanging="472"/>
        <w:spacing w:after="0" w:line="282" w:lineRule="auto"/>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demographics of the patient population required for analysis of the clinical trial’s primary endpoints and the process for identifying patients;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trial sites;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52"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product candidates’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clinical trial subject informed consents;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clinical trials will drop out of the trials before completion.</w:t>
      </w:r>
    </w:p>
    <w:p>
      <w:pPr>
        <w:spacing w:after="0" w:line="3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we are initially developing REACT for the treatment of CKD due to diabetes or congenital anomalies of the kidney and urinary tract. In the United States, CKD is estimated to affect over 38 million adults. We have and may continue to encounter difficulties enrolling subjects in our clinical trials of REACT due, in part, to the stringent inclusion criteria for subjects, the novelty of the treatment modality and the fact that it involves a physically invasive procedure. In addition, our clinical trials compete with other clinical trials for product candidates that are in the same therapeutic areas as REACT, and this competition has and may continue to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may reduce the number of patients who are available for our clinical trials in such clinical trial site.</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Delays in patient enrollment have and may continue to result in increased costs and have and may continue to affect the timing or outcome of our future clinical trials, which could prevent completion of these trials and adversely affect our ability to advance the development of REACT or any of our future product candidates. Furthermore, we expect to rely on CROs and clinical trial sites to ensure the proper and timely conduct of our clinical trials and we will have limited influence over their performance.</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Furthermore, due to the follow-up period and maximum study duration of five years (60 months) and the requirement for on-site visits, subjects may drop out of our clinical trials at a higher rate than we anticipate or may elect to participate in alternative clinical trials sponsored by our competitors with product candidates that treat the same indications as REACT and any future product candidates. Even if we are able to enroll a sufficient number of subjects for our clinical trials, we may have difficulty maintaining enrollment of such subjects in our clinical trials.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Congress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Our Phase 3 REGEN-006 and REGEN-016 were initiated before this requirement became effective, but for any future Phase 3 trials we plan to conduct, we must submit a diversity action plan to the FDA by the time we submit plans for such Phase 3, or pivotal study, protocol to the agency for review as part of an IND, unless we are able to obtain a waiver for</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t>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subjects in attempting to fulfill the requirements of any approved diversity action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our ongoing and future clinical trials may not support marketing approval.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by investigators and subject to protocol requirements and the rate of dropout among clinical trial subjects. We do not know whether any clinical trials we conduct will demonstrate consistent or adequate efficacy and safety to obtain marketing approval to market REACT or any of our future product candidates.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marketing approval will be obtained for REACT or any of our future product candidates. REACT may not be approved even if it achieves its primary endpoints in our Phase 3 clinical trials or registrational trials. The FDA or comparable foreign regulatory authorities may disagree with our trial designs and our interpretation of data from nonclinical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REACT or any of our future product candidates, if approved.</w:t>
      </w:r>
    </w:p>
    <w:p>
      <w:pPr>
        <w:spacing w:after="0" w:line="29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RMAT Designation from the FDA for REACT, but this may not lead to a faster development or regulatory review process, and such designation does not increase the likelihood that any of our product candidates will receive marketing approval in the United States and the FDA may withdraw such designation.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intend to evaluate regulatory strategies that could enable us to take advantage of expedited development pathways for REACT, including the RMAT designation that we have already received, although we cannot be certain that REACT will qualify for any additional expedited development pathways or that regulatory authorities will grant, or allow us to maintain, the relevant designations.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RMAT designation is intended to expedite the development and review of product candidates that are designed to treat serious or life-threatening diseases and unmet need when “preliminary clinical evidence indicates that a product candidate may demonstrate substantial improvement over existing therapies on one or more clinically significant endpoints, such as substantial treatment effects observed early in clinical development.” The designation of REACT with expedited designation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cell therapy program, beginning as early as Phase 1; organizational commitment involving senior managers; and eligibility for rolling review and priority review if supported by clinical data at the time of the submission of the BLA.</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Cell and gene therapies, therapeutic tissue engineered products, human cell and tissue products, and combination products using any such therapies or products that are intended to treat, modify, reverse, or cure a serious or life-threatening disease or condition are eligible for designation by the FDA as RMATs. The RMAT designation is intended to facilitate efficient development and expedite review of regenerative medicine therapies by offering eligibility for priority review or accelerated approval, as well as early interactions with FDA to discuss any potential surrogate or intermediate endpoint to be used to support accelerated approval.</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will continue to advance the clinical development program for REACT in the United States with the benefit of enhanced clarity as to the FDA’s expectations and requirements for a registrational program, including the design of the trials needed for approval, manufacturing assays, and comparability studies. The FDA’s input is more fully set forth under the heading “Phase 3 Clinical Development (REGEN-006 and REGEN-016)” in the section titled “</w:t>
      </w:r>
      <w:r>
        <w:rPr>
          <w:rFonts w:ascii="Times New Roman" w:cs="Times New Roman" w:eastAsia="Times New Roman" w:hAnsi="Times New Roman"/>
          <w:sz w:val="18"/>
          <w:szCs w:val="18"/>
          <w:i w:val="1"/>
          <w:iCs w:val="1"/>
          <w:color w:val="auto"/>
        </w:rPr>
        <w:t>Part I—Item 1, Business.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5" w:name="page56"/>
    <w:bookmarkEnd w:id="55"/>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Even though we obtained RMAT designation in October 2021, such a designation does not change the standards for product approval, and there is no assurance that this designation will result in expedited review or approval or that the approved indication will not be narrower than the indication covered by RMAT designation. Thus, even though RMAT designation was granted for REACT, we may not experience a faster development process, review or marketing approval compared to conventional FDA procedures. The FDA may withdraw RMAT designation if it believes that the product no longer meets the qualifying criteria. It is also possible that the FDA could provide further input on our trial design, in which case our timelines to completion of the clinical development of REACT could be delayed. Our business may be harmed if we are unable to avail ourselves of these or any other expedited development and regulatory pathways.</w:t>
      </w:r>
    </w:p>
    <w:p>
      <w:pPr>
        <w:spacing w:after="0" w:line="15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only focused on the development of REACT for the treatment of CKD and CAKUT.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continue to conduct additional clinical trials for REACT outside the United States, and the FDA and similar foreign regulatory authorities may not accept data from such trials conducted in locations outside of their jurisdiction.</w:t>
      </w:r>
    </w:p>
    <w:p>
      <w:pPr>
        <w:spacing w:after="0" w:line="37"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have conducted additional clinical trials for REACT in the Asia-Pacific region, European Union, and Latin America, and may in the future continue to conduct clinical trials outside the United States, including in South America, Australia, New Zealand, or other foreign jurisdictions. The acceptance of data from clinical trials conducted outside the United States by the FDA may be subject to certain conditions or may be rejected.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in compliance with GCP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clinical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REACT not receiving approval or clearance for commercialization in the applicable jurisdiction.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research programs may initially show promise in identifying potential product candidates, yet fail to yield product candidates for clinical development for a number of reasons, including:</w:t>
      </w:r>
    </w:p>
    <w:p>
      <w:pPr>
        <w:spacing w:after="0" w:line="175" w:lineRule="exact"/>
        <w:rPr>
          <w:sz w:val="20"/>
          <w:szCs w:val="20"/>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such product candidates with the pharmacological properties that we desire or attractive pharmacokinetics;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and develop a suitable manufacturing process; or</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75" w:lineRule="exact"/>
        <w:rPr>
          <w:sz w:val="20"/>
          <w:szCs w:val="20"/>
          <w:color w:val="auto"/>
        </w:rPr>
      </w:pPr>
    </w:p>
    <w:p>
      <w:pPr>
        <w:jc w:val="both"/>
        <w:ind w:right="200" w:firstLine="509"/>
        <w:spacing w:after="0" w:line="257"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If we are unable to identify suitable compounds for clinical development, we will not be able to obtain product revenue in future periods, which likely would result in significant harm to our financial position.</w:t>
      </w:r>
    </w:p>
    <w:p>
      <w:pPr>
        <w:spacing w:after="0" w:line="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56" w:name="page57"/>
    <w:bookmarkEnd w:id="56"/>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may seek to accelerate our development timelines, including by initiating certain clinical trials of REACT or our future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81"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There can be no assurance that we will ever be able to identify additional therapeutic opportunities for REACT or our future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6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or never achieved.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REACT or any of our future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REACT and Our Future Product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Cell therapies are complex and difficult to manufacture, and we have experienced and may continue to experience manufacturing problems that result in delays in the development or commercialization of REACT, our lead product candidate, or otherwise harm our business.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cell therapy products is technically complex and necessitates substantial expertise and capital investment. Production difficulties caused by unforeseen events may delay the availability of material for our clinical trials. Further, we are not aware of any other cell therapy that has been manufactured for a market of the anticipated size for REACT. If REACT is approved for commercial sale, as to which no assurance can be given, we may be unable to meet market demand for the product in a timely manner due to the complex processes that are involved in its manufacturing.</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all entities involved in the preparation of therapeutics for clinical trials or commercial sale are subject to extensive cGMP, state and federal regulations, as well as foreign requirements when applicable. In October 2023, an audit by the Company’s contracted Qualified Person (QP) to evaluate our readiness for release and distribution of REACT in the EU identified certain deficiencies in the documentation of the quality management systems to be addressed prior to release and distribution of product for EU clinical sites. In response, we paused manufacturing in order to optimize our capabilities to meet EU and global standards for our Phase 3 program and to prepare for a transition to commercial manufacturing. Manufacturing activities are planned to resume by the end of June 2024.</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REACT that may not be detectable in final product testing. We must supply all necessary documentation in support of a BLA or MAA on a timely basis. Our facilities and quality systems, including those of any third parties we contract with to manufacture any critical component of the final product, must pass a pre-approval inspection for compliance with the applicable regulations as a condition of regulatory approval of REACT or any of our other potential products. In addition, the FDA and other regulatory authorities may, at any time, audit or inspect a manufacturing facility involved with the preparation of REACT or our other potential products or the associated quality systems for compliance with the regulations applicable to the activities being conducted at such facilities, and they could put a hold on one or more of our clinical trials if our facilities, or those of our contracted third parties, do not pass such audits or inspections. If such facilities do not pass a pre-approval plant inspection, FDA approval of the products will not be granted. Any failure to adhere to or</w:t>
      </w:r>
    </w:p>
    <w:p>
      <w:pPr>
        <w:spacing w:after="0" w:line="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05" w:right="639" w:bottom="1440" w:gutter="0" w:footer="0" w:header="0"/>
        </w:sectPr>
      </w:pPr>
    </w:p>
    <w:bookmarkStart w:id="57" w:name="page58"/>
    <w:bookmarkEnd w:id="57"/>
    <w:p>
      <w:pPr>
        <w:ind w:right="180"/>
        <w:spacing w:after="0" w:line="254" w:lineRule="auto"/>
        <w:rPr>
          <w:sz w:val="20"/>
          <w:szCs w:val="20"/>
          <w:color w:val="auto"/>
        </w:rPr>
      </w:pPr>
      <w:r>
        <w:rPr>
          <w:rFonts w:ascii="Times New Roman" w:cs="Times New Roman" w:eastAsia="Times New Roman" w:hAnsi="Times New Roman"/>
          <w:sz w:val="18"/>
          <w:szCs w:val="18"/>
          <w:color w:val="auto"/>
        </w:rPr>
        <w:t>document compliance with such regulatory requirements could lead to a delay or interruption in the availability of REACT for clinical trials or enforcement action from the FDA, EMA or foreign regulatory authorities. If we or our suppliers were to fail to comply with the requirements of the FDA, EMA or other regulatory authority, it could result in regulatory actions or sanctions being imposed on us, including the issuance of FDA Form 483 notices of inspectional observations, warning letters or untitled letters,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REACT. Our potential future dependence upon others for the manufacture of REACT may also adversely affect our future profit margins and our ability to commercialize REACT or any future product candidates that receive regulatory approval on a timely and competitive basis.</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REACT is manufactured using technically complex processes requiring specialized equipment and facilities, highly specific raw materials, autologous cells collected from patients, and reagents, and the process involves various production constraints. Even though we aim to have backup supplies of raw materials and reagents whenever possible, we cannot be certain they will be sufficient if our primary sources are unavailable. A shortage of a critical raw material or reagent, or a technical issue during manufacturing may lead to delays in clinical development or commercialization plans. Any changes in the manufacturing of components of the raw materials we use could result in unanticipated or unfavorable effects in our manufacturing processes, resulting in delays.</w:t>
      </w:r>
    </w:p>
    <w:p>
      <w:pPr>
        <w:spacing w:after="0" w:line="79" w:lineRule="exact"/>
        <w:rPr>
          <w:sz w:val="20"/>
          <w:szCs w:val="20"/>
          <w:color w:val="auto"/>
        </w:rPr>
      </w:pPr>
    </w:p>
    <w:p>
      <w:pPr>
        <w:jc w:val="both"/>
        <w:ind w:right="400" w:firstLine="509"/>
        <w:spacing w:after="0" w:line="289" w:lineRule="auto"/>
        <w:rPr>
          <w:sz w:val="20"/>
          <w:szCs w:val="20"/>
          <w:color w:val="auto"/>
        </w:rPr>
      </w:pPr>
      <w:r>
        <w:rPr>
          <w:rFonts w:ascii="Times New Roman" w:cs="Times New Roman" w:eastAsia="Times New Roman" w:hAnsi="Times New Roman"/>
          <w:sz w:val="17"/>
          <w:szCs w:val="17"/>
          <w:color w:val="auto"/>
        </w:rPr>
        <w:t>Delays or failures in the manufacture of cell therapies can result in a patient being unable to receive their cell therapy or a requirement to re-manufacture which itself then causes delays in manufacture for other patients. Any delay or failure or inability to manufacture on a timely basis can adversely affect a patient’s outcomes and delay the timelines for our clinical trials. Such delays or failure or inability to manufacture can result from:</w:t>
      </w:r>
    </w:p>
    <w:p>
      <w:pPr>
        <w:spacing w:after="0" w:line="171" w:lineRule="exact"/>
        <w:rPr>
          <w:sz w:val="20"/>
          <w:szCs w:val="20"/>
          <w:color w:val="auto"/>
        </w:rPr>
      </w:pPr>
    </w:p>
    <w:p>
      <w:pPr>
        <w:jc w:val="both"/>
        <w:ind w:left="1320" w:right="60" w:hanging="472"/>
        <w:spacing w:after="0" w:line="266"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equipment or reagent failure, failure in any step of the manufacturing process, failure to maintain a cGMP environment or failure in quality systems applicable to manufacture, sterility failures, or contamination during process;</w:t>
      </w:r>
    </w:p>
    <w:p>
      <w:pPr>
        <w:spacing w:after="0" w:line="202" w:lineRule="exact"/>
        <w:rPr>
          <w:rFonts w:ascii="Times New Roman" w:cs="Times New Roman" w:eastAsia="Times New Roman" w:hAnsi="Times New Roman"/>
          <w:sz w:val="18"/>
          <w:szCs w:val="18"/>
          <w:color w:val="auto"/>
        </w:rPr>
      </w:pPr>
    </w:p>
    <w:p>
      <w:pPr>
        <w:ind w:left="1320" w:hanging="472"/>
        <w:spacing w:after="0" w:line="261"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associated with the collection of a patient’s autologous cells or other samples, shipping that material to analytical laboratories, and shipping the final cell therapy back to the location using cold chain distribution where it will be administered to the patient, manufacturing issues associated with the differences in patient starting materials, inconsistency in cell growth and variability in product characteristics;</w:t>
      </w:r>
    </w:p>
    <w:p>
      <w:pPr>
        <w:spacing w:after="0" w:line="206" w:lineRule="exact"/>
        <w:rPr>
          <w:rFonts w:ascii="Times New Roman" w:cs="Times New Roman" w:eastAsia="Times New Roman" w:hAnsi="Times New Roman"/>
          <w:sz w:val="18"/>
          <w:szCs w:val="18"/>
          <w:color w:val="auto"/>
        </w:rPr>
      </w:pPr>
    </w:p>
    <w:p>
      <w:pPr>
        <w:ind w:left="1320" w:right="80" w:hanging="472"/>
        <w:spacing w:after="0" w:line="266"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end manufacture of the cell therapy, which may lead to regulatory authorities placing a hold on a clinical trial or requesting further information on the process, which could in turn result in delays to the clinical trials;</w:t>
      </w:r>
    </w:p>
    <w:p>
      <w:pPr>
        <w:spacing w:after="0" w:line="202" w:lineRule="exact"/>
        <w:rPr>
          <w:rFonts w:ascii="Times New Roman" w:cs="Times New Roman" w:eastAsia="Times New Roman" w:hAnsi="Times New Roman"/>
          <w:sz w:val="18"/>
          <w:szCs w:val="18"/>
          <w:color w:val="auto"/>
        </w:rPr>
      </w:pPr>
    </w:p>
    <w:p>
      <w:pPr>
        <w:ind w:left="1320" w:right="360" w:hanging="472"/>
        <w:spacing w:after="0" w:line="266"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including issues associated with the differences between patients’ autologous cells or characteristics, interruptions to process, contamination, failure to supply patient apheresis material within required timescales (for example, as a result of an import or export hold-up) or supplier error;</w:t>
      </w:r>
    </w:p>
    <w:p>
      <w:pPr>
        <w:spacing w:after="0" w:line="20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have enough manufacturing slots to manufacture cell therapies for patients as and when those patients require manufacture;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starting materials or to manufacture starting materials;</w:t>
      </w:r>
    </w:p>
    <w:p>
      <w:pPr>
        <w:spacing w:after="0" w:line="252" w:lineRule="exact"/>
        <w:rPr>
          <w:rFonts w:ascii="Times New Roman" w:cs="Times New Roman" w:eastAsia="Times New Roman" w:hAnsi="Times New Roman"/>
          <w:sz w:val="18"/>
          <w:szCs w:val="18"/>
          <w:color w:val="auto"/>
        </w:rPr>
      </w:pPr>
    </w:p>
    <w:p>
      <w:pPr>
        <w:ind w:left="1320" w:right="20" w:hanging="472"/>
        <w:spacing w:after="0" w:line="261"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 which may require us to find an alternative manufacturer or supplier for one or more components that we need in the manufacture of REACT, which would in turn require such manufacturer or supplier to be qualified through a BLA and/or MAA supplement, could lead the regulatory agencies to require additional studies if a new manufacturer is relied upon for commercial production, and may involve substantial costs and delays related to switching manufacturers;</w:t>
      </w:r>
    </w:p>
    <w:p>
      <w:pPr>
        <w:spacing w:after="0" w:line="206"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cell therapies, or the inability to find alternative manufacturing capability in a timely fashion;</w:t>
      </w:r>
    </w:p>
    <w:p>
      <w:pPr>
        <w:spacing w:after="0" w:line="188" w:lineRule="exact"/>
        <w:rPr>
          <w:rFonts w:ascii="Times New Roman" w:cs="Times New Roman" w:eastAsia="Times New Roman" w:hAnsi="Times New Roman"/>
          <w:sz w:val="18"/>
          <w:szCs w:val="18"/>
          <w:color w:val="auto"/>
        </w:rPr>
      </w:pPr>
    </w:p>
    <w:p>
      <w:pPr>
        <w:ind w:left="1320" w:right="900" w:hanging="472"/>
        <w:spacing w:after="0" w:line="282"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contamination of patient starting material, requiring the starting material to be obtained again from the patient or the manufacturing process to be re-started; and</w:t>
      </w:r>
    </w:p>
    <w:p>
      <w:pPr>
        <w:spacing w:after="0" w:line="188" w:lineRule="exact"/>
        <w:rPr>
          <w:rFonts w:ascii="Times New Roman" w:cs="Times New Roman" w:eastAsia="Times New Roman" w:hAnsi="Times New Roman"/>
          <w:sz w:val="18"/>
          <w:szCs w:val="18"/>
          <w:color w:val="auto"/>
        </w:rPr>
      </w:pPr>
    </w:p>
    <w:p>
      <w:pPr>
        <w:jc w:val="both"/>
        <w:ind w:left="1320" w:right="120" w:hanging="472"/>
        <w:spacing w:after="0" w:line="266" w:lineRule="auto"/>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modify or make changes to any manufacturing process, which may also require comparability testing that delays our ability to make the required modifications or perform any required comparability testing in a timely fashion, require further regulatory approval or require successful tech transfer to CDMOs to continue manufacturing.</w:t>
      </w:r>
    </w:p>
    <w:p>
      <w:pPr>
        <w:spacing w:after="0" w:line="29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REACT, cause us to incur higher costs and prevent us from commercializing REACT successfully, if approved.</w:t>
      </w:r>
    </w:p>
    <w:p>
      <w:pPr>
        <w:spacing w:after="0" w:line="5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intend to improve bioprocess development to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 planned to be a cryopreserved formulation, which is projected to reduce manufacturing costs compared to our fresh REACT formulation. We expect to leverage bulk purchasing to actively negotiate pricing of materials to further drive cost reductions. However, there can be no assurance that the manufacturing costs for our Phase 3 trials when we manufacture REACT at commercial scale will actually be lower than for our Phase 2 RMCL-002 study. A number of factors may contribute to an inability</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861" w:gutter="0" w:footer="0" w:header="0"/>
        </w:sectPr>
      </w:pPr>
    </w:p>
    <w:bookmarkStart w:id="58" w:name="page59"/>
    <w:bookmarkEnd w:id="58"/>
    <w:p>
      <w:pPr>
        <w:ind w:right="380"/>
        <w:spacing w:after="0" w:line="282" w:lineRule="auto"/>
        <w:rPr>
          <w:sz w:val="20"/>
          <w:szCs w:val="20"/>
          <w:color w:val="auto"/>
        </w:rPr>
      </w:pPr>
      <w:r>
        <w:rPr>
          <w:rFonts w:ascii="Times New Roman" w:cs="Times New Roman" w:eastAsia="Times New Roman" w:hAnsi="Times New Roman"/>
          <w:sz w:val="18"/>
          <w:szCs w:val="18"/>
          <w:color w:val="auto"/>
        </w:rPr>
        <w:t>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our own manufacturing capabilities, which may result in increased costs being incurred by us.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manufacturing facility for REACT is within our Winston-Salem facility in North Carolina, and this facility currently manufactures SRC for use in our clinical trials. Regulatory authorities, in particular the FDA, might not continue to approve our ability to manufacture SRC or other cell therapies at the Winston-Salem facility.</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ability to successfully manufacture our own cell therapies at the Winston-Salem facility within a reasonable period of time and within currently projected costs is dependent on a number of factors, including:</w:t>
      </w:r>
    </w:p>
    <w:p>
      <w:pPr>
        <w:spacing w:after="0" w:line="175" w:lineRule="exact"/>
        <w:rPr>
          <w:sz w:val="20"/>
          <w:szCs w:val="20"/>
          <w:color w:val="auto"/>
        </w:rPr>
      </w:pPr>
    </w:p>
    <w:p>
      <w:pPr>
        <w:ind w:left="1320" w:right="80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the required employees at a suitable level and experience and within required timescales and to maintain employment of such required employees;</w:t>
      </w:r>
    </w:p>
    <w:p>
      <w:pPr>
        <w:spacing w:after="0" w:line="188"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the facility and for the manufacture of cell therapies at the facility and to satisfy regulatory authorities on an ongoing basis;</w:t>
      </w:r>
    </w:p>
    <w:p>
      <w:pPr>
        <w:spacing w:after="0" w:line="188" w:lineRule="exact"/>
        <w:rPr>
          <w:rFonts w:ascii="Times New Roman" w:cs="Times New Roman" w:eastAsia="Times New Roman" w:hAnsi="Times New Roman"/>
          <w:sz w:val="18"/>
          <w:szCs w:val="18"/>
          <w:color w:val="auto"/>
        </w:rPr>
      </w:pPr>
    </w:p>
    <w:p>
      <w:pPr>
        <w:ind w:left="1320" w:right="110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reliably and reproducibly and to timescales sufficient to support required patient administration;</w:t>
      </w:r>
    </w:p>
    <w:p>
      <w:pPr>
        <w:spacing w:after="0" w:line="188"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in compliance with the applicable regulatory requirements, including requirements applicable in both the United States and the European Union, including cGMP, enforced by the FDA and state regulatory authorities;</w:t>
      </w:r>
    </w:p>
    <w:p>
      <w:pPr>
        <w:spacing w:after="0" w:line="188" w:lineRule="exact"/>
        <w:rPr>
          <w:rFonts w:ascii="Times New Roman" w:cs="Times New Roman" w:eastAsia="Times New Roman" w:hAnsi="Times New Roman"/>
          <w:sz w:val="18"/>
          <w:szCs w:val="18"/>
          <w:color w:val="auto"/>
        </w:rPr>
      </w:pPr>
    </w:p>
    <w:p>
      <w:pPr>
        <w:ind w:left="1320" w:right="60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internal quality controls and processes sufficient to enable manufacture and supply of cell therapies at our Winston-Salem facility;</w:t>
      </w:r>
    </w:p>
    <w:p>
      <w:pPr>
        <w:spacing w:after="0" w:line="188"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comparability with currently used manufacturing processes and for such comparability data to be accepted by the appropriate regulatory authorities; and</w:t>
      </w:r>
    </w:p>
    <w:p>
      <w:pPr>
        <w:spacing w:after="0" w:line="188"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ongoing development, including equipment requirements necessary for successful manufacture of cell therapies at our facility.</w:t>
      </w:r>
    </w:p>
    <w:p>
      <w:pPr>
        <w:spacing w:after="0" w:line="2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October 2023, an audit by the Company’s contracted Qualified Person (QP) to evaluate our readiness for release and distribution of REACT in the EU identified certain deficiencies in the documentation of the quality management systems to be addressed prior to release and distribution of product for EU clinical sites. In response, we paused manufacturing in order to optimize our capabilities to meet EU and global standards for our Phase 3 program and to prepare for a transition to commercial manufacturing.</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further delay or failure in manufacture at our facility could result in delays to the supply of cell therapies for our clinical trials. Should we become unable to produce cell therapies for use in our clinical trials or be unable to produce cell therapies at the required level, then we will be unable to support such clinical trials until alternative manufacturing capability is secured.</w:t>
      </w:r>
    </w:p>
    <w:p>
      <w:pPr>
        <w:spacing w:after="0" w:line="28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 development and manufacturing organizations have a finite cell manufacturing capacity, which could inhibit the long-term growth prospects of our business.</w:t>
      </w:r>
    </w:p>
    <w:p>
      <w:pPr>
        <w:spacing w:after="0" w:line="5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currently produce materials for our clinical trials at our facility in Winston-Salem, North Carolina.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7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autologous cell therapy products are patient-specific, and we need to ensure that the correct product is administered to the correct patient.</w:t>
      </w:r>
    </w:p>
    <w:p>
      <w:pPr>
        <w:spacing w:after="0" w:line="121" w:lineRule="exact"/>
        <w:rPr>
          <w:sz w:val="20"/>
          <w:szCs w:val="20"/>
          <w:color w:val="auto"/>
        </w:rPr>
      </w:pPr>
    </w:p>
    <w:p>
      <w:pPr>
        <w:ind w:right="620" w:firstLine="509"/>
        <w:spacing w:after="0" w:line="261" w:lineRule="auto"/>
        <w:rPr>
          <w:sz w:val="20"/>
          <w:szCs w:val="20"/>
          <w:color w:val="auto"/>
        </w:rPr>
      </w:pPr>
      <w:r>
        <w:rPr>
          <w:rFonts w:ascii="Times New Roman" w:cs="Times New Roman" w:eastAsia="Times New Roman" w:hAnsi="Times New Roman"/>
          <w:sz w:val="18"/>
          <w:szCs w:val="18"/>
          <w:color w:val="auto"/>
        </w:rPr>
        <w:t>Administration of autologous cell therapies is patient-specific and personalized medicine. The process requires careful handling of patient-specific products and fail-safe tracking to ensure that the tracking process is without error and that patient</w:t>
      </w: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59" w:name="page60"/>
    <w:bookmarkEnd w:id="59"/>
    <w:p>
      <w:pPr>
        <w:ind w:right="20"/>
        <w:spacing w:after="0" w:line="253" w:lineRule="auto"/>
        <w:rPr>
          <w:sz w:val="20"/>
          <w:szCs w:val="20"/>
          <w:color w:val="auto"/>
        </w:rPr>
      </w:pPr>
      <w:r>
        <w:rPr>
          <w:rFonts w:ascii="Times New Roman" w:cs="Times New Roman" w:eastAsia="Times New Roman" w:hAnsi="Times New Roman"/>
          <w:sz w:val="18"/>
          <w:szCs w:val="18"/>
          <w:color w:val="auto"/>
        </w:rPr>
        <w:t>samples are tracked from patient collection, through manufacturing and re-administration to the same patient. While such mechanisms are in place, should the tracking process fail, whether at our own facility, a third-party facility or at any point in the manufacturing process and supply chain, a patient could receive another patient’s SRC, resulting in significant toxicity and potentially patient fatality. We will need to invest in enhanced systems, such as bar coding and electronic chain of identity and chain of custody systems to further ensure fail-safe tracking. There is always a risk of a failure in any such system. Inability to develop or adopt an acceptable fail-safe tracking methodology and handling regime may delay or prevent us from receiving regulatory approval and/or result in significant toxicity and potentially patient fatality if a patient receives another patient’s SRC. This risk may be increased where autologous cell therapies are used in clinical trials that we do not control or sponsor and, should an error be made in the administration of our autologous cell therapies in such clinical trials, this could affect the steps required in our own clinical trials and manufacturing process requiring the addition of further tracking mechanisms to ensure fail-safe tracking. The tracking systems required to further ensure safe patient administration may also require enhanced procedures and administration to satisfy other regulatory requirements, for example, data protection requirements in Europe. The need to ensure tracking systems are adequate and to comply with these additional regulatory requirements may result in delay to the start of clinical trials or the need to obtain additional regulatory licenses or consents prior to starting such trials.</w:t>
      </w:r>
    </w:p>
    <w:p>
      <w:pPr>
        <w:spacing w:after="0" w:line="29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the manufacturing process and facility to produce REACT or disruptions in the manufacturing process may delay or disrupt our commercialization efforts. Very few cGMP cell therapy manufacturing facilities in the United States have received approval from the FDA for the manufacture of an approved cell therapy product.</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we can begin to commercially manufacture REACT or any of our future product candidates, we must obtain regulatory approval from the FDA for our manufacturing processes and for the facility in which manufacturing is performed. A manufacturing authorization must also be obtained from the appropriate EU regulatory authorities prior to commercialization in the European Union. Very few cGMP cell therapy manufacturing facilities in the United States have received approval from the FDA for the manufacture of an approved cell therapy product and, therefore, the timeframe required for us to obtain regulatory approval for our product candidates is uncertain. In addition, we must pass a pre-approval inspection of the manufacturing facility, including any facilities that produce any component of REACT, by the FDA and other relevant regulatory authorities before REACT or any of our future cell therapy product candidates can obtain marketing approval.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8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approval, we will need to ensure that all of our processes, quality systems, methods, equipment, policies and procedures are compliant with cGMP and other applicable regulations, and perform extensive audits of vendors, contract laboratories, and suppliers. If any of our vendors, contract laboratories, or suppliers is found to be out of compliance with cGMP or other applicable regulations relating to REACT, we may experience delays or disruptions in manufacturing while we work with such third parties to remedy the violation or while we work to identify suitable replacement vendors. The cGMP requirements govern, among other things, quality control of the manufacturing process and documentation policies and procedures. In complying with cGMP regulations, we will be obligated to spend time, money and effort in production, record keeping and quality control to assure that the product meets applicable specifications and other requirements. If we fail to comply with these requirements, we may be subject to regulatory enforcement actions or other legal sanctions and may not be permitted to sell any products that we may develop.</w:t>
      </w:r>
    </w:p>
    <w:p>
      <w:pPr>
        <w:spacing w:after="0" w:line="8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experience as a company managing a complex supply chain or satisfying manufacturing-related regulatory requirements.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the EMA and other foreign regulatory authorities may require us to submit samples of any lot of any approved product together with the protocols showing the results of applicable lot release tests at any time. Under some circumstances, the FDA, the EMA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cell therapy product that could lead to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0" w:name="page61"/>
    <w:bookmarkEnd w:id="60"/>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Managing an autologous ex vivo cell therapy supply chain is highly complex. We must identify, engage, and coordinate with treatment centers where patients’ cellular source material must be collected, prepared and transported to the manufacturing facility and the cryopreserved therapeutic product must be returned to the treatment center for administration to the patient using vapor phase liquid nitrogen shipping containers. Additionally, we are dependent on highly specialized vendors to provide raw materials and components for our manufacturing process.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sufficiently cold temperature and must typically be delivered and processed within four days of collection. While we intend to use reputable couriers and agents for the transport of such materials, if the shipping container is opened or damaged such that the appropriate storage/shipping temperature is not maintained, the cellular source material may be adversely impacted and it may not be feasible to manufacture a cell therapy product for the patient. Similarly, if a shipment is delayed due to adverse weather, misrouting, being held up at a customs point or other events, the cellular source material may not be delivered within a time window that will allow for its use for the successful manufacture of a cell therapy product.</w:t>
      </w:r>
    </w:p>
    <w:p>
      <w:pPr>
        <w:spacing w:after="0" w:line="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Similarly, the patient’s autologous cell therapy product must be returned to the clinical site for administration to the patient using a specialized shipping container that maintains the material at a very low temperature. While we intend to use reputable couriers and agents for the transport of our products, if the shipping container is opened or damaged such that the very low temperature is not maintained, the cell therapy product may be adversely impacted and it may not be feasible to administer it to the patient or, if administered, it could cause harm to the patient. Similarly, if a shipment is delayed due to adverse weather, misrouting, being held up at a customs point or other events, and is not delivered to the clinical site within the time period that the very low temperature is maintained, the cell therapy product may be adversely affected and be unable to be administered or, if administered, could cause harm to the patient.</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be delayed or unable to identify, engage, successfully coordinate with or qualify treatment centers in the regions we are targeting as part of our commercial launch strategy, which could delay or prevent patients from receiving cell therapy treatments, if approved. If our treatment centers fail to perform satisfactorily, we may suffer reputational, operational, and business harm.</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should they happen, could adversely affect our development timelines and our business, financial condition, results of operations and prospects.</w:t>
      </w:r>
    </w:p>
    <w:p>
      <w:pPr>
        <w:spacing w:after="0" w:line="2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that are necessary for the conduct of clinical trials of REACT, our lead product candidate, and the loss of these third-party suppliers or their inability to supply us with sufficient quantities of adequate materials, or to do so at acceptable quality levels and on a timely basis, could harm our business.</w:t>
      </w:r>
    </w:p>
    <w:p>
      <w:pPr>
        <w:spacing w:after="0" w:line="6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Manufacturing REACT, our lead product candidate,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REACT.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or interruption in receiving key materials and equipment to support clinical or commercial manufacturing. Any significant delay or interruption in the supply of components or sub-assemblies, or our inability to obtain substitute components, sub-assemblies or materials from alternate sources at acceptable prices in a timely manner, could impair our ability to meet the demand of our customers and harm our business.</w:t>
      </w:r>
    </w:p>
    <w:p>
      <w:pPr>
        <w:spacing w:after="0" w:line="6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The supply of the reagents and other specialty materials and equipment that are necessary to produce REACT could be reduced or interrupted at any time. In such case, identifying and engaging an alternative supplier could result in delay, and we may not be able to find other acceptable suppliers on acceptable terms, or at all. Switching suppliers may involve substantial costs and is likely to result in a delay in our desired clinical and commercial timelines. If we change suppliers for commercial production, applicable regulatory agencies may require us to conduct additional studies or trials. If key suppliers are lost, or if the supply of the materials is diminished or discontinued, we may not be able to develop, manufacture and market REACT in a timely and competitive manner, or at all. An inability to continue to source products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REACT, which could adversely and materially affect our product sales and operating results or our ability to conduct clinical trials, either of which could significantly harm our business.</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61" w:name="page62"/>
    <w:bookmarkEnd w:id="61"/>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or equipment on commercially reasonable terms, or at all, and if we are unable to alter our process in a commercially viable manner to avoid the use of such materials or equipment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development,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subjects prior to undertaking more advanced clinical trials. These factors could cause the delay of nonclinical studies or clinical trials, regulatory submissions, required approvals or commercialization of REACT or future product candidates that we develop, cause us to incur higher costs and prevent us from commercializing our product candidates successfully.</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microbial contamination in the manufacturing process for our cell-based product, shortages of raw materials or failure of any of our key suppliers to deliver necessary components could result in delays in our clinical development or marketing schedules.</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Given the nature of cell product manufacturing, there is a risk of microbial contamination. Any microbial contamination could adversely affect our ability to produce, release or administer our cell therapies on schedule and could, therefore, harm our results of operations and cause reputational damage.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REACT could adversely impact or disrupt the commercial manufacturing or the production of clinical material, which could adversely affect our development timelines and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REACT requires cryopreservation with specific storage, handling and administration at the clinical sites.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REACT requires cryopreservation and must be stored at very low temperatures in specialized liquid nitrogen tanks or specialized shipping containers until immediately prior to use. For administration, the cryopreserved product must be carefully removed from storage, rapidly thawed under controlled temperature conditions in an area proximal to the patient’s bedside and immediately administered to the patient. The handling, thawing and administration of the cryopreserved cell therapy product must be performed according to specific instructions, typically using specific disposables, and some steps must be completed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trials to marketing approval and commercialization, various aspects of the development program, such as manufacturing methods and the product’s formulation, may be altered along the way in an effort to optimize yield, manufacturing batch size, minimize costs and achieve consistent quality and results. These changes carry the risk that they will not achieve their intended objectives. Any of these changes could cause REACT or any of our future product candidates to perform differently and affect the results of planned clinical trials or other future clinical trials conducted with the altered materials. This could delay completion of our ongoing or planned clinical trials, require us to perform bridging clinical trials or repeat one or more clinical trials, increase clinical trial costs, delay any potential approval of REACT or any of our future product candidates and jeopardize our ability to commercialize REACT or any of our future product candidates and generate revenue.</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process development and large-scale manufacturing for clinical trials or commercial distribution including, among others, cost overruns, potential problems with process scale-up, process reproducibility, stability issues, compliance with cGMP, lot consistency and timely availability of raw materials. Even if we obtain marketing approval for any of our product candidates, there is no assurance that we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the manufacturing processes for biological products is more complex and expensive than with small-molecule products, and additional manufacturing suppliers may be needed to manufacture clinical trial supplies for these development programs. If we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2"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a number of locations, including a single manufacturing facility in North Carolina. We or the third parties upon whom we depend may be adversely affected by earthquakes, wildfires or other natural disasters, as</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62" w:name="page63"/>
    <w:bookmarkEnd w:id="62"/>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well as epidemics, pandemics and other incidents, and our business continuity and disaster recovery plans may not adequately protect us from a serious disaster.</w:t>
      </w:r>
    </w:p>
    <w:p>
      <w:pPr>
        <w:spacing w:after="0" w:line="51"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7"/>
          <w:szCs w:val="17"/>
          <w:color w:val="auto"/>
        </w:rPr>
        <w:t>Any unplanned event, such as flood, fire, explosion, earthquake, extreme weather condition, medical epidemics or pandemics,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REACT or any of our future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manufacturing facilities, or otherwise disrupted operations, it may be difficult or, in certain cases, impossible, for us to continue our business for a substantial period of time. The disaster recovery and business continuity plans we have in place, including use of contract manufacturers and inherent risks associated therewith with respect to technology transfer and quality issues,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REACT and Our Future Product Candidates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REACT or a future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Even if REACT or any other product candidates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 if approved for commercial sale, will depend on a number of factors, including:</w:t>
      </w:r>
    </w:p>
    <w:p>
      <w:pPr>
        <w:spacing w:after="0" w:line="239" w:lineRule="exact"/>
        <w:rPr>
          <w:sz w:val="20"/>
          <w:szCs w:val="20"/>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current or future product candidates compared to alternative treatments;</w:t>
      </w:r>
    </w:p>
    <w:p>
      <w:pPr>
        <w:spacing w:after="0" w:line="252" w:lineRule="exact"/>
        <w:rPr>
          <w:rFonts w:ascii="Times New Roman" w:cs="Times New Roman" w:eastAsia="Times New Roman" w:hAnsi="Times New Roman"/>
          <w:sz w:val="18"/>
          <w:szCs w:val="18"/>
          <w:color w:val="auto"/>
        </w:rPr>
      </w:pPr>
    </w:p>
    <w:p>
      <w:pPr>
        <w:ind w:left="1320" w:right="18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commercially launched in the future;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including where there may be a perception that our therapies, if approved, involve an increased risk of adverse events;</w:t>
      </w:r>
    </w:p>
    <w:p>
      <w:pPr>
        <w:spacing w:after="0" w:line="188"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our product candidates in guidelines published by various scientific organizations applicable to us and our product candidates;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252" w:lineRule="exact"/>
        <w:rPr>
          <w:rFonts w:ascii="Times New Roman" w:cs="Times New Roman" w:eastAsia="Times New Roman" w:hAnsi="Times New Roman"/>
          <w:sz w:val="18"/>
          <w:szCs w:val="18"/>
          <w:color w:val="auto"/>
        </w:rPr>
      </w:pPr>
    </w:p>
    <w:p>
      <w:pPr>
        <w:ind w:left="1320" w:right="18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for our products, including necessary reimbursement codes;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Current Procedural Terminology (“CPT”) Codes and Resource-Based Relative Value Scale for appropriate provider reimbursement;</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designated International Classification of Diseases (“ICD-10”) codes from the WHO for disease designation;</w:t>
      </w:r>
    </w:p>
    <w:p>
      <w:pPr>
        <w:spacing w:after="0" w:line="252" w:lineRule="exact"/>
        <w:rPr>
          <w:rFonts w:ascii="Times New Roman" w:cs="Times New Roman" w:eastAsia="Times New Roman" w:hAnsi="Times New Roman"/>
          <w:sz w:val="18"/>
          <w:szCs w:val="18"/>
          <w:color w:val="auto"/>
        </w:rPr>
      </w:pPr>
    </w:p>
    <w:p>
      <w:pPr>
        <w:ind w:left="1320" w:right="78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provider proceduralists to perform invasive kidney procedures that may cause increased medical liability from procedural-related or cell based adverse events; and</w:t>
      </w:r>
    </w:p>
    <w:p>
      <w:pPr>
        <w:sectPr>
          <w:pgSz w:w="11900" w:h="16838" w:orient="portrait"/>
          <w:cols w:equalWidth="0" w:num="1">
            <w:col w:w="11100"/>
          </w:cols>
          <w:pgMar w:left="320" w:top="1305" w:right="479" w:bottom="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advanced procedural training for delivery of product candidates.</w:t>
      </w:r>
    </w:p>
    <w:p>
      <w:pPr>
        <w:spacing w:after="0" w:line="34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Sales of cell-based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 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 If government and other third-party payors do not provide coverage and adequate reimbursement levels for any products we commercialize, market acceptance and commercial success would be reduced. REACT is percutaneously injected into the kidney and requires additional proceduralist technical training with possible ongoing maintenance of certification. Facilities where REACT is delivered may require additional cell-based licensing by state, federal or laboratory certification agencies and require equipment with appropriate technology and inventories.</w:t>
      </w:r>
    </w:p>
    <w:p>
      <w:pPr>
        <w:spacing w:after="0" w:line="29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any products for which we obtain regulatory approval, we may not be able to generate product revenue.</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REACT or any of our future product candidates ultimately receives regulatory approval, we expect to establish a marketing and sales organization with technical expertise and supporting manufacturing and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39" w:lineRule="exact"/>
        <w:rPr>
          <w:sz w:val="20"/>
          <w:szCs w:val="20"/>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52" w:lineRule="exact"/>
        <w:rPr>
          <w:rFonts w:ascii="Times New Roman" w:cs="Times New Roman" w:eastAsia="Times New Roman" w:hAnsi="Times New Roman"/>
          <w:sz w:val="18"/>
          <w:szCs w:val="18"/>
          <w:color w:val="auto"/>
        </w:rPr>
      </w:pPr>
    </w:p>
    <w:p>
      <w:pPr>
        <w:ind w:left="1320" w:right="20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including product administration and product delivery, once approved;</w:t>
      </w:r>
    </w:p>
    <w:p>
      <w:pPr>
        <w:spacing w:after="0" w:line="188" w:lineRule="exact"/>
        <w:rPr>
          <w:rFonts w:ascii="Times New Roman" w:cs="Times New Roman" w:eastAsia="Times New Roman" w:hAnsi="Times New Roman"/>
          <w:sz w:val="18"/>
          <w:szCs w:val="18"/>
          <w:color w:val="auto"/>
        </w:rPr>
      </w:pPr>
    </w:p>
    <w:p>
      <w:pPr>
        <w:ind w:left="1320" w:right="44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3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and for which we receive regulatory approval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REACT or any of our future product candidates may be smaller than we or third parties currently project, which may affect the addressable markets for REACT or our future product candidates.</w:t>
      </w:r>
    </w:p>
    <w:p>
      <w:pPr>
        <w:spacing w:after="0" w:line="5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REACT or any of our future product candidates, are estimates based on our knowledge and understanding of these diseases. These estimates may prove to be incorrect, and new studies, medications, or medical practices may further reduce the estimated incidence or prevalence of this disease. The number of patients in the United States, the European Union and elsewhere may turn out to be lower than expected, may not be otherwise amenable to treatment with REACT or any of our future product candidates or patients may become increasingly difficult to identify and access, all of which would adversely affect our business, financial condition, results of operations and prospects. Further, even if we obtain</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9" w:right="59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t>approval for REACT or any of our future product candidates, the FDA or other regulators may limit their approved indications to more narrow uses or subpopulations within the populations for which we are targeting development of REACT or any of our future product candidates.</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REACT or any of our future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should be viewed with caution. Further, the data and statistical information used in this Annual Report, including estimates derived from them, may differ from information and estimates made by our competitors or from current or future studies conducted by independent sources.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REACT or any of our future product candidates in one jurisdiction does not mean that we will be successful in obtaining regulatory approval of REACT or future product candidates in other jurisdictions.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REACT or any of our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We do not have any product candidates approved for sale in any jurisdiction, including international markets, and we do not have experience in obtaining regulatory approval in international markets. If we fail to comply with the regulatory requirements in international markets and/or receive applicable marketing approvals, our target market will be reduced and our ability to realize the full market potential of REACT or any of our future product candidates will be harmed.</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If we have any product candidate approved, our product labeling, advertising, and promotion will be subject to regulatory requirements and continuing regulatory review. In the United States, the FDA and the Federal Trade Commission (the “FTC”) strictly regulate the promotional claims that may be made about pharmaceutical products to ensure that any claims about such products are consistent with regulatory approvals, not misleading or false, and adequately substantiated by clinical data. The promotion of a medicine or biologic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 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Any off-label use of REACT or any of our future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6" w:name="page67"/>
    <w:bookmarkEnd w:id="66"/>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Additionally, advertising and promotion of any product candidate that obtains approval outside of the United States will be heavily scrutinized by comparable foreign regulatory authorities and stakeholders.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REACT and our future product candidates for which we intend to seek approval as biologic products may face competition sooner than anticipated, and our operating results will suffer if we fail to compete effectively.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REACT or any of our future product candidates may face competition from biosimilar products. In the United States, REACT is expected to be regulated by the FDA as a biological product, and we intend to seek approval for REACT pursuant to the BLA pathway. The Biologics Price Competition and Innovation Act of 2009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REACT.</w:t>
      </w:r>
    </w:p>
    <w:p>
      <w:pPr>
        <w:spacing w:after="0" w:line="8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believe that any of our current or future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 care provider who prescribed the original biological product. However, as with all prescribing decisions made in the context of a patient-provider relationship and a patient’s specific medical needs, health 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nonclinical studies and clinical trials. In such a situation, any exclusivity to which we may be eligible under the BPCIA would not prevent the competitor from marketing its biological product as soon as it is approved.</w:t>
      </w:r>
    </w:p>
    <w:p>
      <w:pPr>
        <w:spacing w:after="0" w:line="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the CREATES Act was enacted in late 2019 to address concerns articulated by both the FDA and others in the industry that some brand manufacturers have improperly restricted the distribution of their products, including by invoking the existence of a REMS for certain products, to deny follow-on product developers access to samples of brand drug or biologic products. Because follow-on product developers need samples to conduct certain comparative testing required by the FDA, some have attributed the inability to timely obtain samples as a cause of delay in the entry of follow-on products. To remedy this concern, the CREATES Act established a private cause of action that permits a follow-on product developer to sue the brand manufacturer to compel it to furnish the necessary samples on “commercially reasonable, market-based terms.” Therefore, a follow-on developer may request samples of our REACT product candidate, if it receives marketing approval, in order to conduct comparative testing to support a follow-on biosimilar version, and if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 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or hospitals may be able to take advantage of EU rules permitting sales of unlicensed medicines for individual patients to sell competing products without a marketing authorization.</w:t>
      </w:r>
    </w:p>
    <w:p>
      <w:pPr>
        <w:spacing w:after="0" w:line="51"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 care professional and for use by an individual patient under his direct personal</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7" w:name="page68"/>
    <w:bookmarkEnd w:id="67"/>
    <w:p>
      <w:pPr>
        <w:ind w:right="20"/>
        <w:spacing w:after="0" w:line="266" w:lineRule="auto"/>
        <w:rPr>
          <w:sz w:val="20"/>
          <w:szCs w:val="20"/>
          <w:color w:val="auto"/>
        </w:rPr>
      </w:pPr>
      <w:r>
        <w:rPr>
          <w:rFonts w:ascii="Times New Roman" w:cs="Times New Roman" w:eastAsia="Times New Roman" w:hAnsi="Times New Roman"/>
          <w:sz w:val="18"/>
          <w:szCs w:val="18"/>
          <w:color w:val="auto"/>
        </w:rPr>
        <w:t>responsibility. This may in certain countries also apply to products manufactured in a country outside the European Union and imported to treat specific patients or small groups of patients. In addition, designated ATMPs do not need a marketing authorization if they are prepared on a non-routine basis and are used within the same EU member state in a hospital in accordance with a medical prescription for an individual patient.</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REACT or our future product candidates, if approved, which could make it difficult for us to sell any product candidates profitably.</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Coverage and adequate reimbursement from governmental health care programs, such as Medicare and Medicaid, and commercial payors is critical to new product acceptance. Even if any of our products obtains regulatory approval, patients are unlikely to use such products unless coverage is provided and reimbursement is adequate to cover a significant portion of the cost. We cannot be sure that coverage and reimbursement will be available for, or accurately estimate the potential revenue from, any of our products, if approved, or assure that coverage and reimbursement will be available for any product that we may develop. REACT, due to the novel cell therapy and new indication for CKD, may require formulation of CPT codes with resource-based relative value unit appropriation and ICD-10 designation. Each are obtained through different processes and may lead to reimbursement delays of unknown lengths of times.</w:t>
      </w:r>
    </w:p>
    <w:p>
      <w:pPr>
        <w:spacing w:after="0" w:line="8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Government authorities and other third-party payors decide which treatments they will cover and the amount of reimbursement. Coverage and reimbursement by a third-party payor may depend upon a number of factors, including the third-party payor’s determination that use of a product is:</w:t>
      </w:r>
    </w:p>
    <w:p>
      <w:pPr>
        <w:spacing w:after="0" w:line="175" w:lineRule="exact"/>
        <w:rPr>
          <w:sz w:val="20"/>
          <w:szCs w:val="20"/>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medical journals;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3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commercialize successfully any of our products for which we obtain regulatory approval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biopharmaceutical product does not imply that an adequate reimbursement rate will be approved. If coverage and adequate reimbursement is not available, or is available only to limited levels, we may not be able to successfully commercialize REACT or any of our future product candidates. Even if coverage is provided, the approved reimbursement amount may not be high enough to allow us to establish or maintain pricing sufficient to realize a sufficient return on our investment.</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REACT or any of our future product candidates, if approved.</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Changes to current laws and state and federal health care reform measures that may be adopted in the future may result in additional reductions in Medicare and other health care funding and otherwise affect the prices we may obtain for any product</w:t>
      </w:r>
    </w:p>
    <w:p>
      <w:pPr>
        <w:jc w:val="center"/>
        <w:ind w:right="-2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candidates for which we may obtain regulatory approval or the frequency with which any such product candidate is prescribed or used.</w:t>
      </w:r>
    </w:p>
    <w:p>
      <w:pPr>
        <w:spacing w:after="0" w:line="329"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financial or other liabilities and may be required to limit commercialization of REACT or our future product candidates.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REACT or any of our future product candidates in clinical trials and will face an even greater risk if we commercialize any products. For example, we may be sued if REACT or any of our future product candidates causes or is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REACT or any of our future product candidates. Even a successful defense of these claims would require significant financial and management resources. Regardless of the merits or eventual outcome, liability claims may result in:</w:t>
      </w:r>
    </w:p>
    <w:p>
      <w:pPr>
        <w:spacing w:after="0" w:line="205" w:lineRule="exact"/>
        <w:rPr>
          <w:sz w:val="20"/>
          <w:szCs w:val="20"/>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 and inability to continue clinical trials;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 and</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34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REACT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now or in the future, fail to comply with environmental, health, and safety laws and regulations, we could become subject to fines or penalties or incur costs that could substantially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now or in the future,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320" w:top="1093" w:right="599" w:bottom="0"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333375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ind w:right="240"/>
        <w:spacing w:after="0" w:line="266" w:lineRule="auto"/>
        <w:rPr>
          <w:sz w:val="20"/>
          <w:szCs w:val="20"/>
          <w:color w:val="auto"/>
        </w:rPr>
      </w:pPr>
      <w:r>
        <w:rPr>
          <w:rFonts w:ascii="Times New Roman" w:cs="Times New Roman" w:eastAsia="Times New Roman" w:hAnsi="Times New Roman"/>
          <w:sz w:val="18"/>
          <w:szCs w:val="18"/>
          <w:color w:val="auto"/>
        </w:rPr>
        <w:t>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substantially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a certain portion of our research and nonclinical testing and clinical trials for REACT, and if those third parties do not successfully carry out their contractual duties, comply with regulatory requirements or otherwise perform satisfactorily, we may not be able to obtain regulatory approval or commercialize REACT, or such approval or commercialization may be delayed, and our business may be substantially harmed.</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depend, or may depend in the future, upon third parties to conduct certain aspects of our nonclinical studies and clinical trials, and to monitor and manage data, under agreements with universities, medical institutions, CROs, strategic collaborators and others. We expect to have to negotiate budgets and contracts with such third parties, which may result in delays to our development timelines and increased costs. We expect to continue to rely on third parties, including clinical CROs, medical institutions and clinical investigators, to conduct those clinical trials. If any of our relationships with these third-party CROs or others terminate, we may not be able to enter into arrangements with alternative CROs or other third parties or to do so on commercially reasonable terms, if at all.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third parties conducting aspects of our nonclinical studies or clinical trials will not be our employees and, except for remedies that may be available to us under our agreements with such third parties, we cannot control whether or not they devote sufficient time and resources to our nonclinical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or if they need to be replaced or if the quality or accuracy of the nonclinical or clinical data they obtain is compromised due to the failure to adhere to our protocols or regulatory requirements or for other reasons, our product development timelines, including clinical development timelines, may be extended, delayed or terminated, and we may not be able to complete development of, obtain regulatory approval of or successfully commercialize REACT. As a result, our financial results and the commercial prospects for REACT would be harmed, our costs could increase and our ability to generate revenue could be delayed.</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rely especially heavily on third parties over the course of our clinical trials and will have limited control over the clinical investigators and limited visibility into their day-to-day activities, including with respect to their compliance with the approved clinical trial protocol. 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and likely cGTP regulations and will require a large number of test subjects. Our failure or any failure by our contracted third parties, including CROs,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 care privacy and security laws.</w:t>
      </w:r>
    </w:p>
    <w:p>
      <w:pPr>
        <w:spacing w:after="0" w:line="89"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3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1" w:name="page72"/>
    <w:bookmarkEnd w:id="71"/>
    <w:p>
      <w:pPr>
        <w:ind w:right="360"/>
        <w:spacing w:after="0" w:line="282" w:lineRule="auto"/>
        <w:rPr>
          <w:sz w:val="20"/>
          <w:szCs w:val="20"/>
          <w:color w:val="auto"/>
        </w:rPr>
      </w:pPr>
      <w:r>
        <w:rPr>
          <w:rFonts w:ascii="Times New Roman" w:cs="Times New Roman" w:eastAsia="Times New Roman" w:hAnsi="Times New Roman"/>
          <w:sz w:val="18"/>
          <w:szCs w:val="18"/>
          <w:color w:val="auto"/>
        </w:rPr>
        <w:t>delay in approval, or rejection, of our marketing applications by the FDA and may ultimately lead to the denial of marketing approval for REACT or any of our future product candidates.</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REACT or any of our future product candidates or commercialization of REACT or any of our future product candidates, producing additional losses and depriving us of potential revenue.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materials, including tissue samples,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29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with third parties for the development and commercialization of REACT and/or our future product candidates, and our future collaborations will be important to our business. If we are unable to enter into collaborations, or if these collaborations are not successful, our business could be adversely affected.</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part of our strategy is to consider partnerships in indications and geographies where we believe partners can add significant commercial and/or development capabilities. Further, we have limited capabilities for product development and do not yet have any capability for commercialization. Accordingly, we have entered into and may in the future enter into collaborations with other companies to provide us with important technologies and funding for our programs and technology.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the following:</w:t>
      </w:r>
    </w:p>
    <w:p>
      <w:pPr>
        <w:spacing w:after="0" w:line="239" w:lineRule="exact"/>
        <w:rPr>
          <w:sz w:val="20"/>
          <w:szCs w:val="20"/>
          <w:color w:val="auto"/>
        </w:rPr>
      </w:pPr>
    </w:p>
    <w:p>
      <w:pPr>
        <w:ind w:left="1320" w:hanging="472"/>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52" w:lineRule="exact"/>
        <w:rPr>
          <w:rFonts w:ascii="Times New Roman" w:cs="Times New Roman" w:eastAsia="Times New Roman" w:hAnsi="Times New Roman"/>
          <w:sz w:val="18"/>
          <w:szCs w:val="18"/>
          <w:color w:val="auto"/>
        </w:rPr>
      </w:pPr>
    </w:p>
    <w:p>
      <w:pPr>
        <w:ind w:left="1320" w:right="180" w:hanging="472"/>
        <w:spacing w:after="0" w:line="261"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206"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8" w:lineRule="exact"/>
        <w:rPr>
          <w:rFonts w:ascii="Times New Roman" w:cs="Times New Roman" w:eastAsia="Times New Roman" w:hAnsi="Times New Roman"/>
          <w:sz w:val="18"/>
          <w:szCs w:val="18"/>
          <w:color w:val="auto"/>
        </w:rPr>
      </w:pPr>
    </w:p>
    <w:p>
      <w:pPr>
        <w:jc w:val="both"/>
        <w:ind w:left="1320" w:right="40" w:hanging="472"/>
        <w:spacing w:after="0" w:line="266"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3" w:lineRule="exact"/>
        <w:rPr>
          <w:rFonts w:ascii="Times New Roman" w:cs="Times New Roman" w:eastAsia="Times New Roman" w:hAnsi="Times New Roman"/>
          <w:sz w:val="18"/>
          <w:szCs w:val="18"/>
          <w:color w:val="auto"/>
        </w:rPr>
      </w:pPr>
    </w:p>
    <w:p>
      <w:pPr>
        <w:ind w:left="1320" w:right="160" w:hanging="472"/>
        <w:spacing w:after="0" w:line="266"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REACT or our future product candidates;</w:t>
      </w:r>
    </w:p>
    <w:p>
      <w:pPr>
        <w:spacing w:after="0" w:line="216" w:lineRule="exact"/>
        <w:rPr>
          <w:rFonts w:ascii="Times New Roman" w:cs="Times New Roman" w:eastAsia="Times New Roman" w:hAnsi="Times New Roman"/>
          <w:sz w:val="18"/>
          <w:szCs w:val="18"/>
          <w:color w:val="auto"/>
        </w:rPr>
      </w:pPr>
    </w:p>
    <w:p>
      <w:pPr>
        <w:ind w:left="1320" w:right="42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202"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REACT or one or more of our future product candidates that achieve regulatory approval may not commit sufficient resources to the marketing and distribution of such product or products;</w:t>
      </w:r>
    </w:p>
    <w:p>
      <w:pPr>
        <w:spacing w:after="0" w:line="202" w:lineRule="exact"/>
        <w:rPr>
          <w:rFonts w:ascii="Times New Roman" w:cs="Times New Roman" w:eastAsia="Times New Roman" w:hAnsi="Times New Roman"/>
          <w:sz w:val="18"/>
          <w:szCs w:val="18"/>
          <w:color w:val="auto"/>
        </w:rPr>
      </w:pPr>
    </w:p>
    <w:p>
      <w:pPr>
        <w:ind w:left="1320" w:right="200" w:hanging="472"/>
        <w:spacing w:after="0" w:line="266"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REACT or our future product candidates;</w:t>
      </w:r>
    </w:p>
    <w:p>
      <w:pPr>
        <w:spacing w:after="0" w:line="148" w:lineRule="exact"/>
        <w:rPr>
          <w:rFonts w:ascii="Times New Roman" w:cs="Times New Roman" w:eastAsia="Times New Roman" w:hAnsi="Times New Roman"/>
          <w:sz w:val="18"/>
          <w:szCs w:val="18"/>
          <w:color w:val="auto"/>
        </w:rPr>
      </w:pPr>
    </w:p>
    <w:p>
      <w:pPr>
        <w:ind w:left="1320" w:hanging="472"/>
        <w:spacing w:after="0" w:line="261"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068" w:gutter="0" w:footer="0" w:header="0"/>
        </w:sectPr>
      </w:pPr>
    </w:p>
    <w:bookmarkStart w:id="72" w:name="page73"/>
    <w:bookmarkEnd w:id="72"/>
    <w:p>
      <w:pPr>
        <w:ind w:left="1320" w:hanging="472"/>
        <w:spacing w:after="0" w:line="266" w:lineRule="auto"/>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1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65" w:lineRule="exact"/>
        <w:rPr>
          <w:rFonts w:ascii="Times New Roman" w:cs="Times New Roman" w:eastAsia="Times New Roman" w:hAnsi="Times New Roman"/>
          <w:sz w:val="18"/>
          <w:szCs w:val="18"/>
          <w:color w:val="auto"/>
        </w:rPr>
      </w:pPr>
    </w:p>
    <w:p>
      <w:pPr>
        <w:ind w:left="1320" w:right="300" w:hanging="472"/>
        <w:spacing w:after="0" w:line="282" w:lineRule="auto"/>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202" w:lineRule="exact"/>
        <w:rPr>
          <w:rFonts w:ascii="Times New Roman" w:cs="Times New Roman" w:eastAsia="Times New Roman" w:hAnsi="Times New Roman"/>
          <w:sz w:val="18"/>
          <w:szCs w:val="18"/>
          <w:color w:val="auto"/>
        </w:rPr>
      </w:pPr>
    </w:p>
    <w:p>
      <w:pPr>
        <w:ind w:left="1320" w:right="420" w:hanging="472"/>
        <w:spacing w:after="0" w:line="282" w:lineRule="auto"/>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2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Annual Report also apply to the activities of our collaborators.</w:t>
      </w:r>
    </w:p>
    <w:p>
      <w:pPr>
        <w:spacing w:after="0" w:line="7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for REACT and future product candidates, and the negotiation process is time-consuming and complex. In order for us to successfully establish a collaboration for REACT or any of our future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REACT or future product candidates, bring them to market and generate revenue from sales of such products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REACT or our future product candidates could delay their development and commercialization and reduce their competitiveness even if it reaches the market. Finally, the pursuit of any collaboration with third parties will require investment of time and resources of the Company which may prove to be a distraction to management and, consequently, the business in the event that the Company is unable to consummate or enter into new strategic collaboration agreements.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prescribers, purchasers, third-party payors, charitable organizations and patients will be subject to applicable anti-kickback, fraud and abuse and other health 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REACT or any of our future product candidates, if approved, we will be subject to additional health care statutory and regulatory requirements and oversight by federal and state governments in the United States as well as foreign governments in the jurisdictions in which we conduct our business. Health care providers, including physicians, in the United States and elsewhere play a primary role in the recommendation and prescription of biopharmaceutical products. Arrangements with third-party payors and customers can expose biopharmaceutical manufacturers to broadly applicable fraud and abuse and other health care laws and regulations, including, without limitation, the AKS and the FCA, which may constrain the business or financial arrangements and relationships through which such companies sell, market and distribute biopharmaceutical products. In particular, the research of REACT or any of our future product candidates, as well as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73" w:name="page74"/>
    <w:bookmarkEnd w:id="73"/>
    <w:p>
      <w:pPr>
        <w:ind w:right="200"/>
        <w:spacing w:after="0" w:line="282" w:lineRule="auto"/>
        <w:rPr>
          <w:sz w:val="20"/>
          <w:szCs w:val="20"/>
          <w:color w:val="auto"/>
        </w:rPr>
      </w:pPr>
      <w:r>
        <w:rPr>
          <w:rFonts w:ascii="Times New Roman" w:cs="Times New Roman" w:eastAsia="Times New Roman" w:hAnsi="Times New Roman"/>
          <w:sz w:val="18"/>
          <w:szCs w:val="18"/>
          <w:color w:val="auto"/>
        </w:rPr>
        <w:t>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health care laws that may affect us include: the federal fraud and abuse laws, including the AKS; false claims and civil monetary penalties laws, including the FCA and Civil Monetary Penalties Law; federal data privacy and security laws, including HIPAA, as amended by HITECH; and the federal Physician Payments Sunshine Act requiring reports of payments and/or other transfers of value made to or held by physicians (including doctors, dentists, optometrists, podiatrists, and chiropractors), certain non-physician health practitioners, and teaching hospitals, as well as certain ownership and investment interests held by physicians,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manufacturers to report information related to payments and other transfers of value to physicians and other health care providers or marketing expenditures. Additionally, some state and local laws require the registration of biopharmaceutical sales representatives in the jurisdiction.</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 care reform, especially in light of the lack of applicable precedent and regulations. Ensuring business arrangements comply with applicable health care laws, as well as responding to possible investigations by government authorities, can be time- and resource-consuming and can divert a company’s attention from other aspects of its business.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 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 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 care providers or entities with whom we expect to do business is found not to be in compliance with applicable laws, they may be subject to significant criminal, civil or administrative sanctions, including exclusions from government funded health care programs. Any action for violation of these laws, even if successfully defended, could cause a biopharmaceutical manufacturer to incur significant legal expenses and divert management’s attention from the operation of the business. Therefore, even if we are successful in defending against any such actions that may be brought against us, our business may be impaired. Prohibitions or restrictions on sales or withdrawal of future marketed products could materially affect business in an adverse way.</w:t>
      </w:r>
    </w:p>
    <w:p>
      <w:pPr>
        <w:spacing w:after="0" w:line="29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oversight and continued regulatory review, which may result in significant additional expense and we may be subject to penalties if we fail to comply with regulatory requirements or experience unanticipated problems with REACT or any of our future product candidates.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REACT or any of our future product candidates is approved, activities such as the manufacturing, labeling, packaging, storage, advertising, promotion, sampling, and record keeping for the products will be subject to extensive and ongoing regulatory requirements. These requirements include submissions of safety and other post-marketing information and reports, registration, as well as continued compliance with cGMP and cGTP regulations. Biopharmaceutical manufacturers and any CDMOs responsible for any product manufacturing processes are required to comply with extensive FDA and comparable foreign regulatory authority requirements, including ensuring that quality control and manufacturing procedures conform to cGMP and cGTP regulations and any applicable foreign equivalents. As such, we and any CDMOs we may employ in the future will be subject to continual review and inspections to assess compliance with cGMP and cGTP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noncompliance with applicable cGMP regulations, a regulator may impose restrictions on that product, the manufacturing facility or us. If we or our third-party providers fail to comply fully with applicable regulations, then we may be required to initiate a recall or withdrawal of our products.</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4" w:name="page75"/>
    <w:bookmarkEnd w:id="74"/>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REACT or any of our future product candidates, including adverse events of unanticipated severity or frequency, or with our manufacturing processes, or failure to comply with regulatory requirements, may result in the following, among other things:</w:t>
      </w:r>
    </w:p>
    <w:p>
      <w:pPr>
        <w:spacing w:after="0" w:line="189" w:lineRule="exact"/>
        <w:rPr>
          <w:sz w:val="20"/>
          <w:szCs w:val="20"/>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the product, the approved manufacturers or the manufacturing process;</w:t>
      </w:r>
    </w:p>
    <w:p>
      <w:pPr>
        <w:spacing w:after="0" w:line="17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49"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from the FDA or comparable notice of violations from foreign regulatory authorities;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applicable regulatory authority to approve pending applications or supplements to approved applications;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penalties.</w:t>
      </w:r>
    </w:p>
    <w:p>
      <w:pPr>
        <w:spacing w:after="0" w:line="3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regulatory authorities’ policies (such as those of the FDA or EMA) may change, and additional government regulations may be enacted that could prevent, limit or delay regulatory approval of REACT or any of our future product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spacing w:after="0" w:line="75"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can also result in significant financial penalties. Similarly, failure to comply with the European Union’s requirements regarding the protection of personal information can also lead to significant penalties and sanctions.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marketing approval of REACT or any of our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policies, laws and regulations, including legislative measures aimed at reducing health care costs, may impact our ability to obtain approval for, or commercialize REACT or any of our future product candidates, if approved.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 in some other jurisdictions, there have been a number of legislative and regulatory changes and proposed changes regarding the health 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w:t>
      </w:r>
    </w:p>
    <w:p>
      <w:pPr>
        <w:spacing w:after="0" w:line="8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 care is financed by both the government and private insurers, and significantly impacts the U.S. pharmaceutical industry.</w:t>
      </w:r>
    </w:p>
    <w:p>
      <w:pPr>
        <w:spacing w:after="0" w:line="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93" w:right="659" w:bottom="1440" w:gutter="0" w:footer="0" w:header="0"/>
        </w:sectPr>
      </w:pPr>
    </w:p>
    <w:bookmarkStart w:id="75" w:name="page76"/>
    <w:bookmarkEnd w:id="75"/>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expect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DSCSA, which will become fully effective and applicable in November 2024,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biopharmaceutical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President Biden's Executive Order 14087, issued October 2022, called for CMS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As of February 2024, the CMS Innovation Center continues to test the proposed models and has started to roll out plans for access model testing of certain product types (e.g., cell and gene therapies) by states and manufacturers.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Then, in mid-2022, the FTC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PDABs, with the authority to implement UPLs, on drugs sold in their respective jurisdictions. There are several pending federal lawsuits challenging the authority of states to impose UPLs, however.</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w:t>
      </w:r>
    </w:p>
    <w:p>
      <w:pPr>
        <w:spacing w:after="0" w:line="84" w:lineRule="exact"/>
        <w:rPr>
          <w:sz w:val="20"/>
          <w:szCs w:val="20"/>
          <w:color w:val="auto"/>
        </w:rPr>
      </w:pPr>
    </w:p>
    <w:p>
      <w:pPr>
        <w:ind w:right="620" w:firstLine="509"/>
        <w:spacing w:after="0" w:line="312" w:lineRule="auto"/>
        <w:rPr>
          <w:sz w:val="20"/>
          <w:szCs w:val="20"/>
          <w:color w:val="auto"/>
        </w:rPr>
      </w:pPr>
      <w:r>
        <w:rPr>
          <w:rFonts w:ascii="Times New Roman" w:cs="Times New Roman" w:eastAsia="Times New Roman" w:hAnsi="Times New Roman"/>
          <w:sz w:val="17"/>
          <w:szCs w:val="17"/>
          <w:color w:val="auto"/>
        </w:rPr>
        <w:t>Any additional federal or state health care reform measures could limit the amounts that third-party payers will pay for future health care products and services, and, in turn, could significantly reduce the projected value of certain development projects and reduce our profitability.</w:t>
      </w:r>
    </w:p>
    <w:p>
      <w:pPr>
        <w:spacing w:after="0" w:line="24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For example, over the last several years,</w:t>
      </w:r>
    </w:p>
    <w:p>
      <w:pPr>
        <w:jc w:val="center"/>
        <w:ind w:right="-2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6" w:name="page77"/>
    <w:bookmarkEnd w:id="76"/>
    <w:p>
      <w:pPr>
        <w:ind w:right="780"/>
        <w:spacing w:after="0" w:line="282" w:lineRule="auto"/>
        <w:rPr>
          <w:sz w:val="20"/>
          <w:szCs w:val="20"/>
          <w:color w:val="auto"/>
        </w:rPr>
      </w:pPr>
      <w:r>
        <w:rPr>
          <w:rFonts w:ascii="Times New Roman" w:cs="Times New Roman" w:eastAsia="Times New Roman" w:hAnsi="Times New Roman"/>
          <w:sz w:val="18"/>
          <w:szCs w:val="18"/>
          <w:color w:val="auto"/>
        </w:rPr>
        <w:t>the U.S. government has shut down several times and certain regulatory agencies, such as the FDA and the SEC, have had to furlough critical employees and stop critical activities.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medicine marketing and reimbursement regulations may materially affect our ability to market and receive coverage for our products in the European member states.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REACT in both the United States and in selected foreign jurisdictions. If we obtain approval in one or more foreign jurisdictions for REACT, we will be subject to rules and regulations in those jurisdictions. In some foreign countries, particularly those in the European Union, the pricing of medicines and cell based therapeutics is subject to governmental control and other market regulations which could put pressure on the pricing and usage of REACT. In these countries, pricing negotiations with governmental authorities can take considerable time after obtaining marketing approval of a product candidate. In addition, market acceptance and sales of REACT will depend significantly on the availability of adequate coverage and reimbursement from third-party payors for REACT and may be affected by existing and future health care reform measures. Additionally, the international regulatory landscape related to reimbursement is uncertain, and likely will continue to evolve before we are able to commercialize REACT.</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Much like the federal AKS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and in respect of the United Kingdom (which is no longer a member of the European Union), the UK Bribery Act 2010. Infringement of these laws could result in substantial fines and imprisonment.</w:t>
      </w:r>
    </w:p>
    <w:p>
      <w:pPr>
        <w:spacing w:after="0" w:line="75"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most foreign countries, including the EEA, the proposed pricing for a medicine must be approved before it may be lawfully marketed. The requirements governing medicine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In addition, these regulations are evolving and subject to change, possibly before we are able to commercialize REACT.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30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subjects and health 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7" w:name="page78"/>
    <w:bookmarkEnd w:id="77"/>
    <w:p>
      <w:pPr>
        <w:ind w:right="160"/>
        <w:spacing w:after="0" w:line="282" w:lineRule="auto"/>
        <w:rPr>
          <w:sz w:val="20"/>
          <w:szCs w:val="20"/>
          <w:color w:val="auto"/>
        </w:rPr>
      </w:pPr>
      <w:r>
        <w:rPr>
          <w:rFonts w:ascii="Times New Roman" w:cs="Times New Roman" w:eastAsia="Times New Roman" w:hAnsi="Times New Roman"/>
          <w:sz w:val="18"/>
          <w:szCs w:val="18"/>
          <w:color w:val="auto"/>
        </w:rPr>
        <w:t>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5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HIPAA, as amended by HITECH,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or other privacy and data security laws. Depending on the facts and circumstances, we could be subject to criminal penalties if we knowingly obtain, use, or disclose protected health information maintained by a HIPAA-covered entity in a manner that is not authorized or permitted by HIPAA. However, determining whether protected health information has been handled in compliance with applicable privacy standards and our contractual obligations can be complex and may be subject to changing interpretation.</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or other personal,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and outside resources. Furthermore, state attorneys general are authorized to bring civil actions seeking either injunctions or damages in response to violations that threaten the privacy of state residents.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state laws govern the privacy and security of personal information and data in specified circumstances, many of which differ from each other in significant ways, are often not pre-empted by HIPAA, and may have a more prohibitive effect than HIPAA, thus complicating compliance efforts. For example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In addition, the California Consumer Rights Act (the “CPRA”) was recently enacted to strengthen elements of the CCPA and became effective on January 1, 2023. A number of other states have enacted similar comprehensive privacy laws or considered similar privacy proposals. The Colorado Privacy Act, the Connecticut Personal Data Privacy and Online Monitoring Act, the Utah Consumer Privacy Act, and the Virginia Consumer Data Protection Act all became effective during 2023. Privacy laws in Montana, Oregon, and Texas will take effect in 2024. In addition, laws in other U.S. states are set to take effect beyond 2024, and additional U.S. states have proposals under consideration. These privacy laws may impact our business activities and exemplify the vulnerability of our business to the evolving regulatory environment related to personal data.</w:t>
      </w:r>
    </w:p>
    <w:p>
      <w:pPr>
        <w:spacing w:after="0" w:line="8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to our operations in the United States, which may be subject to health care and other laws relating to the privacy and security of health information and other personal information, we are conducting, and we may conduct in the future, clinical trials in EEA and may become subject to additional European data privacy laws, regulations and guidelines. The General Data Protection Regulation, (EU) 2016/679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8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Further, national laws of member states of the European Union have been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8" w:name="page79"/>
    <w:bookmarkEnd w:id="78"/>
    <w:p>
      <w:pPr>
        <w:ind w:right="160"/>
        <w:spacing w:after="0" w:line="282" w:lineRule="auto"/>
        <w:rPr>
          <w:sz w:val="20"/>
          <w:szCs w:val="20"/>
          <w:color w:val="auto"/>
        </w:rPr>
      </w:pPr>
      <w:r>
        <w:rPr>
          <w:rFonts w:ascii="Times New Roman" w:cs="Times New Roman" w:eastAsia="Times New Roman" w:hAnsi="Times New Roman"/>
          <w:sz w:val="18"/>
          <w:szCs w:val="18"/>
          <w:color w:val="auto"/>
        </w:rPr>
        <w:t>genetic data, the GDPR specifically allows national laws to impose additional and more specific requirements or restrictions, and European laws have historically differed quite substantially in this field, leading to additional uncertainty.</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GDPR also regulates the transfer of personal data subject to the GDPR to so-called third countries that have not been found by the European Commission to provide an adequate level of data protection. Legal developments in Europe have created complexity and uncertainty regarding such transfers. For instance, on July 16, 2020, the Court of Justice of the European Union, or CJEU, invalidated, by means of the so-called Schrems II judgment, the EU-U.S. Privacy Shield Framework, or the Privacy Shield, under which personal data could be transferred from the EEA to U.S. entities who had self-certified under the Privacy Shield scheme. However, on July 10, 2023, the European Commission adopted an adequacy decision for a new mechanism for transferring data from the European Union to the United States – the EU-U.S. Data Privacy Framework – which provides EU individuals with several new rights, including the right to obtain access to their data, or obtain correction or deletion of incorrect or unlawfully handled data, and allows U.S. companies to self-certify to the U.S. Department of Commerce their compliance with a set of agreed privacy principles in order to freely receive EU personal data. The adequacy decision followed the signing of an executive order introducing new binding safeguards to address the points raised in the Schrems II judgment. The European Commission will continually review developments in the United States along with its adequacy decision.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Following the United Kingdom’s withdrawal from the European Union (i.e., Brexit), and the expiry of the Brexit transition period, which ended on December 31, 2020, the EU GDPR has been implemented in the United Kingdom (as the UK GDPR). The UK GDPR sits alongside the UK Data Protection Act 2018 which implements certain derogations in the EU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Adequacy decisions can be adapted or even withdrawn in the event of developments affecting the level of protection in the applicable jurisdiction. In addition,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conducting clinical trials in the EEA, and the GDPR increases our responsibility and liability in relation to personal data that we process where such processing is subject to the GDPR, and we are required to have in place additional mechanisms and safeguards to ensure compliance with the GDPR, including as implemented by individual countries. Compliance with the GDPR is a rigorous and time-intensive process that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hesitation, reluctance, or refusal by European or multi-national vendors or biopharmaceutical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vendors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relating to our international operations could negatively impact or restrict our operations.</w:t>
      </w:r>
    </w:p>
    <w:p>
      <w:pPr>
        <w:spacing w:after="0" w:line="121"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7"/>
          <w:szCs w:val="17"/>
          <w:color w:val="auto"/>
        </w:rPr>
        <w:t>Following the result of a referendum in 2016, Brexit took effect on January 31, 2020. Pursuant to the formal withdrawal arrangements agreed to by the United Kingdom and the European Union, as of January 1, 2021, the United Kingdom is no longer subject to the transition period during which EU rules continued to apply (the “Transition Period”). Negotiations between the United Kingdom and the European Union are expected to continue in relation to the customs and trading relationship between the United Kingdom and the European Union following the expiry of the Transition Period.</w:t>
      </w:r>
    </w:p>
    <w:p>
      <w:pPr>
        <w:spacing w:after="0" w:line="5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is applicable to our business, and REACT, our lead product candidate, is derived from EU directives and regulations, Brexit, following the Transition Period, could materially impact the regulatory regime with respect to the development, manufacture, importation, approval and commercialization of REACT in the United Kingdom or the European Union. For example, as a result of the uncertainty surrounding Brexit, the EMA relocated to Amsterdam from London. Following the Transition Period, the United Kingdom will no longer be covered by the centralized procedures for obtaining EU-wide marketing authorizations from the EMA, and unless a specific agreement is entered into, a separate process for authorization of cell-based products will be required in the United Kingdom, the potential process for which is currently unclear. Any delay in obtaining, or an inability to obtain, any marketing approvals, as a result of Brexit or</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79" w:name="page80"/>
    <w:bookmarkEnd w:id="79"/>
    <w:p>
      <w:pPr>
        <w:ind w:right="20"/>
        <w:spacing w:after="0" w:line="254" w:lineRule="auto"/>
        <w:rPr>
          <w:sz w:val="20"/>
          <w:szCs w:val="20"/>
          <w:color w:val="auto"/>
        </w:rPr>
      </w:pPr>
      <w:r>
        <w:rPr>
          <w:rFonts w:ascii="Times New Roman" w:cs="Times New Roman" w:eastAsia="Times New Roman" w:hAnsi="Times New Roman"/>
          <w:sz w:val="18"/>
          <w:szCs w:val="18"/>
          <w:color w:val="auto"/>
        </w:rPr>
        <w:t>otherwise, would prevent us from commercializing REACT in the United Kingdom or the European Union and limit our ability to generate revenue and achieve and sustain profitability. In addition, we may be required to pay taxes or duties or be subjected to other hurdles in connection with the importation of REACT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REACT,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72"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 care providers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As we expand our operations throughout the world, we will be required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(collectively, the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(“Charter”) provides that we renounce, to the maximum extent permitted by law, our interest in any corporate opportunity offered to any director who is not also an employee of the Company or about which any such director acquires knowledge unless such opportunity is expressly offered to such person solely in his or her capacity as a director of the Company and such opportunity is one we are legally and contractually permitted to</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0" w:name="page81"/>
    <w:bookmarkEnd w:id="80"/>
    <w:p>
      <w:pPr>
        <w:ind w:right="20"/>
        <w:spacing w:after="0" w:line="266" w:lineRule="auto"/>
        <w:rPr>
          <w:sz w:val="20"/>
          <w:szCs w:val="20"/>
          <w:color w:val="auto"/>
        </w:rPr>
      </w:pPr>
      <w:r>
        <w:rPr>
          <w:rFonts w:ascii="Times New Roman" w:cs="Times New Roman" w:eastAsia="Times New Roman" w:hAnsi="Times New Roman"/>
          <w:sz w:val="18"/>
          <w:szCs w:val="18"/>
          <w:color w:val="auto"/>
        </w:rPr>
        <w:t>undertake and would otherwise be reasonable for us to pursue. In addition, our Charter contains provisions to exculpate and indemnify, to the maximum extent permitted by law, such persons in respect of any liability, obligation or duty to our company that may arise as a consequence of such persons becoming aware of any business opportunity or failing to present such business opportunity.</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result in a conflict of interest and may result in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280"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6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Our corporate affairs are governed by our Charter, the Cayman Islands Companies Act and the common law of the Cayman Islands.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corporate and securities laws as compared to the United States, and certain states, such as Delaware, may have more fully developed and judicially interpreted bodies of corporate law. In addition, Cayman Islands companies may not have standing to initiate a shareholder derivative action in a Federal court of the United States.</w:t>
      </w:r>
    </w:p>
    <w:p>
      <w:pPr>
        <w:spacing w:after="0" w:line="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8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management, members of the board of directors or controlling shareholders than they would as shareholders of a United States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business will depend in large part on obtaining and maintaining patent, trademark and trade secret protection of our proprietary technologies and REACT, our lead product candidate, its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REACT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1" w:name="page82"/>
    <w:bookmarkEnd w:id="81"/>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The patenting process is subject to numerous risks and there can be no assurance that we will be successful in obtaining patents for which we have applied.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REACT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REACT, or prevent others from designing around the claims in our patents. If the breadth or strength of protection provided by the patent applications we hold with respect to REACT is threatened, it could dissuade companies from collaborating with us to develop, and threaten our ability to commercialize, REACT. Further, if we encounter delays in our clinical trials, the period of time during which we could market REACT under patent protection would be reduced.</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cannot be certain that we were the first to file any patent application related to our technology, including REACT, and, if we were not, we may be precluded from obtaining patent protection for our technology, including REACT.</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REACT, or would be found by a court to be infringed by a competitor’s technology or product. We may analyze patents or patent applications of our competitors that we believe are relevant to our activities, and consider that we are free to operate in relation to REACT, but our competitors may achieve issued claims, including in patents we consider to be unrelated, which block our efforts or may potentially result in REACT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8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(the “America Invents Act”) after March 2013,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In addition, the courts have yet to address many of these provisions and the applicability of the America Invents Act and new regulations on specific patents discussed herein, for which issues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5" w:lineRule="exact"/>
        <w:rPr>
          <w:sz w:val="20"/>
          <w:szCs w:val="20"/>
          <w:color w:val="auto"/>
        </w:rPr>
      </w:pPr>
    </w:p>
    <w:p>
      <w:pPr>
        <w:ind w:left="1320" w:hanging="472"/>
        <w:spacing w:after="0" w:line="28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compositions of REACT but that are not covered by the claims of our patents or those of our licensors;</w:t>
      </w:r>
    </w:p>
    <w:p>
      <w:pPr>
        <w:spacing w:after="0" w:line="188" w:lineRule="exact"/>
        <w:rPr>
          <w:rFonts w:ascii="Times New Roman" w:cs="Times New Roman" w:eastAsia="Times New Roman" w:hAnsi="Times New Roman"/>
          <w:sz w:val="18"/>
          <w:szCs w:val="18"/>
          <w:color w:val="auto"/>
        </w:rPr>
      </w:pPr>
    </w:p>
    <w:p>
      <w:pPr>
        <w:ind w:left="1320" w:right="120" w:hanging="472"/>
        <w:spacing w:after="0" w:line="28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invented or developed using U.S. government funding, leading to the loss of patent rights;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82" w:name="page83"/>
    <w:bookmarkEnd w:id="82"/>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52"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52"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188"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REACT;</w:t>
      </w:r>
    </w:p>
    <w:p>
      <w:pPr>
        <w:spacing w:after="0" w:line="252" w:lineRule="exact"/>
        <w:rPr>
          <w:rFonts w:ascii="Times New Roman" w:cs="Times New Roman" w:eastAsia="Times New Roman" w:hAnsi="Times New Roman"/>
          <w:sz w:val="18"/>
          <w:szCs w:val="18"/>
          <w:color w:val="auto"/>
        </w:rPr>
      </w:pPr>
    </w:p>
    <w:p>
      <w:pPr>
        <w:ind w:left="1320" w:right="280" w:hanging="472"/>
        <w:spacing w:after="0" w:line="282"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88" w:lineRule="exact"/>
        <w:rPr>
          <w:rFonts w:ascii="Times New Roman" w:cs="Times New Roman" w:eastAsia="Times New Roman" w:hAnsi="Times New Roman"/>
          <w:sz w:val="18"/>
          <w:szCs w:val="18"/>
          <w:color w:val="auto"/>
        </w:rPr>
      </w:pPr>
    </w:p>
    <w:p>
      <w:pPr>
        <w:jc w:val="both"/>
        <w:ind w:left="1320" w:right="220" w:hanging="472"/>
        <w:spacing w:after="0" w:line="266"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202" w:lineRule="exact"/>
        <w:rPr>
          <w:rFonts w:ascii="Times New Roman" w:cs="Times New Roman" w:eastAsia="Times New Roman" w:hAnsi="Times New Roman"/>
          <w:sz w:val="18"/>
          <w:szCs w:val="18"/>
          <w:color w:val="auto"/>
        </w:rPr>
      </w:pPr>
    </w:p>
    <w:p>
      <w:pPr>
        <w:ind w:left="1320" w:right="480" w:hanging="472"/>
        <w:spacing w:after="0" w:line="266"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202" w:lineRule="exact"/>
        <w:rPr>
          <w:rFonts w:ascii="Times New Roman" w:cs="Times New Roman" w:eastAsia="Times New Roman" w:hAnsi="Times New Roman"/>
          <w:sz w:val="18"/>
          <w:szCs w:val="18"/>
          <w:color w:val="auto"/>
        </w:rPr>
      </w:pPr>
    </w:p>
    <w:p>
      <w:pPr>
        <w:ind w:left="1320" w:right="480" w:hanging="472"/>
        <w:spacing w:after="0" w:line="282"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w:t>
      </w:r>
    </w:p>
    <w:p>
      <w:pPr>
        <w:spacing w:after="0" w:line="252" w:lineRule="exact"/>
        <w:rPr>
          <w:rFonts w:ascii="Times New Roman" w:cs="Times New Roman" w:eastAsia="Times New Roman" w:hAnsi="Times New Roman"/>
          <w:sz w:val="18"/>
          <w:szCs w:val="18"/>
          <w:color w:val="auto"/>
        </w:rPr>
      </w:pPr>
    </w:p>
    <w:p>
      <w:pPr>
        <w:ind w:left="1320" w:right="20" w:hanging="472"/>
        <w:spacing w:after="0" w:line="266"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owned or in-licensed patents or applications were made with U.S. government funds, it is possible that the U.S. government may assert certain march-in rights to force us or our licensor to grant a license to third-parties to allow them to practice the claimed invention; or</w:t>
      </w:r>
    </w:p>
    <w:p>
      <w:pPr>
        <w:spacing w:after="0" w:line="20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0" w:lineRule="exact"/>
        <w:rPr>
          <w:sz w:val="20"/>
          <w:szCs w:val="20"/>
          <w:color w:val="auto"/>
        </w:rPr>
      </w:pPr>
    </w:p>
    <w:p>
      <w:pPr>
        <w:spacing w:after="0" w:line="3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licenses or agreements.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39" w:lineRule="exact"/>
        <w:rPr>
          <w:sz w:val="20"/>
          <w:szCs w:val="20"/>
          <w:color w:val="auto"/>
        </w:rPr>
      </w:pPr>
    </w:p>
    <w:p>
      <w:pPr>
        <w:ind w:left="1320" w:hanging="472"/>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1320" w:right="600" w:hanging="472"/>
        <w:spacing w:after="0" w:line="282" w:lineRule="auto"/>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REACT, our lead product candidate, or any other product candidate’s technology and processes infringe on intellectual property of the licensor that is not subject to the licensing agreement;</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5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52" w:lineRule="exact"/>
        <w:rPr>
          <w:rFonts w:ascii="Times New Roman" w:cs="Times New Roman" w:eastAsia="Times New Roman" w:hAnsi="Times New Roman"/>
          <w:sz w:val="18"/>
          <w:szCs w:val="18"/>
          <w:color w:val="auto"/>
        </w:rPr>
      </w:pPr>
    </w:p>
    <w:p>
      <w:pPr>
        <w:ind w:left="1320" w:right="340" w:hanging="472"/>
        <w:spacing w:after="0" w:line="282" w:lineRule="auto"/>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88"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47"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In addition, the agreements under which we may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w:t>
      </w:r>
    </w:p>
    <w:p>
      <w:pPr>
        <w:sectPr>
          <w:pgSz w:w="11900" w:h="16838" w:orient="portrait"/>
          <w:cols w:equalWidth="0" w:num="1">
            <w:col w:w="11060"/>
          </w:cols>
          <w:pgMar w:left="320" w:top="999" w:right="519" w:bottom="0" w:gutter="0" w:footer="0" w:header="0"/>
        </w:sectPr>
      </w:pPr>
    </w:p>
    <w:bookmarkStart w:id="83" w:name="page84"/>
    <w:bookmarkEnd w:id="83"/>
    <w:p>
      <w:pPr>
        <w:ind w:right="140"/>
        <w:spacing w:after="0" w:line="282" w:lineRule="auto"/>
        <w:rPr>
          <w:sz w:val="20"/>
          <w:szCs w:val="20"/>
          <w:color w:val="auto"/>
        </w:rPr>
      </w:pPr>
      <w:r>
        <w:rPr>
          <w:rFonts w:ascii="Times New Roman" w:cs="Times New Roman" w:eastAsia="Times New Roman" w:hAnsi="Times New Roman"/>
          <w:sz w:val="18"/>
          <w:szCs w:val="18"/>
          <w:color w:val="auto"/>
        </w:rPr>
        <w:t>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5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w:t>
      </w:r>
    </w:p>
    <w:p>
      <w:pPr>
        <w:spacing w:after="0" w:line="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4" w:name="page85"/>
    <w:bookmarkEnd w:id="84"/>
    <w:p>
      <w:pPr>
        <w:ind w:right="220"/>
        <w:spacing w:after="0" w:line="261" w:lineRule="auto"/>
        <w:rPr>
          <w:sz w:val="20"/>
          <w:szCs w:val="20"/>
          <w:color w:val="auto"/>
        </w:rPr>
      </w:pPr>
      <w:r>
        <w:rPr>
          <w:rFonts w:ascii="Times New Roman" w:cs="Times New Roman" w:eastAsia="Times New Roman" w:hAnsi="Times New Roman"/>
          <w:sz w:val="18"/>
          <w:szCs w:val="18"/>
          <w:color w:val="auto"/>
        </w:rPr>
        <w:t>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and competitive position would be harmed.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the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also plan to adopt policies and conduct training that provides guidance on our expectations, and our advice for best practices, in protecting our trade secrets.</w:t>
      </w:r>
    </w:p>
    <w:p>
      <w:pPr>
        <w:spacing w:after="0" w:line="29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to defend and could prevent or delay our product discovery, development and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REACT, our lead product candidate,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REACT and/or proprietary technologies infringe their intellectual property rights. Numerous U.S. and foreign issued patents and pending patent applications, which are owned by third parties, exist in the fields in which we are developing REACT. As the biotechnology and biopharmaceutical industries expand and more patents are issued, the risk increases that REACT may give rise to claims of infringement of the patent rights of others.</w:t>
      </w:r>
    </w:p>
    <w:p>
      <w:pPr>
        <w:spacing w:after="0" w:line="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Purple Book Continuity Act, enacted in December 2020 under Title II § 325, directs the FDA for the first time to publicly list certain patent information in the “Purple Book,” a database of approved biological products. Specifically, a reference product sponsor (“RPS”) is required to provide to FDA the list of patents and corresponding expiry dates (referred to here as the “initial list”), not later than 30 days after the RPS has provided the initial list to a 351(k) applicant under section 351(l)(3)(A) or (l)(7) of the Public Health Service Act. Accordingly, the RPS must only provide information on its patents to the FDA for listing in the Purple Book after it engages in the patent dance with a follow-on developer or biosimilar. As such, it is not always clear to</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5" w:name="page86"/>
    <w:bookmarkEnd w:id="85"/>
    <w:p>
      <w:pPr>
        <w:ind w:right="340"/>
        <w:spacing w:after="0" w:line="266" w:lineRule="auto"/>
        <w:rPr>
          <w:sz w:val="20"/>
          <w:szCs w:val="20"/>
          <w:color w:val="auto"/>
        </w:rPr>
      </w:pPr>
      <w:r>
        <w:rPr>
          <w:rFonts w:ascii="Times New Roman" w:cs="Times New Roman" w:eastAsia="Times New Roman" w:hAnsi="Times New Roman"/>
          <w:sz w:val="18"/>
          <w:szCs w:val="18"/>
          <w:color w:val="auto"/>
        </w:rPr>
        <w:t>industry participants, including us, which patents cover various types of medicines, products or their methods of use or manufacture, especially in the earlier stages of product discovery and development. Thus, because of the large number of patents issued and patent applications filed in our fields, there may be a risk that third parties may allege they have patent rights encompassing our product candidate, technologies or methods.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320" w:right="260" w:hanging="472"/>
        <w:spacing w:after="0" w:line="282" w:lineRule="auto"/>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40" w:lineRule="exact"/>
        <w:rPr>
          <w:rFonts w:ascii="Times New Roman" w:cs="Times New Roman" w:eastAsia="Times New Roman" w:hAnsi="Times New Roman"/>
          <w:sz w:val="18"/>
          <w:szCs w:val="18"/>
          <w:color w:val="auto"/>
        </w:rPr>
      </w:pPr>
    </w:p>
    <w:p>
      <w:pPr>
        <w:jc w:val="both"/>
        <w:ind w:left="1320" w:right="120" w:hanging="472"/>
        <w:spacing w:after="0" w:line="266" w:lineRule="auto"/>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or technology at issue infringes on or violates the third-party’s rights, and, if the court finds that the infringement was willful, we could be ordered to pay treble damages and the patent owner’s attorneys’ fees;</w:t>
      </w:r>
    </w:p>
    <w:p>
      <w:pPr>
        <w:spacing w:after="0" w:line="54"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REACT, or from using our proprietary technologies, unless the third-party licenses its product rights to us, which it is not required to do;</w:t>
      </w:r>
    </w:p>
    <w:p>
      <w:pPr>
        <w:spacing w:after="0" w:line="40" w:lineRule="exact"/>
        <w:rPr>
          <w:rFonts w:ascii="Times New Roman" w:cs="Times New Roman" w:eastAsia="Times New Roman" w:hAnsi="Times New Roman"/>
          <w:sz w:val="18"/>
          <w:szCs w:val="18"/>
          <w:color w:val="auto"/>
        </w:rPr>
      </w:pPr>
    </w:p>
    <w:p>
      <w:pPr>
        <w:jc w:val="both"/>
        <w:ind w:left="1320" w:right="20" w:hanging="472"/>
        <w:spacing w:after="0" w:line="266" w:lineRule="auto"/>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54"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REACT or processes so they do not infringe, which may not be possible or may require substantial monetary expenditures and time.</w:t>
      </w:r>
    </w:p>
    <w:p>
      <w:pPr>
        <w:spacing w:after="0" w:line="2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proprietary technology without authorization.</w:t>
      </w:r>
    </w:p>
    <w:p>
      <w:pPr>
        <w:spacing w:after="0" w:line="12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compositions of matter, materials, formulations, methods of manufacture or methods for treatment that encompass the composition, use or manufacture of REACT. There may be currently pending patent applications of which we are currently unaware which may later result in issued patents that REACT or their use or manufacture may infringe. In addition, third parties may obtain patents in the future and claim that use of our technologies infringes upon these patents. If any third-party patent were held by a court of competent jurisdiction to cover REACT, intermediates used in the manufacture of REACT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REACT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2"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REACT.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REACT. We may fail to obtain any of these licenses at a reasonable cost or on reasonable terms, if at all. In that event, we would be unable to further develop and commercialize REACT, which could harm our business significantly.</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86" w:name="page87"/>
    <w:bookmarkEnd w:id="86"/>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0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may be relevant to or necessary for the commercialization of REACT in any jurisdiction.</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REACT. Our failure to identify and correctly interpret relevant patents may negatively impact our ability to develop and market our products.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intellectual property rights to develop any future product candidates on acceptable terms.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REACT, our current product candidate, may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REACT.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87" w:name="page88"/>
    <w:bookmarkEnd w:id="87"/>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challenging the patent rights of others, which could be expensive, time-consuming and unsuccessful.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third-party’s U.S. patent by requesting that the USPTO review the patent claims in an ex-parte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REACT or our proprietary technologies.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4"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securities.</w:t>
      </w:r>
    </w:p>
    <w:p>
      <w:pPr>
        <w:spacing w:after="0" w:line="28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our owned and in-licensed issued patents and patent applications are or will be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88" w:name="page89"/>
    <w:bookmarkEnd w:id="88"/>
    <w:p>
      <w:pPr>
        <w:ind w:right="200"/>
        <w:spacing w:after="0" w:line="282" w:lineRule="auto"/>
        <w:rPr>
          <w:sz w:val="20"/>
          <w:szCs w:val="20"/>
          <w:color w:val="auto"/>
        </w:rPr>
      </w:pPr>
      <w:r>
        <w:rPr>
          <w:rFonts w:ascii="Times New Roman" w:cs="Times New Roman" w:eastAsia="Times New Roman" w:hAnsi="Times New Roman"/>
          <w:sz w:val="18"/>
          <w:szCs w:val="18"/>
          <w:color w:val="auto"/>
        </w:rPr>
        <w:t>even inadvertent noncompliance events may permanently and irrevocably jeopardize patent rights. In such an event, our competitors might be able to enter the market, which would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patents covering REACT could be found invalid or unenforceable if challenged in court or the USPTO.</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third-party to enforce a patent covering REACT, the defendant could counterclaim that the patent covering REACT,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(e.g., opposition proceedings). Such proceedings could result in revocation or amendment to our patents in such a way that they no longer cover REACT.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REACT. Such a loss of patent protection could have a material adverse impact on our business and our ability to commercialize or license our technology and product candidates.</w:t>
      </w:r>
    </w:p>
    <w:p>
      <w:pPr>
        <w:spacing w:after="0" w:line="8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have a similar material adverse effect on our business, results of operations, financial condition and prospects.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changes in the administration’s interpretation of the law, or changes in the law in other jurisdictions could diminish the value of patents in general, thereby impairing our ability to protect our products.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foreign intellectual property rights and may not be able to protect and enforce our intellectual property rights throughout the world.</w:t>
      </w:r>
    </w:p>
    <w:p>
      <w:pPr>
        <w:spacing w:after="0" w:line="13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multiple patents in countries outside of the United States, we do not have intellectual property rights in all potential markets outside the United States where CKD is prevalent.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REACT or our future product candidates for an adequate amount of time, and if we do not obtain protection under the Hatch-Waxman Amendments and similar non-United States legislation for extending the term of patents covering REACT or our future product candidates, our business may be materially harmed.</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filing date. Various extensions such as patent term adjustments and/or extensions, may be available, but the life of a patent, and the protection it affords, is limited. Even if patents covering REACT or any of our future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Hatch-Waxman Amendments. The Hatch-Waxman Amendments permit a patent extension term of up to five additional years beyond the expiration date as compensation for patent term lost during the FDA regulatory review process. A patent term extension cannot extend the remaining term of a patent beyond a total of 14 years from the date of product approval, only one patent may be extended. However, we may not be granted the full extension because of, for example, failing to exercise due diligence during the testing phase or regulatory review process. Also, we may not be granted any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REACT, if approved for marketing, from the products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90" w:name="page91"/>
    <w:bookmarkEnd w:id="90"/>
    <w:p>
      <w:pPr>
        <w:spacing w:after="0" w:line="254" w:lineRule="auto"/>
        <w:rPr>
          <w:sz w:val="20"/>
          <w:szCs w:val="20"/>
          <w:color w:val="auto"/>
        </w:rPr>
      </w:pPr>
      <w:r>
        <w:rPr>
          <w:rFonts w:ascii="Times New Roman" w:cs="Times New Roman" w:eastAsia="Times New Roman" w:hAnsi="Times New Roman"/>
          <w:sz w:val="18"/>
          <w:szCs w:val="18"/>
          <w:color w:val="auto"/>
        </w:rPr>
        <w:t>event that our trademarks are successfully challenged, we could be forced to rebrand our products,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 Moreover, any name we propose to use with REACT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research and regulatory capabilities, our manufacturing and administrative capacities, and potentially implement sales, marketing and distribution capabilities, and as a result, we may encounter difficulties in managing our growth, which could adversely affect our operations.</w:t>
      </w:r>
    </w:p>
    <w:p>
      <w:pPr>
        <w:spacing w:after="0" w:line="5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163 full-time employees. As our clinical development and commercialization plans and strategies develop, and as we transition into operating as a public company, we will need to expand our managerial, clinical, regulatory, manufacturing, sales, marketing, financial, development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97" w:lineRule="exact"/>
        <w:rPr>
          <w:sz w:val="20"/>
          <w:szCs w:val="20"/>
          <w:color w:val="auto"/>
        </w:rPr>
      </w:pPr>
    </w:p>
    <w:p>
      <w:pPr>
        <w:ind w:left="1320" w:hanging="472"/>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320" w:right="60" w:hanging="472"/>
        <w:spacing w:after="0" w:line="282" w:lineRule="auto"/>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and commercialization efforts effectively, including the clinical and FDA review process for REACT and any other product candidates, while complying with our contractual obligations to contractors and other third parties; and</w:t>
      </w:r>
    </w:p>
    <w:p>
      <w:pPr>
        <w:spacing w:after="0" w:line="40"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34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ability to continue to develop and, if approved, commercialize REACT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REACT or any of our future product candidates or otherwise advance our business. There can be no assurance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REACT or any other product candidates and, accordingly, may not achieve our research, development and commercialization goals.</w:t>
      </w:r>
    </w:p>
    <w:p>
      <w:pPr>
        <w:spacing w:after="0" w:line="28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continue developing REACT or identify and develop new product candidates will be impaired, which could result in loss of markets or market share and could make us less competitive.</w:t>
      </w:r>
    </w:p>
    <w:p>
      <w:pPr>
        <w:spacing w:after="0" w:line="67"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and the loss of the services of any of our executive officers, other key employees, and other scientific and medical advisors, and our inability to find suitable replacements could result in delays in product development and harm our business.</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We conduct our operations globally from several locations, including the United States and the Cayman Islands. Competition for skilled personnel in our industry is intense and may limit our ability to hire and retain highly qualified personnel on acceptable terms or at all.</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intend to provide equity awards that vest over time, some of which may be in the form of unregistered shares and may dilute the voting and</w:t>
      </w:r>
    </w:p>
    <w:p>
      <w:pPr>
        <w:jc w:val="center"/>
        <w:ind w:right="-2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1" w:name="page92"/>
    <w:bookmarkEnd w:id="91"/>
    <w:p>
      <w:pPr>
        <w:ind w:right="120"/>
        <w:spacing w:after="0" w:line="256" w:lineRule="auto"/>
        <w:rPr>
          <w:sz w:val="20"/>
          <w:szCs w:val="20"/>
          <w:color w:val="auto"/>
        </w:rPr>
      </w:pPr>
      <w:r>
        <w:rPr>
          <w:rFonts w:ascii="Times New Roman" w:cs="Times New Roman" w:eastAsia="Times New Roman" w:hAnsi="Times New Roman"/>
          <w:sz w:val="18"/>
          <w:szCs w:val="18"/>
          <w:color w:val="auto"/>
        </w:rPr>
        <w:t>economic rights of our shareholders. The value to employees of such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Our success also depends on our ability to continue to attract, retain and motivate highly skilled junior, mid-level and senior scientific and medical personnel.</w:t>
      </w:r>
    </w:p>
    <w:p>
      <w:pPr>
        <w:spacing w:after="0" w:line="291"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reputation and ability to operate business operations, manufacturing and clinical studies rely on the performance and security of our computer systems and those of third parties that we utilize in our operations. These systems and those of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REACT or any of our future product candidates could be delayed.</w:t>
      </w:r>
    </w:p>
    <w:p>
      <w:pPr>
        <w:spacing w:after="0" w:line="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 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w:t>
      </w:r>
    </w:p>
    <w:p>
      <w:pPr>
        <w:spacing w:after="0" w:line="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2" w:name="page93"/>
    <w:bookmarkEnd w:id="92"/>
    <w:p>
      <w:pPr>
        <w:ind w:right="20"/>
        <w:spacing w:after="0" w:line="258" w:lineRule="auto"/>
        <w:rPr>
          <w:sz w:val="20"/>
          <w:szCs w:val="20"/>
          <w:color w:val="auto"/>
        </w:rPr>
      </w:pPr>
      <w:r>
        <w:rPr>
          <w:rFonts w:ascii="Times New Roman" w:cs="Times New Roman" w:eastAsia="Times New Roman" w:hAnsi="Times New Roman"/>
          <w:sz w:val="18"/>
          <w:szCs w:val="18"/>
          <w:color w:val="auto"/>
        </w:rPr>
        <w:t>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services to operate certain aspects of our business and any disruption of or interference with our use of cloud services would impact our operations and our business would be adversely impacted.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cloud services we use provide distributed computing infrastructure platform and application hosting for our business operations. We have architected our software and computer systems to utilize application hosting, storage capabilities, communications and other services provided by cloud-based services. Given this, any disruption of, or interference with, our use of such services would impact our operations and our business would be adversely impacted.</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International data protection laws, including GDPR, may also apply to health-related and other personal information collected outside of the United States. The GDPR will increase our responsibility and liability in relation to personal data that we process, and we may be required to put in place additional mechanisms to ensure compliance with the new EU (which also includes the EEA) data protection rules. Further, the Brexit has created more uncertainty with regard to data protection regulation in the United Kingdom. The United Kingdom retained the GDPR in UK law, which sits alongside the amended version of the Data Protection Act 2018. The European Union adopted an adequacy decision so that data can be transferred from the European Union to the United Kingdom. Additionally, there are no new requirements for transfer from the United Kingdom to the European Union. However, going forward, the European Union’s and United Kingdom’s data protection rules could diverge, and data transfers may not be possible and/or new arrangements may need to be put in place. In particular, it is unclear to what extent the United Kingdom regime will begin diverging from the GDPR and how data transfers to and from the United Kingdom will be regulated.</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California recently enacted the CCPA, which creates new individual privacy rights for California consumers (as defined in the law) and places increased privacy and security obligations on entities handling personal data of consumers or households. The CCPA became effective on January 1, 2020, and was significantly amended by the CPRA, which became effective on January 1, 2023. Among other things, the CPRA established a new regulatory authority, the California Privacy Protection Agency, which is tasked with enacting new regulations under the CPRA and will have expanded enforcement authority.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These privacy laws may impact our business activities and exemplify the vulnerability of our business to the evolving regulatory environment related to personal data.</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93" w:name="page94"/>
    <w:bookmarkEnd w:id="93"/>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or policy could increase our effective tax rate and tax liability or the taxes payable by holders of our ordinary shares, each of which could have a material adverse effect on our business, financial condition and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“Tax Act”), enacted in December 2017, resulted in fundamental changes to the Internal Revenue Code of 1986, as amended (the “Code”) including, among many other things, a reduction to the federal corporate income tax rate, a partial limitation on the deductibility of business interest expense, a limitation on the deductibility of certain director and officer compensation expense, limitations on net operating loss carrybacks and carryovers and changes relating to the scope and timing of U.S. taxation on earnings from international business operations. Subsequent legislation, the Coronavirus Aid, Relief, and Economic Security Act (the “CARES Act”) enacted on March 27, 2020, relaxed certain of the limitations imposed by the Tax Act for certain taxable years, including the limitation on the use and carryback of net operating losses and the limitation on the deductibility of business interest expense. The exact impact of the Tax Act and the CARES Act for future years is difficult to quantify, but these changes could materially affect our investors, the companies in which our clients invest, or us. Legislative proposals in the U.S., if adopted, would increase the corporate income tax rate and capital gains tax rate. In addition, other changes could be enacted in the future to limit further the deductibility of interest, subject carried interests to more onerous taxation or effect other changes that could have a material adverse effect on our business, results of operations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or may become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 passive foreign investment company, or “PFIC,” which could result in adverse U.S. federal income tax consequences to U.S. investors.</w:t>
      </w:r>
    </w:p>
    <w:p>
      <w:pPr>
        <w:spacing w:after="0" w:line="13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ProKidney believes that it is likely classified as a PFIC for U.S. federal income tax purposes. If we are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IRS may require, including a PFIC Annual Information Statement, upon request, in order to enable a U.S. Holder to make and maintain a “qualified electing fund” election. There can be no assurance, however, that ProKidney will timely provide such information. We urge U.S. investors to consult their own tax advisors regarding the possible application of the PFIC rules.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3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will be subject, directly or indirectly, to income taxes in various jurisdictions, and our tax liabilities will be subject to the allocation of expenses in differing jurisdictions. Our future effective tax rates could be subject to volatility or adversely affected by a number of factors, including:</w:t>
      </w:r>
    </w:p>
    <w:p>
      <w:pPr>
        <w:spacing w:after="0" w:line="175" w:lineRule="exact"/>
        <w:rPr>
          <w:sz w:val="20"/>
          <w:szCs w:val="20"/>
          <w:color w:val="auto"/>
        </w:rPr>
      </w:pPr>
    </w:p>
    <w:p>
      <w:pPr>
        <w:ind w:left="1320" w:hanging="472"/>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share-based compensation;</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0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03"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lower-than-anticipated future earnings in jurisdictions where we have lower statutory tax rates and higher-than-anticipated future earnings in jurisdictions where we have higher statutory tax rates.</w:t>
      </w:r>
    </w:p>
    <w:p>
      <w:pPr>
        <w:spacing w:after="0" w:line="1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94" w:name="page95"/>
    <w:bookmarkEnd w:id="94"/>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have significant influence over us, including over decisions that require the approval of shareholders, and their interests may conflict with the interests of holders of ProKidney Corp. Class A ordinary shares.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Deed of Undertaking, dated February 14, 2022, made by Control Empresarial de Capitales, S.A. de C.V. (“CEC”) (the “Voting Agreement”) provides, with respect to the election, appointment or removal of any director of the Company, that, until the third anniversary of the Closing, CEC will vote all of its voting shares in the capital of the Company in a manner proportionate to the manner in which all other ProKidney Class B ordinary shares not held by CEC are voted. As a result, Tolerantia LLC (“Tolerantia”) effectively controls a majority of the voting power of ProKidney Corp. with respect to the election, appointment or removal of any director. Additionally, Pablo Legorreta, as Chairperson of the Board, is affiliated with and majority owns and controls Tolerantia. As a result, Tolerantia and its affiliates have significant influence over the management and affairs of the Company, and, acting together, effectively control the election, appointment or removal of any director and have indirect control over the approval of significant corporate transactions, including any merger, consolidation or sale of all or substantially all of our assets and the issuance or redemption of equity interests in certain circumstances, to the extent such matters require approval of the Board.</w:t>
      </w:r>
    </w:p>
    <w:p>
      <w:pPr>
        <w:spacing w:after="0" w:line="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interests of Tolerantia and CEC may not always coincide with, and in some cases may conflict with, our interests and the interests of our other shareholders, including the holders of ProKidney Class A ordinary shares. This concentration of ownership may also affect the prevailing market price of our ProKidney Class A ordinary shares due to investors’ perceptions that conflicts of interest may exist or arise. As a result, this concentration of ownership may not be in your best interests.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because these shareholders hold their economic interest in our business through PKLP, rather than through ProKidney Corp., their interests may further conflict with the interests of holders of ProKidney Class A ordinary shares. These holders’ significant ownership in ProKidney Corp. and resulting ability, acting together, to effectively control us may discourage someone from making a significant equity investment in ProKidney Corp., or could discourage transactions involving a change in control, including transactions in which a holder of ProKidney Class A ordinary shares might otherwise receive a premium for their shares over the then-current market price.</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“controlled company” within the meaning of the Nasdaq rules, our shareholders may not have certain corporate governance protections that are available to shareholders of companies that are not controlled companies.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directors is held by an individual, a group or another company, we will qualify as a “controlled company” within the meaning of the Nasdaq corporate governance standards. Pursuant to the terms of the Voting Agreement, Tolerantia effectively controls a majority of the voting power of all of our outstanding ordinary shares with respect to the election, appointment or removal of any director. As a result, we are a “controlled company” within the meaning of the Nasdaq corporate governance standards and are not subject to the requirements that would otherwise require us to have: (i) a majority of our board of directors consist of independent directors, (ii) subject to the exception pursuant to Nasdaq Listing Rule 5605(b)(2), our board of directors have a compensation committee that is composed of at least two members, each of whom is an independent director,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Pursuant to the requirements under the Business Combination Agreement, a majority of the directors of the Board are “independent” directors for the purposes of the Nasdaq Listing Rules, but for at least some period following the Business Combination, we may utilize the other exemptions described above.</w:t>
      </w:r>
    </w:p>
    <w:p>
      <w:pPr>
        <w:spacing w:after="0" w:line="8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Tolerantia may have its interest in the Company diluted due to future equity issuances or its own actions in selling shares of the Company, in each case, which could result in a loss of the “controlled company” exemption under the Nasdaq listing rules. We would then be required to comply with those provisions of the Nasdaq listing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as well as provisions of Cayman Islands law, could impair a takeover attempt.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shareholders may consider to be in their best interests. These provisions may make more difficult the removal of management and may discourage transactions that otherwise could involve payment of a premium over prevailing market prices for our securities. These provisions will include, among other things:</w:t>
      </w:r>
    </w:p>
    <w:p>
      <w:pPr>
        <w:spacing w:after="0" w:line="189" w:lineRule="exact"/>
        <w:rPr>
          <w:sz w:val="20"/>
          <w:szCs w:val="20"/>
          <w:color w:val="auto"/>
        </w:rPr>
      </w:pPr>
    </w:p>
    <w:p>
      <w:pPr>
        <w:jc w:val="center"/>
        <w:ind w:left="5540" w:right="600" w:hanging="4692"/>
        <w:spacing w:after="0" w:line="376" w:lineRule="auto"/>
        <w:tabs>
          <w:tab w:leader="none" w:pos="13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shareholders to elect director candidates;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5" w:name="page96"/>
    <w:bookmarkEnd w:id="95"/>
    <w:p>
      <w:pPr>
        <w:ind w:left="1320" w:right="60" w:hanging="472"/>
        <w:spacing w:after="0" w:line="282" w:lineRule="auto"/>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shareholders to change the membership of a majority of the Board;</w:t>
      </w:r>
    </w:p>
    <w:p>
      <w:pPr>
        <w:spacing w:after="0" w:line="40"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by special resolution;</w:t>
      </w:r>
    </w:p>
    <w:p>
      <w:pPr>
        <w:spacing w:after="0" w:line="103"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of the Board created by the expansion of the Board or the resignation, death, or removal of a director in certain circumstances, which prevents shareholders from being able to fill vacancies on the Board;</w:t>
      </w:r>
    </w:p>
    <w:p>
      <w:pPr>
        <w:spacing w:after="0" w:line="40" w:lineRule="exact"/>
        <w:rPr>
          <w:rFonts w:ascii="Times New Roman" w:cs="Times New Roman" w:eastAsia="Times New Roman" w:hAnsi="Times New Roman"/>
          <w:sz w:val="18"/>
          <w:szCs w:val="18"/>
          <w:color w:val="auto"/>
        </w:rPr>
      </w:pPr>
    </w:p>
    <w:p>
      <w:pPr>
        <w:jc w:val="both"/>
        <w:ind w:left="1320" w:right="80" w:hanging="472"/>
        <w:spacing w:after="0" w:line="266" w:lineRule="auto"/>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shareholders calling an extraordinary general meeting and the requirement that a meeting of shareholders may only be called by members of the Board, which may delay the ability of our shareholders to force consideration of a proposal or to take action, including the removal of directors; and</w:t>
      </w:r>
    </w:p>
    <w:p>
      <w:pPr>
        <w:spacing w:after="0" w:line="54"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issue and set the voting and other rights of preference shares, which could adversely affect the voting power and other rights of the holders of ordinary shares.</w:t>
      </w:r>
    </w:p>
    <w:p>
      <w:pPr>
        <w:spacing w:after="0" w:line="200" w:lineRule="exact"/>
        <w:rPr>
          <w:sz w:val="20"/>
          <w:szCs w:val="20"/>
          <w:color w:val="auto"/>
        </w:rPr>
      </w:pPr>
    </w:p>
    <w:p>
      <w:pPr>
        <w:spacing w:after="0" w:line="29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shareholders may not have access to certain information they deem important. We will remain an emerging growth company until the earliest of (i) the last day of the fiscal year: (a) following July 2, 2026, the fifth (5th) anniversary of our initial public offering (consummated as Social Capital Suvretta Holdings Corp. III); (b) in which we have total annual gross revenue of at least $1.235 billion; or (c) in which we are deemed to be a large accelerated filer, which means the market value of our Class A ordinary shares that is held by non-affiliates equals or exceeds $700 million as of the last business day of our prior second fiscal quarter, and (ii) the date on which we have issued more than $1.0 billion in non-convertible debt during the prior three-year period.</w:t>
      </w:r>
    </w:p>
    <w:p>
      <w:pPr>
        <w:spacing w:after="0" w:line="84"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that is held by non-affiliates exceeds $250 million as of the last business day of the prior fiscal quarter, or (ii) our annual revenues equaled or exceeded $100 million during such completed fiscal year, and the market value of our ordinary shares that is held by non-affiliates equals or exceeds $700 million as of the last business day of the prior second fiscal quarter.</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ordinary shares less attractive because we rely on these exemptions. If some investors find our Class A ordinary shares less attractive as a result, there may be a less active trading market for our Class A ordinary shares, and our share price may be more volatile.</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of 2022, as amended, which require management to certify financial and other information in our quarterly and annual reports and provide an annual management report on the effectiveness of internal control over financial reporting. To comply with the requirements of being a public company, we may need to undertake various actions, such as implementing additional internal controls and procedures and hiring additional accounting or internal audit staff. As an emerging growth company, our independent</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96" w:name="page97"/>
    <w:bookmarkEnd w:id="96"/>
    <w:p>
      <w:pPr>
        <w:ind w:right="280"/>
        <w:spacing w:after="0" w:line="266" w:lineRule="auto"/>
        <w:rPr>
          <w:sz w:val="20"/>
          <w:szCs w:val="20"/>
          <w:color w:val="auto"/>
        </w:rPr>
      </w:pPr>
      <w:r>
        <w:rPr>
          <w:rFonts w:ascii="Times New Roman" w:cs="Times New Roman" w:eastAsia="Times New Roman" w:hAnsi="Times New Roman"/>
          <w:sz w:val="18"/>
          <w:szCs w:val="18"/>
          <w:color w:val="auto"/>
        </w:rPr>
        <w:t>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ordinary shares could be negatively affected, and we could become subject to investigations by the SEC or other regulatory authorities, which could require additional financial and management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prices and inflation could negatively impact our margin performance and our financial results.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Increased inflation, including rising prices for raw materials, parts and components, freight, packaging, labor and energy increases, the costs to manufacture and distribute our products, and we may be unable to pass these costs on to our customers. Additionally, we are exposed to fluctuations in other costs such as packaging, freight, labor and energy prices.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could result in increased market volatility and uncertainty, which could negatively impact our business, financial condition, and results of operations.</w:t>
      </w:r>
    </w:p>
    <w:p>
      <w:pPr>
        <w:spacing w:after="0" w:line="51"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The uncertain nature, scope, magnitude, and duration of hostilities stemming from geopolitical conflicts, including the potential effects of such hostilities as well as sanctions, embargoes, asset freezes, cyberattacks and other actions taken in response to such hostilities on the world economy and markets, have disrupted global markets and contributed to increased market volatility and uncertainty, which could have an adverse impact on macroeconomic and other factors that affect our business and supply chain. Any disruption in our supply chain could reduce our revenue and adversely impact our financial results. Such a disruption could occur as a result of any number of events, including, but not limited to, military conflicts, geopolitical developments, war or terrorism, including the ongoing conflicts in Ukraine and Israel and disruptions in utility and other services. Any inability to obtain adequate deliveries or any other circumstance that would require us to seek alternative sources of supply or to manufacture, assemble, and test such components internally could significantly delay our ability to ship our products, which could damage relationships with current and prospective customers and could harm our reputation and brand and could adversely affect our business, financial condition, and results of operations.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and cannot know if the ongoing conflicts and the economic sanctions imposed as a result of the conflicts, could escalate and result in broader economic and security concerns which could adversely affect our supply chain, suppliers, customers, and potential customers. It is not possible to predict the broader consequences of these conflicts, which could include further sanctions, embargoes, regional instability, geopolitical shifts and adverse effects on macroeconomic conditions, the availability and cost of materials, supplies, labor, currency exchange rates and financial markets, all of which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limited partner of PKLP but may, in certain circumstances, lose the benefit of limited liability.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limited partner of PKLP, a limited partnership registered under the laws of Ireland.</w:t>
      </w:r>
    </w:p>
    <w:p>
      <w:pPr>
        <w:spacing w:after="0" w:line="117"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Under the Irish LP Act, limited partners of Irish limited partnerships will not be liable for the debts or obligations of the partnership beyond the amount of capital they have contributed. However, the Irish LP Act also provides that such limited liability may be lost if (i) a limited partner (such as ProKidney Corp.) takes part in the management of the business of PKLP, (ii) there is a failure to register PKLP as a limited partnership or any change to the registration details of PKLP, including changes to the name of PKLP, the general nature of the business of PKLP, the principal place of business of PKLP, the partners or the name of any partner of PKLP, the term of character of PKLP, the sum contributed by any limited partner or the liability of any partner by reason of his becoming a limited partner instead of a general partner or a general instead of a limited partner; and (iii) a limited partner withdraws some or a part of his, her or its capital, in which circumstance he, she or it will be liable for the debts and obligations of the firm up to the amount so withdrawn.</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97" w:name="page98"/>
    <w:bookmarkEnd w:id="97"/>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PKLP, and we are accordingly dependent upon distributions made by our subsidiaries to pay taxes, make payments under the Tax Receivable Agreement and pay dividends.</w:t>
      </w:r>
    </w:p>
    <w:p>
      <w:pPr>
        <w:spacing w:after="0" w:line="5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our ownership interest in PKLP. As a result, we have no independent means of generating revenue or cash flow. Our ability to pay taxes, make payments under the Tax Receivable Agreement, dated as of July 11, 2022, by and among Social Capital Suvretta Holdings Corp. III, the TRA party representative (as defined in the Tax Receivable Agreement) and the holders of PKLP prior to the closing of the Business Combination (the “Tax Receivable Agreement”) and pay dividends, if any, will depend on the financial results and cash flows of PKLP and its subsidiaries and the distributions we receive from PKLP. Deterioration in the financial condition, earnings or cash flow of PKLP and its subsidiaries, for any reason, could limit or impair our ability to pay such distributions. Additionally, to the extent that we need funds and PKLP and/or any of its subsidiaries are restricted from making such distributions under applicable law or regulation or under the terms of any financing arrangements, or PKLP is otherwise unable to provide such funds, it could materially adversely affect our liquidity and financial condition.</w:t>
      </w:r>
    </w:p>
    <w:p>
      <w:pPr>
        <w:spacing w:after="0" w:line="64"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PKLP will continue to be treated as a partnership for U.S. federal income tax purposes and, as such, generally will not be subject to any entity-level U.S. federal income tax. Instead, the taxable income of PKLP will be allocated to holders of common units of PKLP (the “ProKidney Common Units”), including ProKidney Corp. Accordingly, we may be required to pay income taxes on our allocable share of any net taxable income of PKLP (e.g., U.S. federal income and branch profits tax to the extent such net taxable income is effectively connected to the conduct of a trade or business in the United States). Under the terms of the second amended and restated limited partnership agreement of PKLP, as amended (the “Second Amended and Restated ProKidney Limited Partnership Agreement”), PKLP is obligated to make tax distributions to holders of ProKidney Common Units (including ProKidney Corp.) calculated at certain assumed tax rates. In addition to tax expenses, we will also incur expenses related to our operations, including payment obligations under the Tax Receivable Agreement (and the cost of administering such payment obligations), which could be significant and some of which may be reimbursed by PKLP (excluding payment obligations under the Tax Receivable Agreement). We intend to cause PKLP to make distributions to holders of ProKidney Common Units pro rata, in amounts sufficient to cover all applicable income taxes (calculated at assumed tax rates), relevant operating expenses, payments required to be made by us under the Tax Receivable Agreement and dividends, if any, declared by us. However, as discussed below, PKLP’s ability to make such distributions may be subject to various limitations and restrictions including, but not limited to, restrictions on distributions that would either violate any contract or agreement to which PKLP is then a party, including debt agreements, or any applicable law, or that would have the effect of rendering PKLP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29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Additionally, although PKLP generally will not be subject to any entity-level U.S. federal income tax, it may be liable under federal tax legislation for adjustments to its tax return, absent an election to the contrary. In the event PKLP’s calculations of taxable income are incorrect, its members, including ProKidney Corp., in later years may be subject to material liabilities pursuant to this federal legislation and its related guidance.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the distributions we will receive from PKLP may, in certain periods, exceed our actual tax liabilities and obligations to make payments under the Tax Receivable Agreement. The Board, in its sole discretion, may make any determination from time to time with respect to the use of any such excess cash so accumulated, which may include, among other uses, to pay dividends on ProKidney Class A ordinary shares. We will have no obligation to distribute such cash (or other available cash other than any declared dividend) to our shareholders.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Dividends on ProKidney Class A ordinary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shareholders. Under the Irish LP Act, a limited partner of PKLP may lose its limited liability where such limited partner withdraws some or a part of his, her or its contribution to PKLP, in which circumstance he, she or it will be liable for debts and obligations of ProKidney up to the amount so withdrawn.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ProKidney’s subsidiaries are generally subject to similar legal limitations on their ability to make distributions to ProKidney. If ProKidney does not have sufficient funds to make distributions, our ability to declare and pay cash dividends may also be restricted or impaired.</w:t>
      </w:r>
    </w:p>
    <w:p>
      <w:pPr>
        <w:jc w:val="center"/>
        <w:ind w:right="-2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98" w:name="page99"/>
    <w:bookmarkEnd w:id="98"/>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PKLP will be required to make distributions to us and the other holders of ProKidney Common Units, and the distributions that PKLP will be required to make may be substantial.</w:t>
      </w:r>
    </w:p>
    <w:p>
      <w:pPr>
        <w:spacing w:after="0" w:line="3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PKLP will generally be required from time to time to make pro rata distributions in cash to us and the other holders of ProKidney Common Units at certain assumed tax rates in amounts that are intended to be sufficient to cover the taxes on our and the other holders of ProKidney Common Units respective allocable shares of the taxable income of PKLP. As a result of (i) potential differences in the amount of net taxable income allocable to us and the other holders of ProKidney Common Units, (ii) the lower tax rate applicable to corporations than individuals, (iii) our status as a non-U.S. person and (iv) the use of an assumed tax rate (the highest effective marginal combined U.S. federal, state and local income tax rate prescribed for an individual or corporate resident of New York, New York) in calculating PKLP’s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ProKidney Class A ordinary shares. No adjustments to the redemption or exchange ratio of ProKidney Common Units for ProKidney Class A ordinary shares will be made as a result of either (i) any cash dividend by us or (ii) any cash that we retain and do not distribute to our shareholders. To the extent that we do not distribute such excess cash as dividends on ProKidney Class A ordinary shares and instead, for example, holds such cash balances or lends them to PKLP, holders of ProKidney Common Units would benefit from any value attributable to such cash balances as a result of their ownership of ProKidney Class A ordinary shares following a redemption or exchange of their ProKidney Common Units.</w:t>
      </w:r>
    </w:p>
    <w:p>
      <w:pPr>
        <w:spacing w:after="0" w:line="30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51"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As a company with an international structure, we are subject to U.S. and foreign tax and transfer pricing laws, including those relating to the flow of funds and allocation of profit between subsidiaries. If tax authorities challenge our intercompany transfer pricing, our operations may be negatively impacted and our effective tax rate may increase. Tax rates vary from country to country and if regulators determine that our profits in one jurisdiction should be increased, we might not be able to fully offset any associated increase in tax expense in the other jurisdiction, which would increase our effective tax rate. Additionally, within the Organization for Economic Cooperation and Development (“OECD”)/G20 Inclusive Framework on BEPS (“base erosion and profit shifting”) over 140 jurisdictions have agreed to implement minimum taxation. Our effective tax rate may change as a result of the implementation of minimum taxation, depending on our structure and the footprint of our global operations in the future.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200" w:lineRule="exact"/>
        <w:rPr>
          <w:sz w:val="20"/>
          <w:szCs w:val="20"/>
          <w:color w:val="auto"/>
        </w:rPr>
      </w:pP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Tax Receivable Agreement, we are required to pay 85% of certain tax savings recognized by ProKidney Corp. as a result of the increases in tax basis of ProKidney assets attributable to the exchanges of ProKidney Common Units for ProKidney Class A ordinary shares and certain other tax benefits, and those payments may be substantial.</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Holders of PKLP prior to the Closing (“Closing ProKidney Unitholders”) have exchanged and may in the future exchange additional ProKidney Common Units for ProKidney Class A ordinary shares or, subject to certain restrictions, cash, pursuant to the Exchange Agreement, dated as of July 11, 2022, by and among us, PKLP and the Closing ProKidney Unitholders (the “Exchange Agreement”), subject to certain conditions and transfer restrictions as set forth therein and in the Second Amended and Restated ProKidney Limited Partnership Agreement. The exchanges that have occurred to date have not resulted in an increase in our allocable share of the tax basis of the tangible and intangible assets of PKLP since ProKidney Corp is domiciled in a non-taxable jurisdiction. However, future exchanges may result in increases in our allocable share of the tax basis of the tangible and intangible assets of PKLP under certain circumstances. These increases in tax basis may increase (for tax purposes) depreciation and amortization deductions and therefore reduce the amount of income or franchise tax that we would otherwise be required to pay in the future had such exchanges never occurred.</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Tax Receivable Agreement, which generally provides for the payment by it of 85% of certain tax savings, if any, that we recognize as a result of these increases in tax basis and certain other tax attributes of PKLP and tax benefits related to entering into the Tax Receivable Agreement. These payments are the obligation of ProKidney Corp. and not of PKLP. The actual increase in our allocable share of ProKidney’s tax basis in its assets, as well as the amount and timing of any payments under the Tax Receivable Agreement, will vary depending upon a number of factors, including the timing of exchanges, the market price of the Class A ordinary share at the time of the exchange, the extent to which such exchanges are taxable and the amount and timing of the recognition of our income. Many of the factors that will determine the amount of payments that we will make under the Tax Receivable Agreement are outside of our control and such payments, if any, could be substantial and could have a material adverse effect on our financial condition. Even assuming, among other things, that</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99" w:name="page100"/>
    <w:bookmarkEnd w:id="99"/>
    <w:p>
      <w:pPr>
        <w:ind w:right="60"/>
        <w:spacing w:after="0" w:line="252" w:lineRule="auto"/>
        <w:rPr>
          <w:sz w:val="20"/>
          <w:szCs w:val="20"/>
          <w:color w:val="auto"/>
        </w:rPr>
      </w:pPr>
      <w:r>
        <w:rPr>
          <w:rFonts w:ascii="Times New Roman" w:cs="Times New Roman" w:eastAsia="Times New Roman" w:hAnsi="Times New Roman"/>
          <w:sz w:val="18"/>
          <w:szCs w:val="18"/>
          <w:color w:val="auto"/>
        </w:rPr>
        <w:t>there are no material changes in relevant tax law, that PKLP’s enterprise value is equal to the enterprise value that was agreed to in the Business Combination at the time all ProKidney Common Units are exchanged, and that there are significant future redemptions or exchanges of ProKidney Common Units, payments under the Tax Receivable Agreement are not expected to be material because PKLP does not currently (i) plan to migrate business operations to the United States, or (ii) otherwise anticipate tax benefits outside of the United States from redemptions or exchanges of ProKidney Common Units that would trigger obligations under the Tax Receivable Agreement based upon the intended operations of PKLP outside the United States. In addition, because PKLP does not currently have business operations in the United States and does not expect to generate significant operating revenues in the near future, if at all, payments under the Tax Receivable Agreement in the near future, if any, are not expected to be material. If, contrary to current intended business operations and strategy, the business operations are migrated to the United States, the business operations outside of the United States change, or there are material changes in relevant tax law, then payments under the Tax Receivable Agreement could be material.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 or may be accelerated.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any other taxing authorities may challenge all or any part of the tax basis increases, as well as other tax positions that we take, and a court may sustain such a challenge. In the event any tax benefits initially claimed by us are disallowed, the Closing ProKidney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 Tax Receivable Agreement provides that, in the event that (i) we exercise our early termination rights under the Tax Receivable Agreement, (ii) the Tax Receivable Agreement is rejected by operation of law in a bankruptcy case, (iii) certain changes of control of ProKidney Corp. occur (as described in the Tax Receivable Agreement) or (iv) we are more than three months late in making a payment due under the Tax Receivable Agreement (unless we in good faith determine that we have insufficient funds to make such payment) or otherwise materially breach any of our material obligations under the Tax Receivable Agreement, our obligations under the Tax Receivable Agreement will accelerate, and we will be required to make an immediate lump-sum cash payment to the Closing ProKidney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Closing ProKidney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PKLP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00" w:name="page101"/>
    <w:bookmarkEnd w:id="100"/>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The rights of our shareholders may be different from the rights of shareholders governed by the laws of U.S. jurisdictions.</w:t>
      </w:r>
    </w:p>
    <w:p>
      <w:pPr>
        <w:spacing w:after="0" w:line="5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Our corporate affairs will continue to be governed by our Charter and by the laws of the Cayman Islands. The rights of shareholders and the responsibilities of members of the Board may be different from the rights of shareholders and responsibilities of directors in companies governed by the laws of U.S. jurisdictions. In the performance of its duties, the board of directors of a solvent Cayman Islands exempted company is required to consider that company’s best interests, which may differ from the interests of one or more of its individual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Cybersecurity risks related to our business, manufacturing operations, clinical trials, privacy and compliance issues are identified and addressed through third party assessments, internal IT audits, IT security, risk and compliance reviews. To defend, detect and respond to cybersecurity incidents we conduct proactive cybersecurity reviews of systems and applications,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incident response and breach management processes which are based on the National Institute of Standards and Technology (NIST) framework for incident response. This includes 1) defined roles and incident response initiation processes, 2) incident detection and analysis, 3) containment, eradication and recovery, and 4) post-incident analysis. Such incident responses and related matters of cybersecurity are overseen by leaders from our Information Technology, Manufacturing, Clinical Operations, Regulatory and Legal teams.</w:t>
      </w:r>
    </w:p>
    <w:p>
      <w:pPr>
        <w:spacing w:after="0" w:line="7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employ a range of tools and services, including regular network and endpoint monitoring, audits, vulnerability assessments and penetration testing to inform our risk identification and assessment. Additionally, we engage external auditors and consultants to assess our internal cybersecurity program and our compliance with applicable practices and standards.</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engage external auditors and consultants to assess our internal cybersecurity programs and compliance with applicable practices and standards.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internal computer systems, or those of our collaborators or other contractors or consultants, may fail or suffer security breaches, which could result in a material disruption of our product development programs,” which disclosures are incorporated by reference herein.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experienced any material cybersecurity incidents and the expenses we have incurred from cybersecurity incidents were immaterial.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Cybersecurity is an important part of our overall risk management processes and an area of focus for our Board and management. Our Audit Committee of the Board oversees our cybersecurity risk and receives reports from our SVP, Information Technology on a quarterly basis. This includes existing and new cybersecurity risks, status on how management is addressing and/or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1" w:name="page102"/>
    <w:bookmarkEnd w:id="101"/>
    <w:p>
      <w:pPr>
        <w:ind w:right="220"/>
        <w:spacing w:after="0" w:line="282" w:lineRule="auto"/>
        <w:rPr>
          <w:sz w:val="20"/>
          <w:szCs w:val="20"/>
          <w:color w:val="auto"/>
        </w:rPr>
      </w:pPr>
      <w:r>
        <w:rPr>
          <w:rFonts w:ascii="Times New Roman" w:cs="Times New Roman" w:eastAsia="Times New Roman" w:hAnsi="Times New Roman"/>
          <w:sz w:val="18"/>
          <w:szCs w:val="18"/>
          <w:color w:val="auto"/>
        </w:rPr>
        <w:t>mitigating those risks, cybersecurity and data privacy incidents (if any), status on key information security initiatives, industry trends, and other areas of importance.</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also established an information technology management committee which is led by our SVP, Information Technology, Chief Financial Officer, and Chief Legal Officer. The members of this committee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leased a total of approximately 110,700 square feet of office, manufacturing and research space in Winston-Salem, North Carolina, under leases that expire between September 2026 and August 2029. This includes office space in Winston-Salem, which serves as our principal executive offices. Additionally, we have leased a total of approximately 12,400 square feet of office and laboratory space in the Research Triangle Park area of North Carolina under leases expiring in July 2027 and March 2028, respectively. Finally, we have leased approximately 7,400 square feet of office space in Boston, Massachusetts under a lease that expires in January 2029.</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2023, we also purchased a 210,000 square foot facility and approximately 22 acres of land in Greensboro, North Carolina, in preparation for our commercial manufacturing needs in the event that REACT receives regulatory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40"/>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“PROK”.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cash dividends have ever been declared or paid on the common equity to date by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March 21, 2024, we had approximately 61,621,330 Class A ordinary shares issued and outstanding held by 39 holders of record and approximately 167,722,201 Class B ordinary shares issued and outstanding held by three holders of record. Because a large portion of our Class A ordinary shares are held by brokers, nominees and other institutions on behalf of shareholders, we are unable to estimate the total number of shareholders represented by these record holders. There is no public market for our Class B ordinary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reports information regarding repurchases of the Company’s Class A ordinary shares during the quarter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02" w:name="page103"/>
    <w:bookmarkEnd w:id="102"/>
    <w:tbl>
      <w:tblPr>
        <w:tblLayout w:type="fixed"/>
        <w:tblInd w:w="24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00" w:type="dxa"/>
            <w:vAlign w:val="bottom"/>
          </w:tcPr>
          <w:p>
            <w:pPr>
              <w:spacing w:after="0"/>
              <w:rPr>
                <w:sz w:val="18"/>
                <w:szCs w:val="18"/>
                <w:color w:val="auto"/>
              </w:rPr>
            </w:pP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2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0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r>
      <w:tr>
        <w:trPr>
          <w:trHeight w:val="196"/>
        </w:trPr>
        <w:tc>
          <w:tcPr>
            <w:tcW w:w="2340" w:type="dxa"/>
            <w:vAlign w:val="bottom"/>
          </w:tcPr>
          <w:p>
            <w:pPr>
              <w:spacing w:after="0"/>
              <w:rPr>
                <w:sz w:val="17"/>
                <w:szCs w:val="17"/>
                <w:color w:val="auto"/>
              </w:rPr>
            </w:pPr>
          </w:p>
        </w:tc>
        <w:tc>
          <w:tcPr>
            <w:tcW w:w="19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 w:type="dxa"/>
            <w:vAlign w:val="bottom"/>
          </w:tcPr>
          <w:p>
            <w:pPr>
              <w:spacing w:after="0"/>
              <w:rPr>
                <w:sz w:val="17"/>
                <w:szCs w:val="17"/>
                <w:color w:val="auto"/>
              </w:rPr>
            </w:pPr>
          </w:p>
        </w:tc>
        <w:tc>
          <w:tcPr>
            <w:tcW w:w="188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200" w:type="dxa"/>
            <w:vAlign w:val="bottom"/>
          </w:tcPr>
          <w:p>
            <w:pPr>
              <w:spacing w:after="0"/>
              <w:rPr>
                <w:sz w:val="17"/>
                <w:szCs w:val="17"/>
                <w:color w:val="auto"/>
              </w:rPr>
            </w:pPr>
          </w:p>
        </w:tc>
        <w:tc>
          <w:tcPr>
            <w:tcW w:w="2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72"/>
        </w:trPr>
        <w:tc>
          <w:tcPr>
            <w:tcW w:w="2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tcBorders>
              <w:bottom w:val="single" w:sz="8" w:color="auto"/>
            </w:tcBorders>
          </w:tcPr>
          <w:p>
            <w:pPr>
              <w:jc w:val="right"/>
              <w:ind w:right="41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200" w:type="dxa"/>
            <w:vAlign w:val="bottom"/>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100" w:type="dxa"/>
            <w:vAlign w:val="bottom"/>
          </w:tcPr>
          <w:p>
            <w:pPr>
              <w:spacing w:after="0"/>
              <w:rPr>
                <w:sz w:val="23"/>
                <w:szCs w:val="23"/>
                <w:color w:val="auto"/>
              </w:rPr>
            </w:pPr>
          </w:p>
        </w:tc>
      </w:tr>
      <w:tr>
        <w:trPr>
          <w:trHeight w:val="237"/>
        </w:trPr>
        <w:tc>
          <w:tcPr>
            <w:tcW w:w="2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October 1 - 31, 2023</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94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1 - 30,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7,256,367</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20"/>
                <w:szCs w:val="20"/>
                <w:color w:val="auto"/>
              </w:rPr>
            </w:pPr>
          </w:p>
        </w:tc>
        <w:tc>
          <w:tcPr>
            <w:tcW w:w="194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2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December 1 - 31, 2023</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7,256,367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2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-187960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40" w:hanging="532"/>
        <w:spacing w:after="0" w:line="256" w:lineRule="auto"/>
        <w:tabs>
          <w:tab w:leader="none" w:pos="3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2023, ProKidney Corp. (the “Company”) entered into a Share Repurchase Agreement (the “Share Repurchase Agreement”) with SC PIPE Holdings LLC and SC Master Holdings, LLC (the “Selling Shareholders”), pursuant to which the Company agreed to repurchase an aggregate of its 7,256,367 Class A ordinary shares, par value $0.0001 per share from the Selling Shareholders for a purchase price per share of $1.309 (the “Share Repurchase”). The aggregate price paid by the Company in the Share Repurchase is approximately $9.5 million. The Share Repurchase closed on November 21, 2023. The Share Repurchase was unanimously approved by ProKidney’s Board of Directors and was not made as part of any existing share repurchase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the “Company”, the “Registrant”, “we” or “us” refer to ProKidney Corp. and its subsidiaries.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preservation or improvement of kidney function to stop or delay progression of CKD. Our lead product candidate, which we refer to as REACT (rilparencel), is designed to preserve kidney function in a CKD patient’s diseased kidneys. REACT is a product that includes Selected Renal Cells (“SRC”) prepared from a patient’s own, autologous, renal cells. SRC are formulated into a product for reinjection into the patient’s kidneys using a minimally invasive outpatient procedure that can be repeated if necessary. Because REACT is a personalized treatment composed of cells prepared from a patient’s own kidney, there is no need for treatment with immunosuppressive therapies, which are required during a patient’s lifetime when a patient receives a kidney transplant from another, allogeneic donor.</w:t>
      </w:r>
    </w:p>
    <w:p>
      <w:pPr>
        <w:spacing w:after="0" w:line="84"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We are currently conducting a Phase 3 development program and multiple Phase 2 clinical trials for REACT in subjects with moderate to severe diabetic kidney disease (“DKD”). REACT has received regenerative medicine advanced therapy (“RMAT”) designation from the United States Food and Drug Administration (the “FDA”). REACT has been generally well tolerated by subjects with moderate to severe DKD in Phase 1 and 2 clinical testing to date. We also recently completed a Phase 1 clinical trial for REACT in subjects with congenital anomalies of the kidney and urinary tract (“CAKUT”).</w:t>
      </w:r>
    </w:p>
    <w:p>
      <w:pPr>
        <w:spacing w:after="0" w:line="72" w:lineRule="exact"/>
        <w:rPr>
          <w:sz w:val="20"/>
          <w:szCs w:val="20"/>
          <w:color w:val="auto"/>
        </w:rPr>
      </w:pPr>
    </w:p>
    <w:p>
      <w:pPr>
        <w:ind w:right="560" w:firstLine="524"/>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raising capital, organizing and staffing our Company, business and scientific planning, conducting discovery and research activities, acquiring or discovering product candidates,</w:t>
      </w: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103" w:name="page104"/>
    <w:bookmarkEnd w:id="103"/>
    <w:p>
      <w:pPr>
        <w:ind w:right="140"/>
        <w:spacing w:after="0" w:line="266" w:lineRule="auto"/>
        <w:rPr>
          <w:sz w:val="20"/>
          <w:szCs w:val="20"/>
          <w:color w:val="auto"/>
        </w:rPr>
      </w:pPr>
      <w:r>
        <w:rPr>
          <w:rFonts w:ascii="Times New Roman" w:cs="Times New Roman" w:eastAsia="Times New Roman" w:hAnsi="Times New Roman"/>
          <w:sz w:val="18"/>
          <w:szCs w:val="18"/>
          <w:color w:val="auto"/>
        </w:rPr>
        <w:t>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Trends and Uncertainties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including by making capital more difficult and costly to obtain on reasonable terms and when needed.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although we have no operations in or direct exposure to Russia, Belarus, Ukraine, Israel and Palestine, we have experienced limited constraints in availability and increasing costs required to obtain some materials and supplies due, in part, to the negative impact of the Russia-Ukraine military conflict on the global economy, which contributed to global supply chain disruptions. To date, our business has not been materially impacted by the conflict; however, as the conflict continues or worsens, it may adversely impact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REACT.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87"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REACT moves into later stages of clinical development.</w:t>
      </w: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REACT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REACT,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REACT following approval.</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2023 compared to the year ended December 31, 2022. For a discussion of the year ended December 31, 2022 compared to December 31, 2021, please refer to the “Management’s Discussion and Analysis of Financial Condition and Results of Operations” section of our Annual Report on Form 10-K filed with the U.S. Securities and Exchange Commission on March 28,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(26,122 )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(151,522 )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(153,007 )</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20"/>
                <w:szCs w:val="20"/>
                <w:color w:val="auto"/>
              </w:rPr>
            </w:pPr>
          </w:p>
        </w:tc>
      </w:tr>
      <w:tr>
        <w:trPr>
          <w:trHeight w:val="232"/>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(215 )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1"/>
                <w:szCs w:val="2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(129,451 )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(147,239 )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00" w:type="dxa"/>
            <w:vAlign w:val="bottom"/>
          </w:tcPr>
          <w:p>
            <w:pPr>
              <w:spacing w:after="0"/>
              <w:rPr>
                <w:sz w:val="20"/>
                <w:szCs w:val="20"/>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(135,447 )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(148,135 )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(99,979 )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(40,103 )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(59,876 )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(108,032 )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-1473835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-1473835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-1148080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-831215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-831215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-504825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-504825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of approximately $24.6 million for the year ended December 31, 2023 compared to the year ended December 31, 2022 was primarily driven by the following:</w:t>
      </w:r>
    </w:p>
    <w:p>
      <w:pPr>
        <w:spacing w:after="0" w:line="54" w:lineRule="exact"/>
        <w:rPr>
          <w:sz w:val="20"/>
          <w:szCs w:val="20"/>
          <w:color w:val="auto"/>
        </w:rPr>
      </w:pPr>
    </w:p>
    <w:p>
      <w:pPr>
        <w:ind w:left="1020" w:right="80" w:hanging="503"/>
        <w:spacing w:after="0" w:line="26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of clinical trials of $16.6 million related primarily to the progress of our Phase 3 program as PROACT 1 continued to enroll additional subjects and as PROACT 2 continued to incur costs related to start-up activities;</w:t>
      </w:r>
    </w:p>
    <w:p>
      <w:pPr>
        <w:ind w:left="1020" w:right="200" w:hanging="503"/>
        <w:spacing w:after="0" w:line="250"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$11.0 million related to the hiring of additional employees in 2023;</w:t>
      </w: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costs of approximately $6.2 million due to additional awards granted to employees during 2023;</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research and development costs related to professional fees of approximately $1.6 million;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facilities cost of $1.9 million driven by expansion of facilities for manufacturing and research work;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materials cost of $1.2 million driven by higher enrollment in our clinical trials; offset by:</w:t>
      </w:r>
    </w:p>
    <w:p>
      <w:pPr>
        <w:spacing w:after="0" w:line="9"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costs of $14.1 million related to equity-based payments for services rendered by a third-party in prior periods, as the cost of those payments was adjusted to the fair value of the awards issued upon their grant date in 2022.</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expenses of approximately $26.1 million for the year ended December 31, 2023 compared to the year ended December 31, 2022 was primarily driven by the following:</w:t>
      </w:r>
    </w:p>
    <w:p>
      <w:pPr>
        <w:spacing w:after="0" w:line="54"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$33.0 million related to the recognition of compensation cost in 2022 for Class B-1</w:t>
      </w:r>
    </w:p>
    <w:p>
      <w:pPr>
        <w:spacing w:after="0" w:line="27" w:lineRule="exact"/>
        <w:rPr>
          <w:sz w:val="20"/>
          <w:szCs w:val="20"/>
          <w:color w:val="auto"/>
        </w:rPr>
      </w:pPr>
    </w:p>
    <w:p>
      <w:pPr>
        <w:ind w:left="5540" w:right="2080" w:hanging="4507"/>
        <w:spacing w:after="0" w:line="260" w:lineRule="auto"/>
        <w:rPr>
          <w:sz w:val="20"/>
          <w:szCs w:val="20"/>
          <w:color w:val="auto"/>
        </w:rPr>
      </w:pPr>
      <w:r>
        <w:rPr>
          <w:rFonts w:ascii="Times New Roman" w:cs="Times New Roman" w:eastAsia="Times New Roman" w:hAnsi="Times New Roman"/>
          <w:sz w:val="18"/>
          <w:szCs w:val="18"/>
          <w:color w:val="auto"/>
        </w:rPr>
        <w:t>Units sold at less than their fair value to employees, board members and other service providers of the Company;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6" w:name="page107"/>
    <w:bookmarkEnd w:id="106"/>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costs associated with the Business Combination, including certain insurance costs of approximately $4.4 million;</w:t>
      </w:r>
    </w:p>
    <w:p>
      <w:pPr>
        <w:spacing w:after="0" w:line="27" w:lineRule="exact"/>
        <w:rPr>
          <w:rFonts w:ascii="Times New Roman" w:cs="Times New Roman" w:eastAsia="Times New Roman" w:hAnsi="Times New Roman"/>
          <w:sz w:val="18"/>
          <w:szCs w:val="18"/>
          <w:color w:val="auto"/>
        </w:rPr>
      </w:pPr>
    </w:p>
    <w:p>
      <w:pPr>
        <w:ind w:left="1020" w:right="900" w:hanging="503"/>
        <w:spacing w:after="0" w:line="250"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expense of approximately $2.7 million which was driven by the reversal of equity-based compensation expense for unvested awards granted to terminated employees; offset by:</w:t>
      </w:r>
    </w:p>
    <w:p>
      <w:pPr>
        <w:ind w:left="1020" w:right="220" w:hanging="503"/>
        <w:spacing w:after="0" w:line="250"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legal and professional fees of approximately $7.3 million attributable, in part, to operating as a public company and marketing strategy;</w:t>
      </w:r>
    </w:p>
    <w:p>
      <w:pPr>
        <w:ind w:left="1020" w:right="440" w:hanging="503"/>
        <w:spacing w:after="0" w:line="250"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$4.7 million due to the hiring of additional personnel and severance costs incurred for terminated employees; and</w:t>
      </w: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general and administrative costs to support expanded operations of approximately $2.0 million.</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of approximately $16.0 million for the year ended December 31, 2023 as compared to the year ended December 31, 2022, was driven by interest received on higher average cash and investments in marketable debt securities balances coupled with higher interest rates.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of approximately $5.1 million for the year ended December 31, 2023 as compared to the year ended December 31, 2022, was driven primarily by the increase in the valuation allowance which was impacted by the timing of deductions for qualified research and development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December 31, 2023, we funded our operations primarily through capital contributions from the holders of PKLP and the proceeds obtained through the Business Combination and related private placement financing.</w:t>
      </w:r>
    </w:p>
    <w:p>
      <w:pPr>
        <w:spacing w:after="0" w:line="79"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as the sales agent, pursuant to which the Company may offer and sell, from time to time, through Jefferies, shares of its Class A ordinary shares, par value $0.0001 per share, having an aggregate offering price of up to $100.0 million by any method deemed to be an “at the market offering” as defined in Rule 415(a)(4) under the Securities Act (the “ATM Offering”). The shares are offered and sold pursuant to the Company’s shelf registration statement on Form S-3.</w:t>
      </w:r>
    </w:p>
    <w:p>
      <w:pPr>
        <w:spacing w:after="0" w:line="93"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December 31, 2023, will enable us to fund our operating expenses and capital expenditure requirements into the fourth quarter of 2025.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REACT;</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7" w:name="page108"/>
    <w:bookmarkEnd w:id="107"/>
    <w:p>
      <w:pPr>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Years Ended December 31, 2023 and 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2023 and 2022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41"/>
        </w:trPr>
        <w:tc>
          <w:tcPr>
            <w:tcW w:w="6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(90,069 )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(77,089 )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(329,983 )</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(1,738 )</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(9,551 )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548,521</w:t>
            </w:r>
          </w:p>
        </w:tc>
        <w:tc>
          <w:tcPr>
            <w:tcW w:w="80" w:type="dxa"/>
            <w:vAlign w:val="bottom"/>
            <w:shd w:val="clear" w:color="auto" w:fill="CFF0FC"/>
          </w:tcPr>
          <w:p>
            <w:pPr>
              <w:spacing w:after="0"/>
              <w:rPr>
                <w:sz w:val="21"/>
                <w:szCs w:val="2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(429,603 )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469,694</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$90.1 million for the year ended December 31, 2023, reflecting a net loss before noncontrolling interest of approximately $135.4 million. Such uses were offset by changes in working capital of approximately $16.7 million and non-cash charges and gains on investments of $28.7 million. The non-cash charges primarily consisted of equity-based compensation expense of $30.8 million and depreciation and amortization expense of $3.9 million. The changes in working capital primarily relate to the timing of payments made to our vendors for services performed.</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$77.1 million for the year ended December 31, 2022, reflecting a net loss before noncontrolling interest of $148.1 million primarily driven by changes in working capital of approximately $6.5 million. Such uses were partially offset by non-cash charges of $77.5 million. The non-cash charges primarily consisted of equity-based compensation expense of $74.5 million and depreciation and amortization expense of $3.0 million. The changes in working capital primarily relate to the timing of payments made to our vendors for services performed.</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approximate $13.0 million increase in cash used in operating activities for the year ended December 31, 2023 compared to the year ended December 31, 2022 was primarily driven by an increase in net loss before noncontrolling interest after adjusting for the non-cash charges and gains on investments of approximately $36.1 million offset by the impact of changes in working capital driven by the timing of payments to our vendors.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were approximately $330.0 million and $1.7 million for the years ended December 31, 2023 and 2022, respectively. The cash used in investing activities during the year ended December 31, 2023 was primarily related to the investment of a portion of the proceeds raised through the Business Combination in marketable securities coupled with the purchase of land and a building in Greensboro, North Carolina for $25.5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and provided by financing activities was $(9.6 million) and $548.5 million for the years ended December 31, 2023 and 2022, respectively. The primary driver of the financing activities for the year ended December 31, 2023 was the repurchase</w:t>
      </w: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8" w:name="page109"/>
    <w:bookmarkEnd w:id="108"/>
    <w:p>
      <w:pPr>
        <w:ind w:right="920"/>
        <w:spacing w:after="0" w:line="282" w:lineRule="auto"/>
        <w:rPr>
          <w:sz w:val="20"/>
          <w:szCs w:val="20"/>
          <w:color w:val="auto"/>
        </w:rPr>
      </w:pPr>
      <w:r>
        <w:rPr>
          <w:rFonts w:ascii="Times New Roman" w:cs="Times New Roman" w:eastAsia="Times New Roman" w:hAnsi="Times New Roman"/>
          <w:sz w:val="18"/>
          <w:szCs w:val="18"/>
          <w:color w:val="auto"/>
        </w:rPr>
        <w:t>of Class A ordinary shares while the financing activities for the year ended December 31, 2022 reflect the proceeds received from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our Financial Statements and Supplementary Data listed in Item 15 of Part IV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2023. Based upon that evaluation, our Chief Executive Officer and Chief Financial Officer concluded that, as of December 31,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79" w:lineRule="exact"/>
        <w:rPr>
          <w:sz w:val="20"/>
          <w:szCs w:val="20"/>
          <w:color w:val="auto"/>
        </w:rPr>
      </w:pPr>
    </w:p>
    <w:p>
      <w:pPr>
        <w:jc w:val="both"/>
        <w:ind w:right="260" w:firstLine="50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9" w:name="page110"/>
    <w:bookmarkEnd w:id="109"/>
    <w:p>
      <w:pPr>
        <w:ind w:right="200"/>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2"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Management based this assessment on criteria described in Internal Control - Integrated Framework (2013) issued by the Committee of Sponsoring Organizations of the Treadway Commission (COSO). Based on this assessment, management determined that as of December 31, 2023, we maintained effective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website, www.prokidney.com,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“Management and Corporate Governance,” “Delinquent Section 16(a) Reports,” and “Code of Ethics and Business Conduct” in our Proxy Statement for the 2024 Annual Meeting of Shareholders to be filed with the SEC within 120 days of the fiscal year ended December 31, 2023. If the Proxy Statement is not filed within 120 days after the end of our fiscal year ended December 31, 2023,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 “Executive Officer and Director Compensation” in our Proxy Statement for the 2024 Annual Meeting of Shareholders to be filed with the SEC within 120 days of the fiscal year ended December 31, 2023. If the Proxy Statement is not filed within 120 days after the end of our fiscal year ended December 31, 2023,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“Security Ownership of Certain Beneficial Owners and Management” and “Equity Compensation Plan Information” in our Proxy Statement for the 2024 Annual Meeting of Shareholders to be filed with the SEC within 120 days of the fiscal year ended December 31, 2023. If the Proxy Statement is not filed within 120 days after the end of our fiscal year ended December 31, 2023,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“Certain Relationships and Related Party Transactions” and “Management and Corporate Governance” in our Proxy Statement for the 2024 Annual Meeting of Shareholders to be filed with the SEC within 120 days of the fiscal year ended December 31, 2023. If the Proxy Statement is not filed within 120 days after the end of our fiscal year ended December 31, 2023,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 “Ratification of Selection of Independent Registered Public Accounting Firm” in our Proxy Statement for the 2024 Annual Meeting of Shareholders to be filed with the SEC within 120 days of the fiscal year ended December 31, 2023. If the Proxy Statement is not filed within 120 days after the end of our fiscal year ended December 31, 2023, the information required by this item will be contained in the Form 10-K/A.</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11" w:name="page112"/>
    <w:bookmarkEnd w:id="1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6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w:t>
            </w:r>
          </w:p>
        </w:tc>
        <w:tc>
          <w:tcPr>
            <w:tcW w:w="5100" w:type="dxa"/>
            <w:vAlign w:val="bottom"/>
            <w:gridSpan w:val="13"/>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F-26 attached hereto and are filed as part of this Annual Report on Form 10-K:</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40" w:type="dxa"/>
            <w:vAlign w:val="bottom"/>
            <w:tcBorders>
              <w:bottom w:val="single" w:sz="8" w:color="0000FF"/>
            </w:tcBorders>
            <w:gridSpan w:val="12"/>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tcBorders>
              <w:bottom w:val="single" w:sz="8" w:color="0000EE"/>
            </w:tcBorders>
          </w:tcPr>
          <w:p>
            <w:pPr>
              <w:spacing w:after="0"/>
              <w:rPr>
                <w:sz w:val="16"/>
                <w:szCs w:val="16"/>
                <w:color w:val="auto"/>
              </w:rPr>
            </w:pPr>
          </w:p>
        </w:tc>
        <w:tc>
          <w:tcPr>
            <w:tcW w:w="134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gridSpan w:val="7"/>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291"/>
        </w:trPr>
        <w:tc>
          <w:tcPr>
            <w:tcW w:w="56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w w:val="87"/>
              </w:rPr>
              <w:t>F-3</w:t>
            </w:r>
          </w:p>
        </w:tc>
        <w:tc>
          <w:tcPr>
            <w:tcW w:w="0" w:type="dxa"/>
            <w:vAlign w:val="bottom"/>
          </w:tcPr>
          <w:p>
            <w:pPr>
              <w:spacing w:after="0"/>
              <w:rPr>
                <w:sz w:val="1"/>
                <w:szCs w:val="1"/>
                <w:color w:val="auto"/>
              </w:rPr>
            </w:pPr>
          </w:p>
        </w:tc>
      </w:tr>
      <w:tr>
        <w:trPr>
          <w:trHeight w:val="20"/>
        </w:trPr>
        <w:tc>
          <w:tcPr>
            <w:tcW w:w="1100" w:type="dxa"/>
            <w:vAlign w:val="bottom"/>
            <w:tcBorders>
              <w:left w:val="single" w:sz="8" w:color="0000EE"/>
            </w:tcBorders>
            <w:gridSpan w:val="5"/>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2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92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w w:val="87"/>
              </w:rPr>
              <w:t>F-4</w:t>
            </w:r>
          </w:p>
        </w:tc>
        <w:tc>
          <w:tcPr>
            <w:tcW w:w="0" w:type="dxa"/>
            <w:vAlign w:val="bottom"/>
          </w:tcPr>
          <w:p>
            <w:pPr>
              <w:spacing w:after="0"/>
              <w:rPr>
                <w:sz w:val="1"/>
                <w:szCs w:val="1"/>
                <w:color w:val="auto"/>
              </w:rPr>
            </w:pPr>
          </w:p>
        </w:tc>
      </w:tr>
      <w:tr>
        <w:trPr>
          <w:trHeight w:val="291"/>
        </w:trPr>
        <w:tc>
          <w:tcPr>
            <w:tcW w:w="766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2023, 2022, and 2021</w:t>
            </w:r>
          </w:p>
        </w:tc>
        <w:tc>
          <w:tcPr>
            <w:tcW w:w="20" w:type="dxa"/>
            <w:vAlign w:val="bottom"/>
            <w:tcBorders>
              <w:bottom w:val="single" w:sz="8" w:color="0000EE"/>
            </w:tcBorders>
          </w:tcPr>
          <w:p>
            <w:pPr>
              <w:spacing w:after="0"/>
              <w:rPr>
                <w:sz w:val="24"/>
                <w:szCs w:val="24"/>
                <w:color w:val="auto"/>
              </w:rPr>
            </w:pPr>
          </w:p>
        </w:tc>
        <w:tc>
          <w:tcPr>
            <w:tcW w:w="316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w w:val="87"/>
              </w:rPr>
              <w:t>F-5</w:t>
            </w:r>
          </w:p>
        </w:tc>
        <w:tc>
          <w:tcPr>
            <w:tcW w:w="0" w:type="dxa"/>
            <w:vAlign w:val="bottom"/>
          </w:tcPr>
          <w:p>
            <w:pPr>
              <w:spacing w:after="0"/>
              <w:rPr>
                <w:sz w:val="1"/>
                <w:szCs w:val="1"/>
                <w:color w:val="auto"/>
              </w:rPr>
            </w:pPr>
          </w:p>
        </w:tc>
      </w:tr>
      <w:tr>
        <w:trPr>
          <w:trHeight w:val="290"/>
        </w:trPr>
        <w:tc>
          <w:tcPr>
            <w:tcW w:w="1084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Shareholders’ Deficit / Members’ Equity for the years ended</w:t>
            </w:r>
          </w:p>
        </w:tc>
        <w:tc>
          <w:tcPr>
            <w:tcW w:w="140" w:type="dxa"/>
            <w:vAlign w:val="bottom"/>
          </w:tcPr>
          <w:p>
            <w:pPr>
              <w:spacing w:after="0"/>
              <w:rPr>
                <w:sz w:val="24"/>
                <w:szCs w:val="24"/>
                <w:color w:val="auto"/>
              </w:rPr>
            </w:pPr>
          </w:p>
        </w:tc>
        <w:tc>
          <w:tcPr>
            <w:tcW w:w="26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7"/>
              </w:rPr>
              <w:t>F-6</w:t>
            </w:r>
          </w:p>
        </w:tc>
        <w:tc>
          <w:tcPr>
            <w:tcW w:w="0" w:type="dxa"/>
            <w:vAlign w:val="bottom"/>
          </w:tcPr>
          <w:p>
            <w:pPr>
              <w:spacing w:after="0"/>
              <w:rPr>
                <w:sz w:val="1"/>
                <w:szCs w:val="1"/>
                <w:color w:val="auto"/>
              </w:rPr>
            </w:pPr>
          </w:p>
        </w:tc>
      </w:tr>
      <w:tr>
        <w:trPr>
          <w:trHeight w:val="129"/>
        </w:trPr>
        <w:tc>
          <w:tcPr>
            <w:tcW w:w="2640" w:type="dxa"/>
            <w:vAlign w:val="bottom"/>
            <w:tcBorders>
              <w:top w:val="single" w:sz="8" w:color="0000FF"/>
            </w:tcBorders>
            <w:gridSpan w:val="6"/>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December 31, 2023, 2022, and 2021</w:t>
            </w:r>
          </w:p>
        </w:tc>
        <w:tc>
          <w:tcPr>
            <w:tcW w:w="2960" w:type="dxa"/>
            <w:vAlign w:val="bottom"/>
            <w:tcBorders>
              <w:top w:val="single" w:sz="8" w:color="0000FF"/>
            </w:tcBorders>
            <w:gridSpan w:val="9"/>
            <w:vMerge w:val="restart"/>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8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640" w:type="dxa"/>
            <w:vAlign w:val="bottom"/>
            <w:tcBorders>
              <w:bottom w:val="single" w:sz="8" w:color="0000FF"/>
            </w:tcBorders>
            <w:gridSpan w:val="6"/>
            <w:vMerge w:val="continue"/>
          </w:tcPr>
          <w:p>
            <w:pPr>
              <w:spacing w:after="0"/>
              <w:rPr>
                <w:sz w:val="5"/>
                <w:szCs w:val="5"/>
                <w:color w:val="auto"/>
              </w:rPr>
            </w:pPr>
          </w:p>
        </w:tc>
        <w:tc>
          <w:tcPr>
            <w:tcW w:w="2960" w:type="dxa"/>
            <w:vAlign w:val="bottom"/>
            <w:gridSpan w:val="9"/>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84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91"/>
        </w:trPr>
        <w:tc>
          <w:tcPr>
            <w:tcW w:w="560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0"/>
        </w:trPr>
        <w:tc>
          <w:tcPr>
            <w:tcW w:w="1100" w:type="dxa"/>
            <w:vAlign w:val="bottom"/>
            <w:tcBorders>
              <w:left w:val="single" w:sz="8" w:color="0000EE"/>
            </w:tcBorders>
            <w:gridSpan w:val="5"/>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(a)(3) List of Exhibits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5520" w:type="dxa"/>
            <w:vAlign w:val="bottom"/>
            <w:gridSpan w:val="14"/>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4520" w:type="dxa"/>
            <w:vAlign w:val="bottom"/>
            <w:tcBorders>
              <w:bottom w:val="single" w:sz="8" w:color="auto"/>
            </w:tcBorders>
            <w:gridSpan w:val="11"/>
          </w:tcPr>
          <w:p>
            <w:pPr>
              <w:spacing w:after="0"/>
              <w:rPr>
                <w:sz w:val="21"/>
                <w:szCs w:val="21"/>
                <w:color w:val="auto"/>
              </w:rPr>
            </w:pPr>
          </w:p>
        </w:tc>
        <w:tc>
          <w:tcPr>
            <w:tcW w:w="5240" w:type="dxa"/>
            <w:vAlign w:val="bottom"/>
            <w:tcBorders>
              <w:bottom w:val="single" w:sz="8" w:color="auto"/>
            </w:tcBorders>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Business Combination Agreement, dated as of January 18, 2022, by and between ProKidney Corp. (formerly known as Social Capital</w:t>
              </w:r>
            </w:hyperlink>
          </w:p>
        </w:tc>
        <w:tc>
          <w:tcPr>
            <w:tcW w:w="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0"/>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Suvretta Holdings Corp. III) and ProKidney LP. (incorporated</w:t>
              </w:r>
            </w:hyperlink>
          </w:p>
        </w:tc>
        <w:tc>
          <w:tcPr>
            <w:tcW w:w="5640" w:type="dxa"/>
            <w:vAlign w:val="bottom"/>
            <w:gridSpan w:val="25"/>
          </w:tcPr>
          <w:p>
            <w:pPr>
              <w:jc w:val="right"/>
              <w:ind w:right="300"/>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by reference from Exhibit 2.1 to Form 8-K filed with the SEC on January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21, 2022) (File No. 001-40560).</w:t>
              </w:r>
            </w:hyperlink>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New GP Joinder, dated as of June 7, 2022 (incorporated by reference from Exhibit 2.2 to Form 8-K filed with the SEC on July 15, 2022)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2900" w:type="dxa"/>
            <w:vAlign w:val="bottom"/>
            <w:tcBorders>
              <w:top w:val="single" w:sz="8" w:color="0000FF"/>
            </w:tcBorders>
            <w:gridSpan w:val="7"/>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Amended &amp; Restated Memorandum and Articles of Association of ProKidney Corp. (incorporated by reference from Exhibit 3.1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registered securities</w:t>
            </w:r>
          </w:p>
        </w:tc>
        <w:tc>
          <w:tcPr>
            <w:tcW w:w="5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Tax Receivable Agreement, dated as of July 11, 2022, by and among ProKidney Corp. (formerly known as Social Capital Suvretta</w:t>
              </w:r>
            </w:hyperlink>
          </w:p>
        </w:tc>
        <w:tc>
          <w:tcPr>
            <w:tcW w:w="3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Holdings Corp. III), the TRA Party Representative (as defined therein) and the TRA Parties (as defined therein) (incorporated by reference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from Exhibit 10.1 to Form 8-K filed with the SEC on July 15, 2022) (File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3180" w:type="dxa"/>
            <w:vAlign w:val="bottom"/>
            <w:tcBorders>
              <w:top w:val="single" w:sz="8" w:color="0000FF"/>
            </w:tcBorders>
            <w:gridSpan w:val="11"/>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Exchange Agreement, dated as of July 11, 2022, by and among ProKidney Corp. (formerly known as Social Capital Suvretta Holdings</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Corp. III), ProKidney LP, acting through its general partner ProKidney Corp. GP Limited, and certain holders named therein (incorporated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by reference from Exhibit 10.2 to Form 8-K filed with the SEC on July 15, 2022) (File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2240" w:type="dxa"/>
            <w:vAlign w:val="bottom"/>
            <w:tcBorders>
              <w:top w:val="single" w:sz="8" w:color="0000FF"/>
            </w:tcBorders>
            <w:gridSpan w:val="7"/>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Lock-up Agreement, dated as of July 11, 2022, by and among ProKidney Corp. (formerly known as Social Capital Suvretta Holdings Corp.</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III), SCS Sponsor III LLC, the Sponsor Key Holders (as defined therein) and the ProKidney Holders (as defined therein) (incorporated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 from Exhibit 10.3 to 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3160" w:type="dxa"/>
            <w:vAlign w:val="bottom"/>
            <w:tcBorders>
              <w:right w:val="single" w:sz="8" w:color="0000FF"/>
            </w:tcBorders>
            <w:gridSpan w:val="8"/>
            <w:shd w:val="clear" w:color="auto" w:fill="0000FF"/>
          </w:tcPr>
          <w:p>
            <w:pPr>
              <w:spacing w:after="0" w:line="20" w:lineRule="exact"/>
              <w:rPr>
                <w:sz w:val="1"/>
                <w:szCs w:val="1"/>
                <w:color w:val="auto"/>
              </w:rPr>
            </w:pPr>
          </w:p>
        </w:tc>
        <w:tc>
          <w:tcPr>
            <w:tcW w:w="2040" w:type="dxa"/>
            <w:vAlign w:val="bottom"/>
            <w:tcBorders>
              <w:right w:val="single" w:sz="8" w:color="0000EE"/>
            </w:tcBorders>
            <w:gridSpan w:val="6"/>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Registration Rights Agreement, dated as of July 11, 2022, by and among ProKidney Corp. (formerly known as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Social Capital Suvretta Holdings Corp. III), SCS Sponsor III LLC, the ProKidney Holders (as defined therein), Marc Semigran, Uma</w:t>
              </w:r>
            </w:hyperlink>
          </w:p>
        </w:tc>
        <w:tc>
          <w:tcPr>
            <w:tcW w:w="1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Sinha, Sukumar Nagendran, David Spiegel and the Investor Stockholders (as defined therein) (incorporated by reference from Exhibit 10.4</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3160" w:type="dxa"/>
            <w:vAlign w:val="bottom"/>
            <w:tcBorders>
              <w:right w:val="single" w:sz="8" w:color="0000EE"/>
            </w:tcBorders>
            <w:gridSpan w:val="8"/>
            <w:shd w:val="clear" w:color="auto" w:fill="0000FF"/>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10.5*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Second Amended and Restated Limited Partnership Agreement for a Limited Partnership Called ProKidney LP, dated as of July 11, 2022,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as amended as of November 14, 2023, by and among Tolerantia, LLC, Control Empresarial de Capitales, S.A. de C.V., ProKidney</w:t>
            </w:r>
          </w:p>
        </w:tc>
        <w:tc>
          <w:tcPr>
            <w:tcW w:w="340" w:type="dxa"/>
            <w:vAlign w:val="bottom"/>
            <w:tcBorders>
              <w:top w:val="single" w:sz="8" w:color="0000FF"/>
            </w:tcBorders>
            <w:gridSpan w:val="5"/>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Management Equity LLC, ProKidney Corp. (formerly known as Social Capital Suvretta Holdings Corp. III), ProKidney Corp. GP Limited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and ProKidney GP Limited.</w:t>
            </w:r>
          </w:p>
        </w:tc>
        <w:tc>
          <w:tcPr>
            <w:tcW w:w="2440" w:type="dxa"/>
            <w:vAlign w:val="bottom"/>
            <w:tcBorders>
              <w:top w:val="single" w:sz="8" w:color="0000FF"/>
            </w:tcBorders>
            <w:gridSpan w:val="6"/>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gridSpan w:val="14"/>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9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Subscription Agreement for Institutional Investors, dated as of January 18, 2022, by and between ProKidney Corp. (formerly</w:t>
              </w:r>
            </w:hyperlink>
          </w:p>
        </w:tc>
        <w:tc>
          <w:tcPr>
            <w:tcW w:w="46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known as Social Capital Suvretta Holdings Corp. III) and the subscriber partiers thereto (incorporated by reference from Exhibit 10.1 to</w:t>
              </w:r>
            </w:hyperlink>
          </w:p>
        </w:tc>
        <w:tc>
          <w:tcPr>
            <w:tcW w:w="32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4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8-K/A filed with the SEC on January 21, 2022) (File No. 001-40560).</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27"/>
          </w:tcPr>
          <w:p>
            <w:pPr>
              <w:spacing w:after="0"/>
              <w:rPr>
                <w:sz w:val="17"/>
                <w:szCs w:val="17"/>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Subscription Agreement for Individual Investors, dated as of January 18, 2022, by and between ProKidney Corp. (formerly known</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as Social Capital Suvretta Holdings Corp. III) and the subscriber parties thereto (incorporated by reference from Exhibit 10.2 to Form 8-</w:t>
              </w:r>
            </w:hyperlink>
          </w:p>
        </w:tc>
      </w:tr>
      <w:tr>
        <w:trPr>
          <w:trHeight w:val="196"/>
        </w:trPr>
        <w:tc>
          <w:tcPr>
            <w:tcW w:w="110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K/A filed with the SEC on January 21, 2022) (File No. 001-40560).</w:t>
              </w:r>
            </w:hyperlink>
          </w:p>
        </w:tc>
        <w:tc>
          <w:tcPr>
            <w:tcW w:w="4920" w:type="dxa"/>
            <w:vAlign w:val="bottom"/>
            <w:tcBorders>
              <w:top w:val="single" w:sz="8" w:color="0000FF"/>
            </w:tcBorders>
            <w:gridSpan w:val="20"/>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Sponsor Support Agreement, dated as of January 18, 2022, by and among ProKidney Corp. (formerly known as Social Capital Suvretta</w:t>
              </w:r>
            </w:hyperlink>
          </w:p>
        </w:tc>
        <w:tc>
          <w:tcPr>
            <w:tcW w:w="34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Holdings Corp. III), SCS Sponsor III LLC, ProKidney LP and the directors and officers named therein (incorporated by reference from</w:t>
              </w:r>
            </w:hyperlink>
          </w:p>
        </w:tc>
        <w:tc>
          <w:tcPr>
            <w:tcW w:w="3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6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Exhibit 10.3 to Form 8-K/A filed with the SEC on January 21, 2022) (File No. 001-40560).</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5"/>
          </w:tcPr>
          <w:p>
            <w:pPr>
              <w:spacing w:after="0"/>
              <w:rPr>
                <w:sz w:val="17"/>
                <w:szCs w:val="17"/>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Company Unitholder Support Agreement, dated as of January 18, 2022, by and among ProKidney Corp. (formerly known as Social Capital</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Suvretta Holdings Corp. III), ProKidney LP and the persons named therein (incorporated by reference from Exhibit 10.10 to Form 8-K</w:t>
              </w:r>
            </w:hyperlink>
          </w:p>
        </w:tc>
        <w:tc>
          <w:tcPr>
            <w:tcW w:w="38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filed with the SEC on July 15, 2022) (File No. 001-40560).</w:t>
              </w:r>
            </w:hyperlink>
          </w:p>
        </w:tc>
        <w:tc>
          <w:tcPr>
            <w:tcW w:w="5880" w:type="dxa"/>
            <w:vAlign w:val="bottom"/>
            <w:gridSpan w:val="32"/>
          </w:tcPr>
          <w:p>
            <w:pPr>
              <w:spacing w:after="0"/>
              <w:rPr>
                <w:sz w:val="17"/>
                <w:szCs w:val="17"/>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ProKidney Corp. 2022 Incentive Equity Plan (incorporated by reference from Exhibit 10.11 to Form 8-K filed with the SEC on July 15,</w:t>
              </w:r>
            </w:hyperlink>
          </w:p>
        </w:tc>
        <w:tc>
          <w:tcPr>
            <w:tcW w:w="34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2022) (File No. 001-40560).</w:t>
              </w:r>
            </w:hyperlink>
          </w:p>
        </w:tc>
        <w:tc>
          <w:tcPr>
            <w:tcW w:w="8100" w:type="dxa"/>
            <w:vAlign w:val="bottom"/>
            <w:gridSpan w:val="37"/>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ProKidney Corp. Employee Stock Purchase Plan (incorporated by reference from Exhibit 10.12 to Form 8-K filed with the SEC on July 15,</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2022) (File No. 001-40560).</w:t>
              </w:r>
            </w:hyperlink>
          </w:p>
        </w:tc>
        <w:tc>
          <w:tcPr>
            <w:tcW w:w="20" w:type="dxa"/>
            <w:vAlign w:val="bottom"/>
            <w:tcBorders>
              <w:bottom w:val="single" w:sz="8" w:color="0000EE"/>
            </w:tcBorders>
          </w:tcPr>
          <w:p>
            <w:pPr>
              <w:spacing w:after="0"/>
              <w:rPr>
                <w:sz w:val="17"/>
                <w:szCs w:val="17"/>
                <w:color w:val="auto"/>
              </w:rPr>
            </w:pPr>
          </w:p>
        </w:tc>
        <w:tc>
          <w:tcPr>
            <w:tcW w:w="8080" w:type="dxa"/>
            <w:vAlign w:val="bottom"/>
            <w:gridSpan w:val="36"/>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97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Indemnification Agreement, dated as of July 11, 2022, by and among ProKidney Corp. and its directors and executive officers</w:t>
              </w:r>
            </w:hyperlink>
          </w:p>
        </w:tc>
        <w:tc>
          <w:tcPr>
            <w:tcW w:w="38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5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(incorporated by reference from Exhibit 10.13 to Form 8-K filed with the SEC on July 15, 2022) (File No. 001-40560).</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9"/>
          </w:tcPr>
          <w:p>
            <w:pPr>
              <w:spacing w:after="0"/>
              <w:rPr>
                <w:sz w:val="17"/>
                <w:szCs w:val="17"/>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Employment Agreement, dated as of December 3, 2022 by and between James Coulston and ProKidney, LLC (incorporated by reference</w:t>
              </w:r>
            </w:hyperlink>
          </w:p>
        </w:tc>
        <w:tc>
          <w:tcPr>
            <w:tcW w:w="24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from Exhibit 10.14 to Form 10-K filed with the SEC on March 28, 2023) (File No. 001-40560).</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1"/>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of Director Stock Option Award (incorporated by reference from Exhibit 10.17 to Form 10-K filed with the SEC on March 28, 2023)</w:t>
              </w:r>
            </w:hyperlink>
          </w:p>
        </w:tc>
        <w:tc>
          <w:tcPr>
            <w:tcW w:w="10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(File No. 001-40560).</w:t>
              </w:r>
            </w:hyperlink>
          </w:p>
        </w:tc>
        <w:tc>
          <w:tcPr>
            <w:tcW w:w="20" w:type="dxa"/>
            <w:vAlign w:val="bottom"/>
            <w:tcBorders>
              <w:bottom w:val="single" w:sz="8" w:color="0000EE"/>
            </w:tcBorders>
          </w:tcPr>
          <w:p>
            <w:pPr>
              <w:spacing w:after="0"/>
              <w:rPr>
                <w:sz w:val="17"/>
                <w:szCs w:val="17"/>
                <w:color w:val="auto"/>
              </w:rPr>
            </w:pPr>
          </w:p>
        </w:tc>
        <w:tc>
          <w:tcPr>
            <w:tcW w:w="8540" w:type="dxa"/>
            <w:vAlign w:val="bottom"/>
            <w:gridSpan w:val="38"/>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96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of Employee Incentive Stock Option Award (incorporated by reference from Exhibit 10.18 to Form 10-K filed with the SEC on</w:t>
              </w:r>
            </w:hyperlink>
          </w:p>
        </w:tc>
        <w:tc>
          <w:tcPr>
            <w:tcW w:w="500" w:type="dxa"/>
            <w:vAlign w:val="bottom"/>
            <w:gridSpan w:val="1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March 28, 2023) (File No. 001-40560).</w:t>
              </w:r>
            </w:hyperlink>
          </w:p>
        </w:tc>
      </w:tr>
      <w:tr>
        <w:trPr>
          <w:trHeight w:val="20"/>
        </w:trPr>
        <w:tc>
          <w:tcPr>
            <w:tcW w:w="1100" w:type="dxa"/>
            <w:vAlign w:val="bottom"/>
          </w:tcPr>
          <w:p>
            <w:pPr>
              <w:spacing w:after="0" w:line="20" w:lineRule="exact"/>
              <w:rPr>
                <w:sz w:val="1"/>
                <w:szCs w:val="1"/>
                <w:color w:val="auto"/>
              </w:rPr>
            </w:pPr>
          </w:p>
        </w:tc>
        <w:tc>
          <w:tcPr>
            <w:tcW w:w="284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ProKidney Corp. 2022 Director Compensation Policy (incorporated by reference from Exhibit 10.20 to Form 10-K filed with the SEC on</w:t>
              </w:r>
            </w:hyperlink>
          </w:p>
        </w:tc>
        <w:tc>
          <w:tcPr>
            <w:tcW w:w="22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March 28, 2023) (File No. 001-40560).</w:t>
              </w:r>
            </w:hyperlink>
          </w:p>
        </w:tc>
      </w:tr>
      <w:tr>
        <w:trPr>
          <w:trHeight w:val="20"/>
        </w:trPr>
        <w:tc>
          <w:tcPr>
            <w:tcW w:w="1100" w:type="dxa"/>
            <w:vAlign w:val="bottom"/>
          </w:tcPr>
          <w:p>
            <w:pPr>
              <w:spacing w:after="0" w:line="20" w:lineRule="exact"/>
              <w:rPr>
                <w:sz w:val="1"/>
                <w:szCs w:val="1"/>
                <w:color w:val="auto"/>
              </w:rPr>
            </w:pPr>
          </w:p>
        </w:tc>
        <w:tc>
          <w:tcPr>
            <w:tcW w:w="284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9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ProKidney Short Term Incentive Performance Plan (incorporated by reference from Exhibit 10.1 to Form 8-K filed with the SEC on</w:t>
              </w:r>
            </w:hyperlink>
          </w:p>
        </w:tc>
        <w:tc>
          <w:tcPr>
            <w:tcW w:w="580" w:type="dxa"/>
            <w:vAlign w:val="bottom"/>
            <w:gridSpan w:val="1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January 19, 2023) (File No. 001-40560).</w:t>
              </w:r>
            </w:hyperlink>
          </w:p>
        </w:tc>
        <w:tc>
          <w:tcPr>
            <w:tcW w:w="20" w:type="dxa"/>
            <w:vAlign w:val="bottom"/>
            <w:tcBorders>
              <w:bottom w:val="single" w:sz="8" w:color="0000EE"/>
            </w:tcBorders>
          </w:tcPr>
          <w:p>
            <w:pPr>
              <w:spacing w:after="0"/>
              <w:rPr>
                <w:sz w:val="17"/>
                <w:szCs w:val="17"/>
                <w:color w:val="auto"/>
              </w:rPr>
            </w:pPr>
          </w:p>
        </w:tc>
        <w:tc>
          <w:tcPr>
            <w:tcW w:w="7200" w:type="dxa"/>
            <w:vAlign w:val="bottom"/>
            <w:gridSpan w:val="33"/>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Employment Agreement, dated December 3, 2023, by and between ProKidney, LLC and Bruce Culleton. (incorporated by reference from</w:t>
              </w:r>
            </w:hyperlink>
          </w:p>
        </w:tc>
        <w:tc>
          <w:tcPr>
            <w:tcW w:w="1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Exhibit 10.1 to Form 8-K/A filed with the SEC on December 5, 2023) (File No. 001-40560).</w:t>
              </w:r>
            </w:hyperlink>
          </w:p>
        </w:tc>
        <w:tc>
          <w:tcPr>
            <w:tcW w:w="3420" w:type="dxa"/>
            <w:vAlign w:val="bottom"/>
            <w:gridSpan w:val="24"/>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Master Services Agreement, dated February 15, 2021, by and between George Clinical PTY Limited and ProKidney (formerly RegenMed</w:t>
              </w:r>
            </w:hyperlink>
          </w:p>
        </w:tc>
        <w:tc>
          <w:tcPr>
            <w:tcW w:w="1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(Cayman) Ltd.) (incorporated by reference from Exhibit 10.13 to Form S-1 filed with the SEC on August 9, 2022) (File No. 333-266683).</w:t>
              </w:r>
            </w:hyperlink>
          </w:p>
        </w:tc>
        <w:tc>
          <w:tcPr>
            <w:tcW w:w="200" w:type="dxa"/>
            <w:vAlign w:val="bottom"/>
            <w:gridSpan w:val="5"/>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9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Research, Development, Engineering Services and License Memorandum and Agreement, dated January 16, 2022, by and between</w:t>
              </w:r>
            </w:hyperlink>
          </w:p>
        </w:tc>
        <w:tc>
          <w:tcPr>
            <w:tcW w:w="660" w:type="dxa"/>
            <w:vAlign w:val="bottom"/>
            <w:gridSpan w:val="1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ProKidney (formerly RegenMed (Cayman) Ltd.) and DEKA Products Limited Partnership (incorporated by reference from Exhibit 10.14</w:t>
              </w:r>
            </w:hyperlink>
          </w:p>
        </w:tc>
        <w:tc>
          <w:tcPr>
            <w:tcW w:w="22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to Form S-1 filed with the SEC on August 9, 2022) (File No. 333-266683)</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4780" w:type="dxa"/>
            <w:vAlign w:val="bottom"/>
            <w:gridSpan w:val="9"/>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Master Agreement for Clinical Trials Services, dated April 2, 2020, by and between ProKidney (formerly RegenMed (Cayman) Ltd.) and</w:t>
              </w:r>
            </w:hyperlink>
          </w:p>
        </w:tc>
        <w:tc>
          <w:tcPr>
            <w:tcW w:w="2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Frenova, LLC (incorporated by reference from Exhibit 10.16 to Form S-1 filed with the SEC on August 9, 2022) (File No. 333-266683)</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4780" w:type="dxa"/>
            <w:vAlign w:val="bottom"/>
            <w:gridSpan w:val="9"/>
            <w:shd w:val="clear" w:color="auto" w:fill="0000FF"/>
          </w:tcPr>
          <w:p>
            <w:pPr>
              <w:spacing w:after="0" w:line="20" w:lineRule="exact"/>
              <w:rPr>
                <w:sz w:val="1"/>
                <w:szCs w:val="1"/>
                <w:color w:val="auto"/>
              </w:rPr>
            </w:pPr>
          </w:p>
        </w:tc>
        <w:tc>
          <w:tcPr>
            <w:tcW w:w="298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6"/>
            <w:shd w:val="clear" w:color="auto" w:fill="0000FF"/>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98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Master Services Agreement, dated May 1, 2019, by and between PPD Development, LP and ProKidney (formerly RegenMed (Cayman)</w:t>
              </w:r>
            </w:hyperlink>
          </w:p>
        </w:tc>
        <w:tc>
          <w:tcPr>
            <w:tcW w:w="30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Ltd.) (incorporated by reference from Exhibit 10.17 to Form S-1 filed with the SEC on August 9, 2022) (File No. 333-266683)</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4780" w:type="dxa"/>
            <w:vAlign w:val="bottom"/>
            <w:gridSpan w:val="9"/>
            <w:shd w:val="clear" w:color="auto" w:fill="0000FF"/>
          </w:tcPr>
          <w:p>
            <w:pPr>
              <w:spacing w:after="0" w:line="20" w:lineRule="exact"/>
              <w:rPr>
                <w:sz w:val="1"/>
                <w:szCs w:val="1"/>
                <w:color w:val="auto"/>
              </w:rPr>
            </w:pPr>
          </w:p>
        </w:tc>
        <w:tc>
          <w:tcPr>
            <w:tcW w:w="298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10140" w:type="dxa"/>
            <w:vAlign w:val="bottom"/>
            <w:gridSpan w:val="4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Master Services Agreement, dated August 14, 2015, by and between CTI Clinical Trial Services Inc. and RegenMedTX, LLC (incorporated</w:t>
              </w:r>
            </w:hyperlink>
          </w:p>
        </w:tc>
      </w:tr>
      <w:tr>
        <w:trPr>
          <w:trHeight w:val="196"/>
        </w:trPr>
        <w:tc>
          <w:tcPr>
            <w:tcW w:w="1100" w:type="dxa"/>
            <w:vAlign w:val="bottom"/>
          </w:tcPr>
          <w:p>
            <w:pPr>
              <w:spacing w:after="0"/>
              <w:rPr>
                <w:sz w:val="17"/>
                <w:szCs w:val="17"/>
                <w:color w:val="auto"/>
              </w:rPr>
            </w:pPr>
          </w:p>
        </w:tc>
        <w:tc>
          <w:tcPr>
            <w:tcW w:w="776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by reference from Exhibit 10.18 to Form S-1 filed with the SEC on August 9, 2022) (File No. 333-266683).</w:t>
              </w:r>
            </w:hyperlink>
          </w:p>
        </w:tc>
        <w:tc>
          <w:tcPr>
            <w:tcW w:w="20" w:type="dxa"/>
            <w:vAlign w:val="bottom"/>
            <w:tcBorders>
              <w:top w:val="single" w:sz="8" w:color="0000FF"/>
              <w:bottom w:val="single" w:sz="8" w:color="0000EE"/>
            </w:tcBorders>
          </w:tcPr>
          <w:p>
            <w:pPr>
              <w:spacing w:after="0"/>
              <w:rPr>
                <w:sz w:val="17"/>
                <w:szCs w:val="17"/>
                <w:color w:val="auto"/>
              </w:rPr>
            </w:pPr>
          </w:p>
        </w:tc>
        <w:tc>
          <w:tcPr>
            <w:tcW w:w="228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r>
      <w:tr>
        <w:trPr>
          <w:trHeight w:val="290"/>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9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Laboratory Service Agreement, dated August 16, 2016, by and among Covance Central Laboratory Services LP, Covance Central</w:t>
              </w:r>
            </w:hyperlink>
          </w:p>
        </w:tc>
        <w:tc>
          <w:tcPr>
            <w:tcW w:w="760" w:type="dxa"/>
            <w:vAlign w:val="bottom"/>
            <w:gridSpan w:val="1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Laboratory Services SA` RL and ProKidney (formerly RegenMed (Cayman) Ltd.) (incorporated by reference from Exhibit 10.19 to Form</w:t>
              </w:r>
            </w:hyperlink>
          </w:p>
        </w:tc>
        <w:tc>
          <w:tcPr>
            <w:tcW w:w="18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S-1 filed with the SEC on August 9, 2022) (File No. 333-266683).</w:t>
              </w:r>
            </w:hyperlink>
          </w:p>
        </w:tc>
      </w:tr>
      <w:tr>
        <w:trPr>
          <w:trHeight w:val="331"/>
        </w:trPr>
        <w:tc>
          <w:tcPr>
            <w:tcW w:w="1100" w:type="dxa"/>
            <w:vAlign w:val="bottom"/>
          </w:tcPr>
          <w:p>
            <w:pPr>
              <w:spacing w:after="0"/>
              <w:rPr>
                <w:sz w:val="24"/>
                <w:szCs w:val="24"/>
                <w:color w:val="auto"/>
              </w:rPr>
            </w:pPr>
          </w:p>
        </w:tc>
        <w:tc>
          <w:tcPr>
            <w:tcW w:w="4780" w:type="dxa"/>
            <w:vAlign w:val="bottom"/>
            <w:tcBorders>
              <w:top w:val="single" w:sz="8" w:color="0000FF"/>
            </w:tcBorders>
            <w:gridSpan w:val="9"/>
          </w:tcPr>
          <w:p>
            <w:pPr>
              <w:ind w:left="43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3" w:name="page114"/>
    <w:bookmarkEnd w:id="113"/>
    <w:tbl>
      <w:tblPr>
        <w:tblLayout w:type="fixed"/>
        <w:tblInd w:w="8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Laboratory Service Agreement, dated August 1, 2017, by and among Covance Central Laboratory Services LP, Covance Central</w:t>
              </w:r>
            </w:hyperlink>
          </w:p>
        </w:tc>
        <w:tc>
          <w:tcPr>
            <w:tcW w:w="7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Laboratory Services SA` RL and ProKidney (formerly RegenMed (Cayman) Ltd.) (incorporated by reference from Exhibit 10.20 to Form</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7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S-1 filed with the SEC on August 9, 2022) (File No. 333-266683).</w:t>
              </w:r>
            </w:hyperlink>
          </w:p>
        </w:tc>
        <w:tc>
          <w:tcPr>
            <w:tcW w:w="20" w:type="dxa"/>
            <w:vAlign w:val="bottom"/>
            <w:tcBorders>
              <w:bottom w:val="single" w:sz="8" w:color="0000EE"/>
            </w:tcBorders>
          </w:tcPr>
          <w:p>
            <w:pPr>
              <w:spacing w:after="0"/>
              <w:rPr>
                <w:sz w:val="17"/>
                <w:szCs w:val="17"/>
                <w:color w:val="auto"/>
              </w:rPr>
            </w:pPr>
          </w:p>
        </w:tc>
        <w:tc>
          <w:tcPr>
            <w:tcW w:w="52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Laboratory Service Agreement, dated June 21, 2019, by and among Covance Central Laboratory Services LP, Covance Central Laboratory</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7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Services SA` RL and ProKidney (formerly RegenMed (Cayman) Ltd.) (incorporated by reference from Exhibit 10.21 to Form S-1 filed</w:t>
              </w:r>
            </w:hyperlink>
          </w:p>
        </w:tc>
        <w:tc>
          <w:tcPr>
            <w:tcW w:w="2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with the SEC on August 26, 2022) (File No. 333-266683).</w:t>
              </w:r>
            </w:hyperlink>
          </w:p>
        </w:tc>
        <w:tc>
          <w:tcPr>
            <w:tcW w:w="20" w:type="dxa"/>
            <w:vAlign w:val="bottom"/>
            <w:tcBorders>
              <w:bottom w:val="single" w:sz="8" w:color="0000EE"/>
            </w:tcBorders>
          </w:tcPr>
          <w:p>
            <w:pPr>
              <w:spacing w:after="0"/>
              <w:rPr>
                <w:sz w:val="17"/>
                <w:szCs w:val="17"/>
                <w:color w:val="auto"/>
              </w:rPr>
            </w:pPr>
          </w:p>
        </w:tc>
        <w:tc>
          <w:tcPr>
            <w:tcW w:w="58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Laboratory Service Agreement, dated September 16, 2021, by and among Labcorp Central Laboratory Services LP, Labcorp Central</w:t>
              </w:r>
            </w:hyperlink>
          </w:p>
        </w:tc>
        <w:tc>
          <w:tcPr>
            <w:tcW w:w="4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Laboratory Services SA` RL and ProKidney (formerly RegenMed (Cayman) Ltd.) (incorporated by reference from Exhibit 10.22 to Form</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S-1 filed with the SEC on August 26, 2022) (File No. 333-266683).</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Consulting Services Agreement, dated as of January 1, 2020 between ProKidney (formerly known as RegenMed (Cayman) Ltd. (d/b/a</w:t>
              </w:r>
            </w:hyperlink>
          </w:p>
        </w:tc>
        <w:tc>
          <w:tcPr>
            <w:tcW w:w="3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inRegen)) and Nefro Health (incorporated by reference from Exhibit 10.30 to Form 10-K filed with the SEC on March 28, 2023) (File No.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0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Consulting Services Agreement, dated as of January 1, 2020 between ProKidney, LLC (formerly known as Twin City Bio LLC) and Nefro</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Health (incorporated by reference from Exhibit 10.31 to Form 10-K filed with the SEC on March 28, 2023) (File No. 001-40560).</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Purchase Agreement, as amended, dated March 29, 2023, by and among ProKidney Corp. and 73 BCI 2 LLC. (incorporated by reference</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from Exhibit 10.1 to Form 10-Q filed with the SEC on August 10, 2023) (File No. 001-40560).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Assignment and Assumption of Purchase and Sale Agreement, dated July 17, 2023, by and among ProKidney Corp. and ProKidney</w:t>
              </w:r>
            </w:hyperlink>
          </w:p>
        </w:tc>
        <w:tc>
          <w:tcPr>
            <w:tcW w:w="5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Acquisition Company, LLC. (incorporated by reference from Exhibit 10.2 to Form 10-Q filed with the SEC on August 10, 2023) (File No.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001-40560).</w:t>
              </w:r>
            </w:hyperlink>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0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Open Market Sale Agreement SM, dated January 19, 2024, by and between ProKidney Corp. and Jefferies LLC (incorporated by reference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from Exhibit 1.1 to Form 8-K filed with the SEC on January 19, 2024) (File No. 001-40560).</w:t>
              </w:r>
            </w:hyperlink>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20" w:type="dxa"/>
            <w:vAlign w:val="bottom"/>
            <w:tcBorders>
              <w:top w:val="single" w:sz="8" w:color="0000FF"/>
              <w:bottom w:val="single" w:sz="8" w:color="0000EE"/>
            </w:tcBorders>
          </w:tcPr>
          <w:p>
            <w:pPr>
              <w:spacing w:after="0"/>
              <w:rPr>
                <w:sz w:val="24"/>
                <w:szCs w:val="24"/>
                <w:color w:val="auto"/>
              </w:rPr>
            </w:pPr>
          </w:p>
        </w:tc>
        <w:tc>
          <w:tcPr>
            <w:tcW w:w="4560" w:type="dxa"/>
            <w:vAlign w:val="bottom"/>
            <w:tcBorders>
              <w:top w:val="single" w:sz="8" w:color="0000FF"/>
            </w:tcBorders>
            <w:gridSpan w:val="12"/>
          </w:tcPr>
          <w:p>
            <w:pPr>
              <w:spacing w:after="0"/>
              <w:rPr>
                <w:sz w:val="24"/>
                <w:szCs w:val="24"/>
                <w:color w:val="auto"/>
              </w:rPr>
            </w:pPr>
          </w:p>
        </w:tc>
        <w:tc>
          <w:tcPr>
            <w:tcW w:w="33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20" w:type="dxa"/>
            <w:vAlign w:val="bottom"/>
            <w:tcBorders>
              <w:bottom w:val="single" w:sz="8" w:color="0000EE"/>
            </w:tcBorders>
          </w:tcPr>
          <w:p>
            <w:pPr>
              <w:spacing w:after="0"/>
              <w:rPr>
                <w:sz w:val="24"/>
                <w:szCs w:val="24"/>
                <w:color w:val="auto"/>
              </w:rPr>
            </w:pPr>
          </w:p>
        </w:tc>
        <w:tc>
          <w:tcPr>
            <w:tcW w:w="774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3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 w:type="dxa"/>
            <w:vAlign w:val="bottom"/>
            <w:tcBorders>
              <w:bottom w:val="single" w:sz="8" w:color="0000FF"/>
            </w:tcBorders>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2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ProKidney Corp. Clawback Policy</w:t>
            </w:r>
          </w:p>
        </w:tc>
        <w:tc>
          <w:tcPr>
            <w:tcW w:w="20" w:type="dxa"/>
            <w:vAlign w:val="bottom"/>
            <w:tcBorders>
              <w:bottom w:val="single" w:sz="8" w:color="0000EE"/>
            </w:tcBorders>
          </w:tcPr>
          <w:p>
            <w:pPr>
              <w:spacing w:after="0"/>
              <w:rPr>
                <w:sz w:val="24"/>
                <w:szCs w:val="24"/>
                <w:color w:val="auto"/>
              </w:rPr>
            </w:pPr>
          </w:p>
        </w:tc>
        <w:tc>
          <w:tcPr>
            <w:tcW w:w="752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r>
      <w:tr>
        <w:trPr>
          <w:trHeight w:val="31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2023, formatted in iXBRL</w:t>
            </w:r>
          </w:p>
        </w:tc>
        <w:tc>
          <w:tcPr>
            <w:tcW w:w="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Extensible Business Reporting Language):  (i) Consolidated Balance Sheets, (ii) Consolidated Statements of Operations, (iii)</w:t>
            </w:r>
          </w:p>
        </w:tc>
        <w:tc>
          <w:tcPr>
            <w:tcW w:w="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Consolidated Statements of Changes in Redeemable Noncontrolling Interest and Stockholders’ Deficit, (iv) Consolidated Statements of</w:t>
            </w:r>
          </w:p>
        </w:tc>
        <w:tc>
          <w:tcPr>
            <w:tcW w:w="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Cash Flows and (v) Notes to Consolidated Financial Statements, tagged as blocks of text and including detailed tags.</w:t>
            </w:r>
          </w:p>
        </w:tc>
        <w:tc>
          <w:tcPr>
            <w:tcW w:w="20" w:type="dxa"/>
            <w:vAlign w:val="bottom"/>
          </w:tcPr>
          <w:p>
            <w:pPr>
              <w:spacing w:after="0"/>
              <w:rPr>
                <w:sz w:val="20"/>
                <w:szCs w:val="20"/>
                <w:color w:val="auto"/>
              </w:rPr>
            </w:pP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The cover page from this Annual Report on Form 10-K for the year ended December 31, 2023, formatted in Inline XBRL.</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p>
      <w:pPr>
        <w:ind w:right="6720" w:firstLine="8"/>
        <w:spacing w:after="0" w:line="282" w:lineRule="auto"/>
        <w:tabs>
          <w:tab w:leader="none" w:pos="1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sectPr>
      </w:pPr>
    </w:p>
    <w:bookmarkStart w:id="114" w:name="page115"/>
    <w:bookmarkEnd w:id="11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PROKIDNEY CORP.</w:t>
            </w:r>
          </w:p>
        </w:tc>
      </w:tr>
      <w:tr>
        <w:trPr>
          <w:trHeight w:val="47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2024</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Culleton</w:t>
            </w:r>
          </w:p>
        </w:tc>
      </w:tr>
      <w:tr>
        <w:trPr>
          <w:trHeight w:val="201"/>
        </w:trPr>
        <w:tc>
          <w:tcPr>
            <w:tcW w:w="3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Bruce Culleton</w:t>
            </w:r>
          </w:p>
        </w:tc>
      </w:t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bl>
    <w:p>
      <w:pPr>
        <w:spacing w:after="0" w:line="10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Bruce Culleton</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James Coulston</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Pablo Legorreta</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F. Doyle</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F.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Jennifer Fox</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José Ignacio Jimenez Santos</w:t>
      </w:r>
    </w:p>
    <w:p>
      <w:pPr>
        <w:spacing w:after="0" w:line="4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José Ignacio Jimenez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Alan M. Lotvin, M.D.</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Alan M. Lotvin,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John M. Maraganore, Ph.D.</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John M. Maraganore,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Brian J.G. Pereira, M.D.</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Brian J.G. Pereira,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Uma Sinha, Ph.D.</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Uma Sinha,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8"/>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56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bl>
    <w:p>
      <w:pPr>
        <w:spacing w:after="0" w:line="402"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5" w:name="page116"/>
    <w:bookmarkEnd w:id="115"/>
    <w:tbl>
      <w:tblPr>
        <w:tblLayout w:type="fixed"/>
        <w:tblInd w:w="1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1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439"/>
        </w:trPr>
        <w:tc>
          <w:tcPr>
            <w:tcW w:w="54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482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64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3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39"/>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2022, and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64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Shareholders’ Deficit / Members’ Equity for the years ended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29"/>
        </w:trPr>
        <w:tc>
          <w:tcPr>
            <w:tcW w:w="26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December 31, 2023, 2022, and 2021</w:t>
            </w:r>
          </w:p>
        </w:tc>
        <w:tc>
          <w:tcPr>
            <w:tcW w:w="7640" w:type="dxa"/>
            <w:vAlign w:val="bottom"/>
            <w:gridSpan w:val="7"/>
            <w:vMerge w:val="restart"/>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640" w:type="dxa"/>
            <w:vAlign w:val="bottom"/>
            <w:tcBorders>
              <w:bottom w:val="single" w:sz="8" w:color="0000FF"/>
            </w:tcBorders>
            <w:vMerge w:val="continue"/>
          </w:tcPr>
          <w:p>
            <w:pPr>
              <w:spacing w:after="0"/>
              <w:rPr>
                <w:sz w:val="5"/>
                <w:szCs w:val="5"/>
                <w:color w:val="auto"/>
              </w:rPr>
            </w:pPr>
          </w:p>
        </w:tc>
        <w:tc>
          <w:tcPr>
            <w:tcW w:w="7640" w:type="dxa"/>
            <w:vAlign w:val="bottom"/>
            <w:gridSpan w:val="7"/>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7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32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439"/>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898"/>
        </w:trPr>
        <w:tc>
          <w:tcPr>
            <w:tcW w:w="26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6" w:name="page117"/>
    <w:bookmarkEnd w:id="11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ProKidney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ProKidney Corp. (the Company) as of December 31, 2023 and 2022, the related consolidated statements of operations, comprehensive loss, changes in redeemable noncontrolling interest and shareholders’ deficit / members’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1"/>
                <w:szCs w:val="21"/>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6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clinical</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504,719</w:t>
            </w:r>
          </w:p>
        </w:tc>
        <w:tc>
          <w:tcPr>
            <w:tcW w:w="100" w:type="dxa"/>
            <w:vAlign w:val="bottom"/>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1"/>
                <w:szCs w:val="21"/>
                <w:color w:val="auto"/>
              </w:rPr>
            </w:pPr>
          </w:p>
        </w:tc>
      </w:tr>
      <w:tr>
        <w:trPr>
          <w:trHeight w:val="241"/>
        </w:trPr>
        <w:tc>
          <w:tcPr>
            <w:tcW w:w="660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517,996</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Deficit/Members' Equity</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60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Borders>
              <w:top w:val="single" w:sz="8" w:color="CFF0FC"/>
            </w:tcBorders>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1,494,732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1,601,555</w:t>
            </w:r>
          </w:p>
        </w:tc>
        <w:tc>
          <w:tcPr>
            <w:tcW w:w="100" w:type="dxa"/>
            <w:vAlign w:val="bottom"/>
            <w:shd w:val="clear" w:color="auto" w:fill="CFF0FC"/>
          </w:tcPr>
          <w:p>
            <w:pPr>
              <w:spacing w:after="0"/>
              <w:rPr>
                <w:sz w:val="21"/>
                <w:szCs w:val="21"/>
                <w:color w:val="auto"/>
              </w:rPr>
            </w:pPr>
          </w:p>
        </w:tc>
      </w:tr>
      <w:tr>
        <w:trPr>
          <w:trHeight w:val="47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deficit / members' equity:</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authorized; 59,880,347 and 61,540,231 issued and outstanding as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December 31, 2023 and December 31, 2022, respectively</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11"/>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ordinary shares, $0.0001 par value; 500,000,000 shares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168,297,916 and 171,578,320 issued and outstanding as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December 31, 2023 and December 31, 2022, respectively</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50"/>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(1,139,663 )</w:t>
            </w: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(1,104,116 )</w:t>
            </w:r>
          </w:p>
        </w:tc>
      </w:tr>
      <w:tr>
        <w:trPr>
          <w:trHeight w:val="20"/>
        </w:trPr>
        <w:tc>
          <w:tcPr>
            <w:tcW w:w="6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deficit / members’ equity</w:t>
            </w:r>
          </w:p>
        </w:tc>
        <w:tc>
          <w:tcPr>
            <w:tcW w:w="220" w:type="dxa"/>
            <w:vAlign w:val="bottom"/>
          </w:tcPr>
          <w:p>
            <w:pPr>
              <w:spacing w:after="0"/>
              <w:rPr>
                <w:sz w:val="20"/>
                <w:szCs w:val="20"/>
                <w:color w:val="auto"/>
              </w:rPr>
            </w:pP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(1,103,396 )</w:t>
            </w:r>
          </w:p>
        </w:tc>
        <w:tc>
          <w:tcPr>
            <w:tcW w:w="20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(1,096,616 )</w:t>
            </w:r>
          </w:p>
        </w:tc>
      </w:tr>
      <w:tr>
        <w:trPr>
          <w:trHeight w:val="281"/>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deficit/members' equity</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-6059805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-6059805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-4971415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-4971415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-4191000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-3076575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-350520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8" w:name="page119"/>
    <w:bookmarkEnd w:id="118"/>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332" w:type="dxa"/>
        <w:tblCellMar>
          <w:top w:w="0" w:type="dxa"/>
          <w:left w:w="0" w:type="dxa"/>
          <w:bottom w:w="0" w:type="dxa"/>
          <w:right w:w="0" w:type="dxa"/>
        </w:tblCellMar>
      </w:tblPr>
      <w:tr>
        <w:trPr>
          <w:trHeight w:val="245"/>
        </w:trPr>
        <w:tc>
          <w:tcPr>
            <w:tcW w:w="6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3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46,255</w:t>
            </w:r>
          </w:p>
        </w:tc>
        <w:tc>
          <w:tcPr>
            <w:tcW w:w="100" w:type="dxa"/>
            <w:vAlign w:val="bottom"/>
          </w:tcPr>
          <w:p>
            <w:pPr>
              <w:spacing w:after="0"/>
              <w:rPr>
                <w:sz w:val="20"/>
                <w:szCs w:val="20"/>
                <w:color w:val="auto"/>
              </w:rPr>
            </w:pPr>
          </w:p>
        </w:tc>
      </w:tr>
      <w:tr>
        <w:trPr>
          <w:trHeight w:val="243"/>
        </w:trPr>
        <w:tc>
          <w:tcPr>
            <w:tcW w:w="6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70,937</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100" w:type="dxa"/>
            <w:vAlign w:val="bottom"/>
          </w:tcPr>
          <w:p>
            <w:pPr>
              <w:spacing w:after="0"/>
              <w:rPr>
                <w:sz w:val="20"/>
                <w:szCs w:val="20"/>
                <w:color w:val="auto"/>
              </w:rPr>
            </w:pP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(151,522 )</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(153,007 )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(55,110 )</w:t>
            </w:r>
          </w:p>
        </w:tc>
      </w:tr>
      <w:tr>
        <w:trPr>
          <w:trHeight w:val="47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(215 )</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(129,451 )</w:t>
            </w:r>
          </w:p>
        </w:tc>
        <w:tc>
          <w:tcPr>
            <w:tcW w:w="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(147,239 )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(55,108 )</w:t>
            </w:r>
          </w:p>
        </w:tc>
      </w:tr>
      <w:tr>
        <w:trPr>
          <w:trHeight w:val="23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1"/>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(135,447 )</w:t>
            </w:r>
          </w:p>
        </w:tc>
        <w:tc>
          <w:tcPr>
            <w:tcW w:w="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(148,135 )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(55,146 )</w:t>
            </w:r>
          </w:p>
        </w:tc>
      </w:tr>
      <w:tr>
        <w:trPr>
          <w:trHeight w:val="23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(99,979 )</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(40,103 )</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(35,468 )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(108,032 )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(55,146 )</w:t>
            </w:r>
          </w:p>
        </w:tc>
      </w:tr>
      <w:tr>
        <w:trPr>
          <w:trHeight w:val="471"/>
        </w:trPr>
        <w:tc>
          <w:tcPr>
            <w:tcW w:w="6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Class A ordinary shares outstanding: </w:t>
            </w:r>
            <w:r>
              <w:rPr>
                <w:rFonts w:ascii="Times New Roman" w:cs="Times New Roman" w:eastAsia="Times New Roman" w:hAnsi="Times New Roman"/>
                <w:sz w:val="24"/>
                <w:szCs w:val="24"/>
                <w:color w:val="auto"/>
                <w:vertAlign w:val="superscript"/>
              </w:rPr>
              <w:t>(1)</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3"/>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loss per share attributable to Class A ordinary shares: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(0.23 )</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-2553970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-2553970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-2553970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-822325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-805180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-822325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-805180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-822325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-805180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8" w:firstLine="8"/>
        <w:spacing w:after="0" w:line="462" w:lineRule="auto"/>
        <w:tabs>
          <w:tab w:leader="none" w:pos="177"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2022, net loss per Class A ordinary share and weighted average Class A ordinary shares outstanding reflects the period from July 11, 2022 through December 31, 2022, the period following the Business Combination, as defined in Note 1. For more information refer to Note 9.</w:t>
      </w:r>
    </w:p>
    <w:p>
      <w:pPr>
        <w:spacing w:after="0" w:line="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305" w:right="37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(135,447 )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(148,135 )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(55,146 )</w:t>
            </w: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(134,950 )</w:t>
            </w:r>
          </w:p>
        </w:tc>
        <w:tc>
          <w:tcPr>
            <w:tcW w:w="32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(148,135 )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(55,146 )</w:t>
            </w: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 interest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(99,612 )</w:t>
            </w:r>
          </w:p>
        </w:tc>
        <w:tc>
          <w:tcPr>
            <w:tcW w:w="3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(40,103 )</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attributable to Class A ordinary shareholders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(35,338 )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(108,032 )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(55,146 )</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-659130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-659130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-659130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Noncontrolling Interest and Shareholders’ Deficit / Members’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280" w:top="981" w:right="12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2023</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20" w:type="dxa"/>
            <w:vAlign w:val="bottom"/>
          </w:tcPr>
          <w:p>
            <w:pPr>
              <w:spacing w:after="0"/>
              <w:rPr>
                <w:sz w:val="24"/>
                <w:szCs w:val="24"/>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20" w:type="dxa"/>
            <w:vAlign w:val="bottom"/>
          </w:tcPr>
          <w:p>
            <w:pPr>
              <w:spacing w:after="0"/>
              <w:rPr>
                <w:sz w:val="18"/>
                <w:szCs w:val="18"/>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Class A Units</w:t>
            </w: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Accu</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Red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mula</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eem</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holde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able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Addi</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tiona</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Defici</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w:t>
            </w:r>
          </w:p>
        </w:tc>
        <w:tc>
          <w:tcPr>
            <w:tcW w:w="2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Accu</w:t>
            </w:r>
          </w:p>
        </w:tc>
        <w:tc>
          <w:tcPr>
            <w:tcW w:w="10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 /</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rolli</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preh</w:t>
            </w:r>
          </w:p>
        </w:tc>
        <w:tc>
          <w:tcPr>
            <w:tcW w:w="2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mula</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Mem</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ng</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ensiv</w:t>
            </w:r>
          </w:p>
        </w:tc>
        <w:tc>
          <w:tcPr>
            <w:tcW w:w="2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bers'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w:t>
            </w: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Inter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w:t>
            </w:r>
          </w:p>
        </w:tc>
        <w:tc>
          <w:tcPr>
            <w:tcW w:w="22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2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Defic</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Equit</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rest</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unt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ests</w:t>
            </w:r>
          </w:p>
        </w:tc>
        <w:tc>
          <w:tcPr>
            <w:tcW w:w="240" w:type="dxa"/>
            <w:vAlign w:val="bottom"/>
          </w:tcPr>
          <w:p>
            <w:pPr>
              <w:spacing w:after="0"/>
              <w:rPr>
                <w:sz w:val="21"/>
                <w:szCs w:val="21"/>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200" w:type="dxa"/>
            <w:vAlign w:val="bottom"/>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it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64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$ 6,36 )</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920" w:type="dxa"/>
            <w:vAlign w:val="bottom"/>
            <w:vMerge w:val="continue"/>
            <w:shd w:val="clear" w:color="auto" w:fill="CFF0FC"/>
          </w:tcPr>
          <w:p>
            <w:pPr>
              <w:spacing w:after="0"/>
              <w:rPr>
                <w:sz w:val="15"/>
                <w:szCs w:val="15"/>
                <w:color w:val="auto"/>
              </w:rPr>
            </w:pPr>
          </w:p>
        </w:tc>
        <w:tc>
          <w:tcPr>
            <w:tcW w:w="64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3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3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900" w:type="dxa"/>
            <w:vAlign w:val="bottom"/>
            <w:gridSpan w:val="3"/>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contribution</w:t>
            </w:r>
          </w:p>
        </w:tc>
        <w:tc>
          <w:tcPr>
            <w:tcW w:w="640" w:type="dxa"/>
            <w:vAlign w:val="bottom"/>
            <w:tcBorders>
              <w:right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line="283" w:lineRule="exact"/>
              <w:rPr>
                <w:sz w:val="20"/>
                <w:szCs w:val="20"/>
                <w:color w:val="auto"/>
              </w:rPr>
            </w:pPr>
            <w:r>
              <w:rPr>
                <w:rFonts w:ascii="Times New Roman" w:cs="Times New Roman" w:eastAsia="Times New Roman" w:hAnsi="Times New Roman"/>
                <w:sz w:val="17"/>
                <w:szCs w:val="17"/>
                <w:color w:val="auto"/>
              </w:rPr>
              <w:t xml:space="preserve">146 </w:t>
            </w:r>
            <w:r>
              <w:rPr>
                <w:rFonts w:ascii="Times New Roman" w:cs="Times New Roman" w:eastAsia="Times New Roman" w:hAnsi="Times New Roman"/>
                <w:sz w:val="32"/>
                <w:szCs w:val="32"/>
                <w:color w:val="auto"/>
                <w:vertAlign w:val="superscript"/>
              </w:rPr>
              <w:t>)</w:t>
            </w:r>
          </w:p>
        </w:tc>
        <w:tc>
          <w:tcPr>
            <w:tcW w:w="100" w:type="dxa"/>
            <w:vAlign w:val="bottom"/>
          </w:tcPr>
          <w:p>
            <w:pPr>
              <w:spacing w:after="0"/>
              <w:rPr>
                <w:sz w:val="24"/>
                <w:szCs w:val="24"/>
                <w:color w:val="auto"/>
              </w:rPr>
            </w:pPr>
          </w:p>
        </w:tc>
        <w:tc>
          <w:tcPr>
            <w:tcW w:w="500" w:type="dxa"/>
            <w:vAlign w:val="bottom"/>
            <w:gridSpan w:val="2"/>
          </w:tcPr>
          <w:p>
            <w:pPr>
              <w:jc w:val="right"/>
              <w:ind w:right="40"/>
              <w:spacing w:after="0" w:line="283" w:lineRule="exact"/>
              <w:rPr>
                <w:sz w:val="20"/>
                <w:szCs w:val="20"/>
                <w:color w:val="auto"/>
              </w:rPr>
            </w:pPr>
            <w:r>
              <w:rPr>
                <w:rFonts w:ascii="Times New Roman" w:cs="Times New Roman" w:eastAsia="Times New Roman" w:hAnsi="Times New Roman"/>
                <w:sz w:val="17"/>
                <w:szCs w:val="17"/>
                <w:color w:val="auto"/>
              </w:rPr>
              <w:t xml:space="preserve">146 </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05"/>
        </w:trPr>
        <w:tc>
          <w:tcPr>
            <w:tcW w:w="29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4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shd w:val="clear" w:color="auto" w:fill="CFF0FC"/>
          </w:tcPr>
          <w:p>
            <w:pPr>
              <w:spacing w:after="0"/>
              <w:rPr>
                <w:sz w:val="9"/>
                <w:szCs w:val="9"/>
                <w:color w:val="auto"/>
              </w:rPr>
            </w:pPr>
          </w:p>
        </w:tc>
        <w:tc>
          <w:tcPr>
            <w:tcW w:w="64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gridSpan w:val="2"/>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900" w:type="dxa"/>
            <w:vAlign w:val="bottom"/>
            <w:gridSpan w:val="3"/>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Capital contribution</w:t>
            </w:r>
          </w:p>
        </w:tc>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20" w:type="dxa"/>
            <w:vAlign w:val="bottom"/>
            <w:vMerge w:val="continue"/>
          </w:tcPr>
          <w:p>
            <w:pPr>
              <w:spacing w:after="0"/>
              <w:rPr>
                <w:sz w:val="10"/>
                <w:szCs w:val="10"/>
                <w:color w:val="auto"/>
              </w:rPr>
            </w:pPr>
          </w:p>
        </w:tc>
        <w:tc>
          <w:tcPr>
            <w:tcW w:w="640" w:type="dxa"/>
            <w:vAlign w:val="bottom"/>
            <w:tcBorders>
              <w:right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 /</w:t>
            </w:r>
          </w:p>
        </w:tc>
        <w:tc>
          <w:tcPr>
            <w:tcW w:w="3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prior to Business</w:t>
            </w:r>
          </w:p>
        </w:tc>
        <w:tc>
          <w:tcPr>
            <w:tcW w:w="3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640" w:type="dxa"/>
            <w:vAlign w:val="bottom"/>
            <w:tcBorders>
              <w:right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prior to the Business</w:t>
            </w:r>
          </w:p>
        </w:tc>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6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18"/>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the Business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 including net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of shares sold</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through the PIPE transaction</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,500 )</w:t>
            </w:r>
          </w:p>
        </w:tc>
        <w:tc>
          <w:tcPr>
            <w:tcW w:w="1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644 )</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11"/>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 after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Business Combination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8"/>
        </w:trPr>
        <w:tc>
          <w:tcPr>
            <w:tcW w:w="2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2" w:name="page123"/>
    <w:bookmarkEnd w:id="122"/>
    <w:p>
      <w:pPr>
        <w:ind w:left="180" w:right="100"/>
        <w:spacing w:after="0" w:line="266" w:lineRule="auto"/>
        <w:rPr>
          <w:sz w:val="20"/>
          <w:szCs w:val="20"/>
          <w:color w:val="auto"/>
        </w:rPr>
      </w:pPr>
      <w:r>
        <w:rPr>
          <w:rFonts w:ascii="Times New Roman" w:cs="Times New Roman" w:eastAsia="Times New Roman" w:hAnsi="Times New Roman"/>
          <w:sz w:val="18"/>
          <w:szCs w:val="18"/>
          <w:color w:val="auto"/>
        </w:rPr>
        <w:t>Vesting of Class B restricted stock rights</w:t>
      </w:r>
    </w:p>
    <w:p>
      <w:pPr>
        <w:ind w:left="180" w:right="80"/>
        <w:spacing w:after="0" w:line="312" w:lineRule="auto"/>
        <w:rPr>
          <w:sz w:val="20"/>
          <w:szCs w:val="20"/>
          <w:color w:val="auto"/>
        </w:rPr>
      </w:pPr>
      <w:r>
        <w:rPr>
          <w:rFonts w:ascii="Times New Roman" w:cs="Times New Roman" w:eastAsia="Times New Roman" w:hAnsi="Times New Roman"/>
          <w:sz w:val="17"/>
          <w:szCs w:val="17"/>
          <w:color w:val="auto"/>
        </w:rPr>
        <w:t>Impact of equity transactions on redeemable noncontrolling interest</w:t>
      </w:r>
    </w:p>
    <w:p>
      <w:pPr>
        <w:spacing w:after="0" w:line="59" w:lineRule="exact"/>
        <w:rPr>
          <w:sz w:val="20"/>
          <w:szCs w:val="20"/>
          <w:color w:val="auto"/>
        </w:rPr>
      </w:pPr>
    </w:p>
    <w:p>
      <w:pPr>
        <w:ind w:left="180" w:right="660"/>
        <w:spacing w:after="0" w:line="282" w:lineRule="auto"/>
        <w:rPr>
          <w:sz w:val="20"/>
          <w:szCs w:val="20"/>
          <w:color w:val="auto"/>
        </w:rPr>
      </w:pPr>
      <w:r>
        <w:rPr>
          <w:rFonts w:ascii="Times New Roman" w:cs="Times New Roman" w:eastAsia="Times New Roman" w:hAnsi="Times New Roman"/>
          <w:sz w:val="18"/>
          <w:szCs w:val="18"/>
          <w:color w:val="auto"/>
        </w:rPr>
        <w:t>Net loss after the Business Combination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Class A ordinary shares</w:t>
      </w:r>
    </w:p>
    <w:p>
      <w:pPr>
        <w:spacing w:after="0" w:line="252" w:lineRule="exact"/>
        <w:rPr>
          <w:sz w:val="20"/>
          <w:szCs w:val="20"/>
          <w:color w:val="auto"/>
        </w:rPr>
      </w:pPr>
    </w:p>
    <w:p>
      <w:pPr>
        <w:ind w:left="180" w:right="100"/>
        <w:spacing w:after="0" w:line="282" w:lineRule="auto"/>
        <w:rPr>
          <w:sz w:val="20"/>
          <w:szCs w:val="20"/>
          <w:color w:val="auto"/>
        </w:rPr>
      </w:pPr>
      <w:r>
        <w:rPr>
          <w:rFonts w:ascii="Times New Roman" w:cs="Times New Roman" w:eastAsia="Times New Roman" w:hAnsi="Times New Roman"/>
          <w:sz w:val="18"/>
          <w:szCs w:val="18"/>
          <w:color w:val="auto"/>
        </w:rPr>
        <w:t>Vesting of Class B restricted stock rights</w:t>
      </w:r>
    </w:p>
    <w:p>
      <w:pPr>
        <w:spacing w:after="0" w:line="189" w:lineRule="exact"/>
        <w:rPr>
          <w:sz w:val="20"/>
          <w:szCs w:val="20"/>
          <w:color w:val="auto"/>
        </w:rPr>
      </w:pPr>
    </w:p>
    <w:p>
      <w:pPr>
        <w:ind w:left="180" w:right="120"/>
        <w:spacing w:after="0" w:line="312" w:lineRule="auto"/>
        <w:rPr>
          <w:sz w:val="20"/>
          <w:szCs w:val="20"/>
          <w:color w:val="auto"/>
        </w:rPr>
      </w:pPr>
      <w:r>
        <w:rPr>
          <w:rFonts w:ascii="Times New Roman" w:cs="Times New Roman" w:eastAsia="Times New Roman" w:hAnsi="Times New Roman"/>
          <w:sz w:val="17"/>
          <w:szCs w:val="17"/>
          <w:color w:val="auto"/>
        </w:rPr>
        <w:t>Exchange of Class B ordinary shares for Class A ordinary shares</w:t>
      </w:r>
    </w:p>
    <w:p>
      <w:pPr>
        <w:spacing w:after="0" w:line="167" w:lineRule="exact"/>
        <w:rPr>
          <w:sz w:val="20"/>
          <w:szCs w:val="20"/>
          <w:color w:val="auto"/>
        </w:rPr>
      </w:pPr>
    </w:p>
    <w:p>
      <w:pPr>
        <w:ind w:left="180" w:right="280"/>
        <w:spacing w:after="0" w:line="282" w:lineRule="auto"/>
        <w:rPr>
          <w:sz w:val="20"/>
          <w:szCs w:val="20"/>
          <w:color w:val="auto"/>
        </w:rPr>
      </w:pPr>
      <w:r>
        <w:rPr>
          <w:rFonts w:ascii="Times New Roman" w:cs="Times New Roman" w:eastAsia="Times New Roman" w:hAnsi="Times New Roman"/>
          <w:sz w:val="18"/>
          <w:szCs w:val="18"/>
          <w:color w:val="auto"/>
        </w:rPr>
        <w:t>Repurchase of Class A ordinary shares</w:t>
      </w:r>
    </w:p>
    <w:p>
      <w:pPr>
        <w:spacing w:after="0" w:line="189" w:lineRule="exact"/>
        <w:rPr>
          <w:sz w:val="20"/>
          <w:szCs w:val="20"/>
          <w:color w:val="auto"/>
        </w:rPr>
      </w:pPr>
    </w:p>
    <w:p>
      <w:pPr>
        <w:ind w:left="180" w:right="80"/>
        <w:spacing w:after="0" w:line="312" w:lineRule="auto"/>
        <w:rPr>
          <w:sz w:val="20"/>
          <w:szCs w:val="20"/>
          <w:color w:val="auto"/>
        </w:rPr>
      </w:pPr>
      <w:r>
        <w:rPr>
          <w:rFonts w:ascii="Times New Roman" w:cs="Times New Roman" w:eastAsia="Times New Roman" w:hAnsi="Times New Roman"/>
          <w:sz w:val="17"/>
          <w:szCs w:val="17"/>
          <w:color w:val="auto"/>
        </w:rPr>
        <w:t>Impact of equity transactions on redeemable noncontrolling interest</w:t>
      </w:r>
    </w:p>
    <w:p>
      <w:pPr>
        <w:spacing w:after="0" w:line="59" w:lineRule="exact"/>
        <w:rPr>
          <w:sz w:val="20"/>
          <w:szCs w:val="20"/>
          <w:color w:val="auto"/>
        </w:rPr>
      </w:pPr>
    </w:p>
    <w:p>
      <w:pPr>
        <w:ind w:left="180" w:right="400"/>
        <w:spacing w:after="0" w:line="282" w:lineRule="auto"/>
        <w:rPr>
          <w:sz w:val="20"/>
          <w:szCs w:val="20"/>
          <w:color w:val="auto"/>
        </w:rPr>
      </w:pPr>
      <w:r>
        <w:rPr>
          <w:rFonts w:ascii="Times New Roman" w:cs="Times New Roman" w:eastAsia="Times New Roman" w:hAnsi="Times New Roman"/>
          <w:sz w:val="18"/>
          <w:szCs w:val="18"/>
          <w:color w:val="auto"/>
        </w:rPr>
        <w:t>Unrealized loss on marketable securities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0"/>
                <w:szCs w:val="20"/>
                <w:color w:val="auto"/>
              </w:rPr>
            </w:pP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r>
      <w:tr>
        <w:trPr>
          <w:trHeight w:val="241"/>
        </w:trPr>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1"/>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60" w:type="dxa"/>
            <w:vAlign w:val="bottom"/>
          </w:tcPr>
          <w:p>
            <w:pPr>
              <w:spacing w:after="0"/>
              <w:rPr>
                <w:sz w:val="18"/>
                <w:szCs w:val="18"/>
                <w:color w:val="auto"/>
              </w:rPr>
            </w:pP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9"/>
                <w:szCs w:val="19"/>
                <w:color w:val="auto"/>
              </w:rPr>
            </w:pP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r>
      <w:tr>
        <w:trPr>
          <w:trHeight w:val="225"/>
        </w:trPr>
        <w:tc>
          <w:tcPr>
            <w:tcW w:w="3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8"/>
                <w:szCs w:val="18"/>
                <w:color w:val="auto"/>
              </w:rPr>
            </w:pPr>
          </w:p>
        </w:tc>
      </w:tr>
      <w:tr>
        <w:trPr>
          <w:trHeight w:val="234"/>
        </w:trPr>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r>
      <w:tr>
        <w:trPr>
          <w:trHeight w:val="225"/>
        </w:trPr>
        <w:tc>
          <w:tcPr>
            <w:tcW w:w="3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r>
      <w:tr>
        <w:trPr>
          <w:trHeight w:val="234"/>
        </w:trPr>
        <w:tc>
          <w:tcPr>
            <w:tcW w:w="6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Pr>
          <w:p>
            <w:pPr>
              <w:spacing w:after="0"/>
              <w:rPr>
                <w:sz w:val="18"/>
                <w:szCs w:val="18"/>
                <w:color w:val="auto"/>
              </w:rPr>
            </w:pPr>
          </w:p>
        </w:tc>
      </w:tr>
      <w:tr>
        <w:trPr>
          <w:trHeight w:val="234"/>
        </w:trPr>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0"/>
                <w:szCs w:val="20"/>
                <w:color w:val="auto"/>
              </w:rPr>
            </w:pPr>
          </w:p>
        </w:tc>
      </w:t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48"/>
        </w:trPr>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468 )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21"/>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F-8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-4742815</wp:posOffset>
            </wp:positionV>
            <wp:extent cx="713232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-3157220</wp:posOffset>
            </wp:positionV>
            <wp:extent cx="7132320" cy="291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-2574290</wp:posOffset>
            </wp:positionV>
            <wp:extent cx="7132320" cy="4286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-1717040</wp:posOffset>
            </wp:positionV>
            <wp:extent cx="7132320" cy="4286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-859790</wp:posOffset>
            </wp:positionV>
            <wp:extent cx="7132320" cy="291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-4159885</wp:posOffset>
            </wp:positionV>
            <wp:extent cx="7132320" cy="436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464185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60" w:space="140"/>
            <w:col w:w="8280"/>
          </w:cols>
          <w:pgMar w:left="340" w:top="999" w:right="379" w:bottom="1440" w:gutter="0" w:footer="0" w:header="0"/>
        </w:sectPr>
      </w:pPr>
    </w:p>
    <w:bookmarkStart w:id="123" w:name="page124"/>
    <w:bookmarkEnd w:id="123"/>
    <w:p>
      <w:pPr>
        <w:ind w:left="180"/>
        <w:spacing w:after="0" w:line="282" w:lineRule="auto"/>
        <w:rPr>
          <w:sz w:val="20"/>
          <w:szCs w:val="20"/>
          <w:color w:val="auto"/>
        </w:rPr>
      </w:pPr>
      <w:r>
        <w:rPr>
          <w:rFonts w:ascii="Times New Roman" w:cs="Times New Roman" w:eastAsia="Times New Roman" w:hAnsi="Times New Roman"/>
          <w:sz w:val="18"/>
          <w:szCs w:val="18"/>
          <w:color w:val="auto"/>
        </w:rPr>
        <w:t>Change in redemption value of noncontrolling interest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9"/>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11"/>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60" w:type="dxa"/>
            <w:vAlign w:val="bottom"/>
          </w:tcPr>
          <w:p>
            <w:pPr>
              <w:spacing w:after="0"/>
              <w:rPr>
                <w:sz w:val="18"/>
                <w:szCs w:val="18"/>
                <w:color w:val="auto"/>
              </w:rPr>
            </w:pPr>
          </w:p>
        </w:tc>
      </w:tr>
      <w:tr>
        <w:trPr>
          <w:trHeight w:val="241"/>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$ 130</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63 )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-882015</wp:posOffset>
            </wp:positionV>
            <wp:extent cx="7132320" cy="291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480"/>
            <w:col w:w="8280"/>
          </w:cols>
          <w:pgMar w:left="340" w:top="999" w:right="37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99" w:right="379"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(135,447 )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(148,135 )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(55,146 )</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(6,018 )</w:t>
            </w:r>
          </w:p>
        </w:tc>
        <w:tc>
          <w:tcPr>
            <w:tcW w:w="3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(1,375 )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(7,231 )</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(5,704 )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(90,069 )</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(77,089 )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(50,299 )</w:t>
            </w:r>
          </w:p>
        </w:tc>
        <w:tc>
          <w:tcPr>
            <w:tcW w:w="0" w:type="dxa"/>
            <w:vAlign w:val="bottom"/>
          </w:tcPr>
          <w:p>
            <w:pPr>
              <w:spacing w:after="0"/>
              <w:rPr>
                <w:sz w:val="1"/>
                <w:szCs w:val="1"/>
                <w:color w:val="auto"/>
              </w:rPr>
            </w:pPr>
          </w:p>
        </w:tc>
      </w:tr>
      <w:tr>
        <w:trPr>
          <w:trHeight w:val="47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from SCS</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(471,604 )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(34,197 )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(1,846 )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(5,192 )</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(329,983 )</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(1,738 )</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(5,191 )</w:t>
            </w:r>
          </w:p>
        </w:tc>
        <w:tc>
          <w:tcPr>
            <w:tcW w:w="0" w:type="dxa"/>
            <w:vAlign w:val="bottom"/>
          </w:tcPr>
          <w:p>
            <w:pPr>
              <w:spacing w:after="0"/>
              <w:rPr>
                <w:sz w:val="1"/>
                <w:szCs w:val="1"/>
                <w:color w:val="auto"/>
              </w:rPr>
            </w:pPr>
          </w:p>
        </w:tc>
      </w:tr>
      <w:tr>
        <w:trPr>
          <w:trHeight w:val="252"/>
        </w:trPr>
        <w:tc>
          <w:tcPr>
            <w:tcW w:w="6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Business Combination, including PIPE financing, net of associated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 $37,856</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542,503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related party notes payable</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Class A ordinary shares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(9,499 )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related party notes payable</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(35,000 )</w:t>
            </w: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contribution</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(9,551 )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(429,603 )</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469,694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w:t>
            </w: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6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30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4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-4405630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-4405630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-2733675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-2733675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-1945005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-1928495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-1945005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-1928495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-1456690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-1439545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-1456690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-1439545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-967740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-950595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-967740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-950595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-479425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-496570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-479425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68"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spacing w:after="0" w:line="75"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The business combination between SCS and PKLP (the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79"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(rilparencel), which has the potential to preserve kidney function in patients with chronic kidney disease or delay or eliminate the need for dialysis and organ transplantation.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 Corp.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Consolidated Financial Statements. As of December 31, 2023, various holders own non-voting interests in PKLP, representing a 73.8% economic interest in PKLP, effectively restricting ProKidney’s interest to 26.2%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ownership of 100% of the shares in ProKidney Corp. GP Limited (“New GP”), which is the managing member of PKLP. Nevertheless, because ProKidney will have no material assets other than its interests in PKLP and its subsidiaries, any financial difficulties at PKLP could result in ProKidney recognizing a loss.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facilitate comparison of information across periods, certain reclassifications have been made to prior period amounts to conform to the current period’s presentation.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certain estimates and assumptions that affect the reported amounts of assets and liabilities and disclosure of contingent liabilities at the date of the consolidated financial statements, and the amounts of expenses during the reported periods. Certain estimates in these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20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Consolidated Balance Sheets as of December 31, 2023 and December 31, 2022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92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9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related costs</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costs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81"/>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3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7" w:name="page128"/>
    <w:bookmarkEnd w:id="127"/>
    <w:p>
      <w:pPr>
        <w:ind w:right="140"/>
        <w:spacing w:after="0" w:line="261" w:lineRule="auto"/>
        <w:rPr>
          <w:sz w:val="20"/>
          <w:szCs w:val="20"/>
          <w:color w:val="auto"/>
        </w:rPr>
      </w:pPr>
      <w:r>
        <w:rPr>
          <w:rFonts w:ascii="Times New Roman" w:cs="Times New Roman" w:eastAsia="Times New Roman" w:hAnsi="Times New Roman"/>
          <w:sz w:val="18"/>
          <w:szCs w:val="18"/>
          <w:color w:val="auto"/>
        </w:rPr>
        <w:t>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2" w:lineRule="exact"/>
        <w:rPr>
          <w:sz w:val="20"/>
          <w:szCs w:val="20"/>
          <w:color w:val="auto"/>
        </w:rPr>
      </w:pPr>
    </w:p>
    <w:p>
      <w:pPr>
        <w:ind w:right="26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3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25-30 years</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3-5 years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3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5-7 years</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remainder of lease term</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4"/>
                <w:szCs w:val="24"/>
                <w:color w:val="auto"/>
              </w:rPr>
            </w:pPr>
          </w:p>
        </w:tc>
      </w:tr>
      <w:tr>
        <w:trPr>
          <w:trHeight w:val="243"/>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0" w:type="dxa"/>
            <w:vAlign w:val="bottom"/>
            <w:gridSpan w:val="2"/>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0"/>
                <w:szCs w:val="20"/>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0"/>
                <w:szCs w:val="20"/>
                <w:color w:val="auto"/>
              </w:rPr>
            </w:pPr>
          </w:p>
        </w:tc>
      </w:tr>
      <w:tr>
        <w:trPr>
          <w:trHeight w:val="243"/>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(7,642 )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(4,708 )</w:t>
            </w:r>
          </w:p>
        </w:tc>
      </w:tr>
      <w:tr>
        <w:trPr>
          <w:trHeight w:val="241"/>
        </w:trPr>
        <w:tc>
          <w:tcPr>
            <w:tcW w:w="54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fixed assets, net</w:t>
            </w:r>
          </w:p>
        </w:tc>
        <w:tc>
          <w:tcPr>
            <w:tcW w:w="222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30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$2,956,000, $2,448,000, and $1,452,000,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300" w:firstLine="524"/>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acquired assembled workforce, which are accounted for in accordance with ASC 350 - Intangibles - Goodwill and Other. The acquired assembled workforce is amortized on a straight-line basis over the useful life of five years. The following table summarizes information related to the Company’s assembled workforce intangible asset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carrying amount</w:t>
            </w: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24"/>
        <w:spacing w:after="0" w:line="282" w:lineRule="auto"/>
        <w:rPr>
          <w:sz w:val="20"/>
          <w:szCs w:val="20"/>
          <w:color w:val="auto"/>
        </w:rPr>
      </w:pPr>
      <w:r>
        <w:rPr>
          <w:rFonts w:ascii="Times New Roman" w:cs="Times New Roman" w:eastAsia="Times New Roman" w:hAnsi="Times New Roman"/>
          <w:sz w:val="18"/>
          <w:szCs w:val="18"/>
          <w:color w:val="auto"/>
        </w:rPr>
        <w:t>Amortization expense relating to the assembled workforce intangible asset was $213,000, $215,000 and $214,000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420" w:firstLine="524"/>
        <w:spacing w:after="0" w:line="257"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8" w:name="page129"/>
    <w:bookmarkEnd w:id="128"/>
    <w:p>
      <w:pPr>
        <w:ind w:right="80"/>
        <w:spacing w:after="0" w:line="266" w:lineRule="auto"/>
        <w:rPr>
          <w:sz w:val="20"/>
          <w:szCs w:val="20"/>
          <w:color w:val="auto"/>
        </w:rPr>
      </w:pPr>
      <w:r>
        <w:rPr>
          <w:rFonts w:ascii="Times New Roman" w:cs="Times New Roman" w:eastAsia="Times New Roman" w:hAnsi="Times New Roman"/>
          <w:sz w:val="18"/>
          <w:szCs w:val="18"/>
          <w:color w:val="auto"/>
        </w:rPr>
        <w:t>be generated by the asset. If the carrying amount of an asset exceeds its estimated future cash flows, an impairment charge is recognized for the amount by which the carrying amount of the asset exceeds the fair value of the asset. No impairment charges have been recorded for the years ended December 31, 2023,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December 31, 2023 and December 31, 2022.</w:t>
      </w:r>
    </w:p>
    <w:p>
      <w:pPr>
        <w:spacing w:after="0" w:line="86"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(expense) for income taxes in the Company’s Consolidated Statements of Operations. The Company has not incurred any significant interest or penalties related to income taxes in any of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40" w:firstLine="524"/>
        <w:spacing w:after="0" w:line="222"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is described below. The three levels of inputs used to measure fair value are as follows:</w:t>
      </w:r>
    </w:p>
    <w:p>
      <w:pPr>
        <w:spacing w:after="0" w:line="199"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99" w:lineRule="exact"/>
        <w:rPr>
          <w:sz w:val="20"/>
          <w:szCs w:val="20"/>
          <w:color w:val="auto"/>
        </w:rPr>
      </w:pPr>
    </w:p>
    <w:p>
      <w:pPr>
        <w:ind w:right="140" w:firstLine="524"/>
        <w:spacing w:after="0" w:line="254"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spacing w:after="0" w:line="43" w:lineRule="exact"/>
        <w:rPr>
          <w:sz w:val="20"/>
          <w:szCs w:val="20"/>
          <w:color w:val="auto"/>
        </w:rPr>
      </w:pPr>
    </w:p>
    <w:p>
      <w:pPr>
        <w:ind w:right="500" w:firstLine="524"/>
        <w:spacing w:after="0" w:line="245"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Consolidated Balance Sheets. Right of use assets and lease liabilities are recognized based on the present value of the future minimum lease payments over the lease term at commencement date. Variable payments directly related to the use of the assets and future adjustments of payments based on indices are recognized in the period of incurrence or change and are not included in the lease payments at the initial measurement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9" w:name="page130"/>
    <w:bookmarkEnd w:id="129"/>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00" w:firstLine="524"/>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40" w:firstLine="524"/>
        <w:spacing w:after="0" w:line="257" w:lineRule="auto"/>
        <w:rPr>
          <w:sz w:val="20"/>
          <w:szCs w:val="20"/>
          <w:color w:val="auto"/>
        </w:rPr>
      </w:pPr>
      <w:r>
        <w:rPr>
          <w:rFonts w:ascii="Times New Roman" w:cs="Times New Roman" w:eastAsia="Times New Roman" w:hAnsi="Times New Roman"/>
          <w:sz w:val="18"/>
          <w:szCs w:val="18"/>
          <w:color w:val="auto"/>
        </w:rPr>
        <w:t>Compensation expense for share-based compensation awards issued is based on the fair value of the award at the date of grant. The Company records forfeitures of share-based compensation awards as they occur. The Company’s share based compensation program grants awards that have included the following: 1) profits interests in ProKidney LP which, at close of the Business Combination, were converted into paired interests consisting of</w:t>
      </w:r>
    </w:p>
    <w:p>
      <w:pPr>
        <w:spacing w:after="0" w:line="1" w:lineRule="exact"/>
        <w:rPr>
          <w:sz w:val="20"/>
          <w:szCs w:val="20"/>
          <w:color w:val="auto"/>
        </w:rPr>
      </w:pPr>
    </w:p>
    <w:p>
      <w:pPr>
        <w:ind w:right="40" w:firstLine="8"/>
        <w:spacing w:after="0" w:line="255" w:lineRule="auto"/>
        <w:tabs>
          <w:tab w:leader="none" w:pos="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or Class B restricted stock rights and (ii) Common Units or Restricted Common Units of ProKidney LP (collectively referred to as “Legacy Profits Interests”); 2) restricted stock units issued by SCS (“Legacy SCS Awards”); 3) time-vested stock options issued by ProKidney Corp.; and 4) market-vested stock options issued by ProKidney Corp.</w:t>
      </w:r>
    </w:p>
    <w:p>
      <w:pPr>
        <w:spacing w:after="0" w:line="78"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The grant date fair value of time-vested stock option awards is estimated using the Black-Scholes option pricing formula. The grant date fair values of the Legacy Profits Interests and Legacy SCS Awards are based on the market value of the issuer’s shares or member units, as applicable, on the date of grant. Compensation expense related to time-vested stock options, Legacy Profits Interests and Legacy SCS Awards are recognized on a straight-line basis over the applicable service period.</w:t>
      </w:r>
    </w:p>
    <w:p>
      <w:pPr>
        <w:spacing w:after="0" w:line="72"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grant date fair value of market-vested stock option awards is estimated using the Geometric Brownian Motion/Monte Carlo model. Share-based compensation expense related to these awards is recognized ratably for each vesting tranche over the derived service period regardless of whether the award achieves the market condition and will only be adjusted to the extent the service condition is not met.</w:t>
      </w:r>
    </w:p>
    <w:p>
      <w:pPr>
        <w:spacing w:after="0" w:line="68"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Due to the lack of sufficient historical trading information with respect to its own shares, the Company estimates expected volatility based on the historical volatility of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for awards without market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Company sponsors a 401(k) plan for its ProKidney-US employees and a defined contribution plan for its ProKidney-KY employees. Full-time employees are eligible to participate in these plans. The Company matches 50% of participating ProKidney-US employees’ contributions up to 8% of salary and contributes 7% of ProKidney-KY employee salaries to the respective plans. The Company’s cost related to these defined contribution plans were $503,000, $267,000 and $169,000 for the years ended December 31, 2023,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Investments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as of December 31, 2023 (in thousands):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0" w:name="page131"/>
    <w:bookmarkEnd w:id="130"/>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c>
          <w:tcPr>
            <w:tcW w:w="2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w:t>
            </w:r>
          </w:p>
        </w:tc>
      </w:tr>
      <w:tr>
        <w:trPr>
          <w:trHeight w:val="245"/>
        </w:trPr>
        <w:tc>
          <w:tcPr>
            <w:tcW w:w="2540" w:type="dxa"/>
            <w:vAlign w:val="bottom"/>
          </w:tcPr>
          <w:p>
            <w:pPr>
              <w:spacing w:after="0"/>
              <w:rPr>
                <w:sz w:val="21"/>
                <w:szCs w:val="21"/>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w:t>
            </w:r>
          </w:p>
        </w:tc>
        <w:tc>
          <w:tcPr>
            <w:tcW w:w="200" w:type="dxa"/>
            <w:vAlign w:val="bottom"/>
          </w:tcPr>
          <w:p>
            <w:pPr>
              <w:spacing w:after="0"/>
              <w:rPr>
                <w:sz w:val="21"/>
                <w:szCs w:val="21"/>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 Securities</w:t>
            </w:r>
          </w:p>
        </w:tc>
        <w:tc>
          <w:tcPr>
            <w:tcW w:w="100" w:type="dxa"/>
            <w:vAlign w:val="bottom"/>
          </w:tcPr>
          <w:p>
            <w:pPr>
              <w:spacing w:after="0"/>
              <w:rPr>
                <w:sz w:val="21"/>
                <w:szCs w:val="21"/>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100" w:type="dxa"/>
            <w:vAlign w:val="bottom"/>
          </w:tcPr>
          <w:p>
            <w:pPr>
              <w:spacing w:after="0"/>
              <w:rPr>
                <w:sz w:val="20"/>
                <w:szCs w:val="20"/>
                <w:color w:val="auto"/>
              </w:rPr>
            </w:pPr>
          </w:p>
        </w:tc>
      </w:tr>
      <w:tr>
        <w:trPr>
          <w:trHeight w:val="24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100" w:type="dxa"/>
            <w:vAlign w:val="bottom"/>
          </w:tcPr>
          <w:p>
            <w:pPr>
              <w:spacing w:after="0"/>
              <w:rPr>
                <w:sz w:val="20"/>
                <w:szCs w:val="20"/>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132,630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130,488</w:t>
            </w:r>
          </w:p>
        </w:tc>
        <w:tc>
          <w:tcPr>
            <w:tcW w:w="100" w:type="dxa"/>
            <w:vAlign w:val="bottom"/>
            <w:shd w:val="clear" w:color="auto" w:fill="CFF0FC"/>
          </w:tcPr>
          <w:p>
            <w:pPr>
              <w:spacing w:after="0"/>
              <w:rPr>
                <w:sz w:val="21"/>
                <w:szCs w:val="2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310,219</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December 31, 2023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6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310,210</w:t>
            </w:r>
          </w:p>
        </w:tc>
        <w:tc>
          <w:tcPr>
            <w:tcW w:w="100" w:type="dxa"/>
            <w:vAlign w:val="bottom"/>
            <w:shd w:val="clear" w:color="auto" w:fill="CFF0FC"/>
          </w:tcPr>
          <w:p>
            <w:pPr>
              <w:spacing w:after="0"/>
              <w:rPr>
                <w:sz w:val="21"/>
                <w:szCs w:val="21"/>
                <w:color w:val="auto"/>
              </w:rPr>
            </w:pPr>
          </w:p>
        </w:tc>
      </w:tr>
      <w:tr>
        <w:trPr>
          <w:trHeight w:val="23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600" w:type="dxa"/>
            <w:vAlign w:val="bottom"/>
          </w:tcPr>
          <w:p>
            <w:pPr>
              <w:spacing w:after="0"/>
              <w:rPr>
                <w:sz w:val="20"/>
                <w:szCs w:val="20"/>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loss, aggregated by category and the length of time that individual securities have been in a continuous loss position as of December 31, 2023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2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9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year ended December 31, 2023. As such, the Company has not recognized an allowance for credit losses related to marketable debt securities during the years ended December 31, 2023, 2022 and 2021.</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ProKidney is considered to be an exempted Cayman Islands company and is presently not subject to income taxes or income tax filing requirements in the Cayman Islands or the United States.</w:t>
      </w:r>
    </w:p>
    <w:p>
      <w:pPr>
        <w:spacing w:after="0" w:line="54"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68" w:lineRule="exact"/>
        <w:rPr>
          <w:sz w:val="20"/>
          <w:szCs w:val="20"/>
          <w:color w:val="auto"/>
        </w:rPr>
      </w:pPr>
    </w:p>
    <w:p>
      <w:pPr>
        <w:ind w:right="380" w:firstLine="524"/>
        <w:spacing w:after="0" w:line="282" w:lineRule="auto"/>
        <w:rPr>
          <w:sz w:val="20"/>
          <w:szCs w:val="20"/>
          <w:color w:val="auto"/>
        </w:rPr>
      </w:pPr>
      <w:r>
        <w:rPr>
          <w:rFonts w:ascii="Times New Roman" w:cs="Times New Roman" w:eastAsia="Times New Roman" w:hAnsi="Times New Roman"/>
          <w:sz w:val="18"/>
          <w:szCs w:val="18"/>
          <w:color w:val="auto"/>
        </w:rPr>
        <w:t>The Company’s subsidiaries, ProKidney-US and ProKidney Acquisition Company, are treated as a C corporation, and therefore a provision for federal and state taxes has been recorded.</w:t>
      </w:r>
    </w:p>
    <w:p>
      <w:pPr>
        <w:spacing w:after="0" w:line="54"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 for the years ended December 31, 2023, 2022 and 2021 (in thousands):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131" w:name="page132"/>
    <w:bookmarkEnd w:id="131"/>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5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tcBorders>
              <w:right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r>
      <w:tr>
        <w:trPr>
          <w:trHeight w:val="228"/>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FF0FC"/>
            </w:tcBorders>
          </w:tcPr>
          <w:p>
            <w:pPr>
              <w:spacing w:after="0"/>
              <w:rPr>
                <w:sz w:val="19"/>
                <w:szCs w:val="19"/>
                <w:color w:val="auto"/>
              </w:rPr>
            </w:pPr>
          </w:p>
        </w:tc>
        <w:tc>
          <w:tcPr>
            <w:tcW w:w="80" w:type="dxa"/>
            <w:vAlign w:val="bottom"/>
          </w:tcPr>
          <w:p>
            <w:pPr>
              <w:spacing w:after="0"/>
              <w:rPr>
                <w:sz w:val="19"/>
                <w:szCs w:val="19"/>
                <w:color w:val="auto"/>
              </w:rPr>
            </w:pPr>
          </w:p>
        </w:tc>
      </w:tr>
      <w:tr>
        <w:trPr>
          <w:trHeight w:val="252"/>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568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76"/>
        </w:trPr>
        <w:tc>
          <w:tcPr>
            <w:tcW w:w="568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340" w:type="dxa"/>
            <w:vAlign w:val="bottom"/>
            <w:tcBorders>
              <w:bottom w:val="single" w:sz="8" w:color="CFF0FC"/>
              <w:right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910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The difference between the statutory rate for U.S statutory rate of 21% and the effective income tax rate was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7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20"/>
                <w:szCs w:val="20"/>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2"/>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580" w:type="dxa"/>
            <w:vAlign w:val="bottom"/>
            <w:tcBorders>
              <w:right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Non-taxed income</w:t>
            </w:r>
          </w:p>
        </w:tc>
        <w:tc>
          <w:tcPr>
            <w:tcW w:w="1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20"/>
                <w:szCs w:val="20"/>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20"/>
                <w:szCs w:val="20"/>
                <w:color w:val="auto"/>
              </w:rPr>
            </w:pPr>
          </w:p>
        </w:tc>
      </w:tr>
      <w:tr>
        <w:trPr>
          <w:trHeight w:val="247"/>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5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FF0FC"/>
          </w:tcPr>
          <w:p>
            <w:pPr>
              <w:spacing w:after="0"/>
              <w:rPr>
                <w:sz w:val="21"/>
                <w:szCs w:val="21"/>
                <w:color w:val="auto"/>
              </w:rPr>
            </w:pPr>
          </w:p>
        </w:tc>
        <w:tc>
          <w:tcPr>
            <w:tcW w:w="1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20"/>
                <w:szCs w:val="20"/>
                <w:color w:val="auto"/>
              </w:rPr>
            </w:pPr>
          </w:p>
        </w:tc>
      </w:tr>
      <w:tr>
        <w:trPr>
          <w:trHeight w:val="20"/>
        </w:trPr>
        <w:tc>
          <w:tcPr>
            <w:tcW w:w="56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-3234055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-3234055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-3234055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-2454275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-2454275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-2454275</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-2128520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-2111375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-2128520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-2111375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-2128520</wp:posOffset>
            </wp:positionV>
            <wp:extent cx="596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-2111375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-147955</wp:posOffset>
            </wp:positionV>
            <wp:extent cx="6703695"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186" w:lineRule="exact"/>
        <w:rPr>
          <w:sz w:val="20"/>
          <w:szCs w:val="20"/>
          <w:color w:val="auto"/>
        </w:rPr>
      </w:pPr>
    </w:p>
    <w:p>
      <w:pPr>
        <w:ind w:right="760" w:firstLine="524"/>
        <w:spacing w:after="0" w:line="282" w:lineRule="auto"/>
        <w:rPr>
          <w:sz w:val="20"/>
          <w:szCs w:val="20"/>
          <w:color w:val="auto"/>
        </w:rPr>
      </w:pPr>
      <w:r>
        <w:rPr>
          <w:rFonts w:ascii="Times New Roman" w:cs="Times New Roman" w:eastAsia="Times New Roman" w:hAnsi="Times New Roman"/>
          <w:sz w:val="18"/>
          <w:szCs w:val="18"/>
          <w:color w:val="auto"/>
        </w:rPr>
        <w:t>Components of the Company’s deferred tax assets and liabilities included in the consolidated balance sheet consisted of the following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72"/>
        </w:trPr>
        <w:tc>
          <w:tcPr>
            <w:tcW w:w="6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8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credit carryforwards</w:t>
            </w:r>
          </w:p>
        </w:tc>
        <w:tc>
          <w:tcPr>
            <w:tcW w:w="12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experimental costs capitalized</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20"/>
                <w:szCs w:val="20"/>
                <w:color w:val="auto"/>
              </w:rPr>
            </w:pP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1"/>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FF0FC"/>
          </w:tcPr>
          <w:p>
            <w:pPr>
              <w:spacing w:after="0"/>
              <w:rPr>
                <w:sz w:val="20"/>
                <w:szCs w:val="20"/>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(12,888 )</w:t>
            </w:r>
          </w:p>
        </w:tc>
        <w:tc>
          <w:tcPr>
            <w:tcW w:w="6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(3,332 )</w:t>
            </w:r>
          </w:p>
        </w:tc>
      </w:tr>
      <w:tr>
        <w:trPr>
          <w:trHeight w:val="237"/>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r>
      <w:tr>
        <w:trPr>
          <w:trHeight w:val="243"/>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20"/>
                <w:szCs w:val="20"/>
                <w:color w:val="auto"/>
              </w:rPr>
            </w:pPr>
          </w:p>
        </w:tc>
      </w:tr>
      <w:tr>
        <w:trPr>
          <w:trHeight w:val="281"/>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-1130935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-1130935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-351155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-351155</wp:posOffset>
            </wp:positionV>
            <wp:extent cx="596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2023.</w:t>
      </w:r>
    </w:p>
    <w:p>
      <w:pPr>
        <w:spacing w:after="0" w:line="75" w:lineRule="exact"/>
        <w:rPr>
          <w:sz w:val="20"/>
          <w:szCs w:val="20"/>
          <w:color w:val="auto"/>
        </w:rPr>
      </w:pPr>
    </w:p>
    <w:p>
      <w:pPr>
        <w:ind w:right="180" w:firstLine="524"/>
        <w:spacing w:after="0" w:line="257"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5" w:right="419" w:bottom="1440" w:gutter="0" w:footer="0" w:header="0"/>
        </w:sectPr>
      </w:pPr>
    </w:p>
    <w:bookmarkStart w:id="132" w:name="page133"/>
    <w:bookmarkEnd w:id="132"/>
    <w:p>
      <w:pPr>
        <w:ind w:right="100"/>
        <w:spacing w:after="0" w:line="266" w:lineRule="auto"/>
        <w:rPr>
          <w:sz w:val="20"/>
          <w:szCs w:val="20"/>
          <w:color w:val="auto"/>
        </w:rPr>
      </w:pPr>
      <w:r>
        <w:rPr>
          <w:rFonts w:ascii="Times New Roman" w:cs="Times New Roman" w:eastAsia="Times New Roman" w:hAnsi="Times New Roman"/>
          <w:sz w:val="18"/>
          <w:szCs w:val="18"/>
          <w:color w:val="auto"/>
        </w:rPr>
        <w:t>reversal of deferred tax liabilities, available taxes in the carryback periods, projected future taxable income and tax planning strategies in making this assessment. Accordingly, management has concluded that it is not more likely than not that it will recognize the deferred tax assets, and the Company has provided a valuation allowance of $12,888,000 and $3,332,000, respectively for December 31, 2023 and 2022, to offset the net deferred tax assets.</w:t>
      </w:r>
    </w:p>
    <w:p>
      <w:pPr>
        <w:spacing w:after="0" w:line="68" w:lineRule="exact"/>
        <w:rPr>
          <w:sz w:val="20"/>
          <w:szCs w:val="20"/>
          <w:color w:val="auto"/>
        </w:rPr>
      </w:pPr>
    </w:p>
    <w:p>
      <w:pPr>
        <w:ind w:right="80" w:firstLine="524"/>
        <w:spacing w:after="0" w:line="282" w:lineRule="auto"/>
        <w:rPr>
          <w:sz w:val="20"/>
          <w:szCs w:val="20"/>
          <w:color w:val="auto"/>
        </w:rPr>
      </w:pPr>
      <w:r>
        <w:rPr>
          <w:rFonts w:ascii="Times New Roman" w:cs="Times New Roman" w:eastAsia="Times New Roman" w:hAnsi="Times New Roman"/>
          <w:sz w:val="18"/>
          <w:szCs w:val="18"/>
          <w:color w:val="auto"/>
        </w:rPr>
        <w:t>The Company has net operating loss carryforwards of $1,278,000 that for federal purposes have an indefinite life and for state income tax purposes begin to expire in 2038.</w:t>
      </w:r>
    </w:p>
    <w:p>
      <w:pPr>
        <w:spacing w:after="0" w:line="54"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unrecognized tax benefits for the years ended December 31, 2023 and 2022 consisted of the following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72"/>
        </w:trPr>
        <w:tc>
          <w:tcPr>
            <w:tcW w:w="6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80" w:type="dxa"/>
            <w:vAlign w:val="bottom"/>
          </w:tcPr>
          <w:p>
            <w:pPr>
              <w:spacing w:after="0"/>
              <w:rPr>
                <w:sz w:val="23"/>
                <w:szCs w:val="23"/>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(gross):</w:t>
            </w:r>
          </w:p>
        </w:tc>
        <w:tc>
          <w:tcPr>
            <w:tcW w:w="12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at the beginning of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at the end of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1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December 31, 2023 which, if recognized, would affect our effective tax rate. We expect none of the gross unrecognized tax benefits will decrease within the next year.</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Tax years 2020 through 2023 remain subject to examination by federal and state authorities.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260" w:firstLine="524"/>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This ASU requires a lessee to recognize a right-of-use asset and a lease liability on its balance sheet for most operating leases. ASU 2016-02 is effective for annual and interim periods beginning after December 15, 2018, including interim periods within those fiscal years. In July 2018, the FASB issued ASU 2018-11, Leases (Topic 842): Targeted Improvements, which provides companies with an additional optional transition method to apply the new standard to leases in effect at the adoption date through a cumulative effect adjustment. The Company adopted the new lease standard as of January 1, 2021 using the modified retrospective transition method.</w:t>
      </w:r>
    </w:p>
    <w:p>
      <w:pPr>
        <w:spacing w:after="0" w:line="75"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The Company elected the package of practical expedients referenced in ASU 2016-02, which permits companies to retain original lease identification and classification without reassessing initial direct costs for existing leases. The Company also elected the practical expedient that exempts leases with an initial lease term of twelve months or less, as well as the practical expedient that allows companies to select, by class of underlying asset, not to separate lease and non-lease components. Adoption of this standard resulted in the recognition of a right-of-use asset and a lease liability on the Company’s January 1, 2021 Consolidated Balance Sheet of $1,560,000 and $1,559,000, respectively. There was no material impact on the Company’s Consolidated Statement of Operations and Comprehensive Loss.</w:t>
      </w:r>
    </w:p>
    <w:p>
      <w:pPr>
        <w:spacing w:after="0" w:line="79"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office space) and certain equipment with various expiration dates. The Company also has finance leases for certain equipment which are not considered material. For the years ended December 31, 2023, 2022 and 2021, the Company’s operating lease cost was $1,062,000, $551,000, and $434,000, respectively. During the year ended December 31, 2023, cash paid for operating leases was $774,000.</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3" w:name="page134"/>
    <w:bookmarkEnd w:id="133"/>
    <w:p>
      <w:pPr>
        <w:ind w:right="36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Sheets as of December 31, 2023 and December 31, 2022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20"/>
                <w:szCs w:val="20"/>
                <w:color w:val="auto"/>
              </w:rPr>
            </w:pPr>
          </w:p>
        </w:tc>
      </w:tr>
      <w:tr>
        <w:trPr>
          <w:trHeight w:val="252"/>
        </w:trPr>
        <w:tc>
          <w:tcPr>
            <w:tcW w:w="6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shd w:val="clear" w:color="auto" w:fill="CFF0FC"/>
          </w:tcPr>
          <w:p>
            <w:pPr>
              <w:spacing w:after="0"/>
              <w:rPr>
                <w:sz w:val="20"/>
                <w:szCs w:val="20"/>
                <w:color w:val="auto"/>
              </w:rPr>
            </w:pPr>
          </w:p>
        </w:tc>
      </w:tr>
      <w:tr>
        <w:trPr>
          <w:trHeight w:val="479"/>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1"/>
                <w:szCs w:val="21"/>
                <w:color w:val="auto"/>
              </w:rPr>
            </w:pPr>
          </w:p>
        </w:tc>
      </w:tr>
      <w:tr>
        <w:trPr>
          <w:trHeight w:val="47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r>
      <w:tr>
        <w:trPr>
          <w:trHeight w:val="245"/>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December 31, 2023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60" w:type="dxa"/>
            <w:vAlign w:val="bottom"/>
          </w:tcPr>
          <w:p>
            <w:pPr>
              <w:spacing w:after="0"/>
              <w:rPr>
                <w:sz w:val="21"/>
                <w:szCs w:val="21"/>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r>
      <w:tr>
        <w:trPr>
          <w:trHeight w:val="24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(1,119 )</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(1,145 )</w:t>
            </w:r>
          </w:p>
        </w:tc>
      </w:tr>
      <w:tr>
        <w:trPr>
          <w:trHeight w:val="27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4.2 years, and 4.6 years for the finance lease. The weighted average discount rate is 10.2% and 6.5% for operating and finance leases,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would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w:t>
      </w: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34" w:name="page135"/>
    <w:bookmarkEnd w:id="134"/>
    <w:p>
      <w:pPr>
        <w:ind w:right="20"/>
        <w:spacing w:after="0" w:line="253" w:lineRule="auto"/>
        <w:rPr>
          <w:sz w:val="20"/>
          <w:szCs w:val="20"/>
          <w:color w:val="auto"/>
        </w:rPr>
      </w:pPr>
      <w:r>
        <w:rPr>
          <w:rFonts w:ascii="Times New Roman" w:cs="Times New Roman" w:eastAsia="Times New Roman" w:hAnsi="Times New Roman"/>
          <w:sz w:val="18"/>
          <w:szCs w:val="18"/>
          <w:color w:val="auto"/>
        </w:rPr>
        <w:t>Sponsor III LLC and the Closing ProKidney Unitholders party thereto. Such restrictions began at the Closing and would end on the earlier of (i) the date that is 180 days after the Closing and (ii)(a) for 33% of the Lock-Up Shares (other than the Earnout Shares and the Private Placement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Debt</w:t>
      </w:r>
    </w:p>
    <w:p>
      <w:pPr>
        <w:spacing w:after="0" w:line="119"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On January 18, 2022, in connection with the execution of the Business Combination Agreement, the Company entered into the Promissory Notes. Through such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72" w:lineRule="exact"/>
        <w:rPr>
          <w:sz w:val="20"/>
          <w:szCs w:val="20"/>
          <w:color w:val="auto"/>
        </w:rPr>
      </w:pPr>
    </w:p>
    <w:p>
      <w:pPr>
        <w:ind w:right="460" w:firstLine="524"/>
        <w:spacing w:after="0" w:line="282" w:lineRule="auto"/>
        <w:rPr>
          <w:sz w:val="20"/>
          <w:szCs w:val="20"/>
          <w:color w:val="auto"/>
        </w:rPr>
      </w:pPr>
      <w:r>
        <w:rPr>
          <w:rFonts w:ascii="Times New Roman" w:cs="Times New Roman" w:eastAsia="Times New Roman" w:hAnsi="Times New Roman"/>
          <w:sz w:val="18"/>
          <w:szCs w:val="18"/>
          <w:color w:val="auto"/>
        </w:rPr>
        <w:t>Drawdowns on the Promissory Notes could be made in multiples of $10,000 unless otherwise agreed upon. Once an amount was drawn down under the Promissory Notes, it was no longer available for future drawdown requests even if prepaid.</w:t>
      </w:r>
    </w:p>
    <w:p>
      <w:pPr>
        <w:spacing w:after="0" w:line="54"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borrowed $35,000,000 under the Promissory Notes. During the year ended December 31, 2022, the Company recognized interest expense of $207,000, respectively related to the Promissory Notes. The amounts due under the Promissory Notes were paid, and the Promissory Notes were effectively terminated upon Closing as described in Note 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335" w:lineRule="exact"/>
        <w:rPr>
          <w:sz w:val="20"/>
          <w:szCs w:val="20"/>
          <w:color w:val="auto"/>
        </w:rPr>
      </w:pPr>
    </w:p>
    <w:p>
      <w:pPr>
        <w:ind w:right="80" w:firstLine="524"/>
        <w:spacing w:after="0" w:line="268" w:lineRule="auto"/>
        <w:rPr>
          <w:sz w:val="20"/>
          <w:szCs w:val="20"/>
          <w:color w:val="auto"/>
        </w:rPr>
      </w:pPr>
      <w:r>
        <w:rPr>
          <w:rFonts w:ascii="Times New Roman" w:cs="Times New Roman" w:eastAsia="Times New Roman" w:hAnsi="Times New Roman"/>
          <w:sz w:val="17"/>
          <w:szCs w:val="17"/>
          <w:color w:val="auto"/>
        </w:rPr>
        <w:t>On January 1, 2020, ProKidney-KY (formerly known as inRegen) entered into a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Under the agreement, Nefro receives $25,000 per quarter and is reimbursed for any out-of-pocket expenses incurred in connection with activities Nefro conducted under the agreement. ProKidney-KY has paid Nefro an aggregate of $100,000 for each of the years ended December 31, 2023, 2022 and 2021. The initial term of the consulting services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ind w:right="60"/>
        <w:spacing w:after="0" w:line="255" w:lineRule="auto"/>
        <w:rPr>
          <w:sz w:val="20"/>
          <w:szCs w:val="20"/>
          <w:color w:val="auto"/>
        </w:rPr>
      </w:pPr>
      <w:r>
        <w:rPr>
          <w:rFonts w:ascii="Times New Roman" w:cs="Times New Roman" w:eastAsia="Times New Roman" w:hAnsi="Times New Roman"/>
          <w:sz w:val="18"/>
          <w:szCs w:val="18"/>
          <w:color w:val="auto"/>
        </w:rPr>
        <w:t>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jc w:val="both"/>
        <w:ind w:right="40" w:firstLine="524"/>
        <w:spacing w:after="0" w:line="257"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w:t>
      </w:r>
    </w:p>
    <w:p>
      <w:pPr>
        <w:spacing w:after="0" w:line="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Under the agreement, Nefro receives $25,000 per quarter and is reimbursed for any out-of-pocket expenses incurred in connection with activities Nefro conducted under the agreement. ProKidney-US has paid Nefro an aggregate of $100,000 for each of the years ended December 31, 2023, 2022 and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w:t>
      </w:r>
    </w:p>
    <w:p>
      <w:pPr>
        <w:spacing w:after="0" w:line="1" w:lineRule="exact"/>
        <w:rPr>
          <w:sz w:val="20"/>
          <w:szCs w:val="20"/>
          <w:color w:val="auto"/>
        </w:rPr>
      </w:pPr>
    </w:p>
    <w:p>
      <w:pPr>
        <w:ind w:right="100" w:firstLine="8"/>
        <w:spacing w:after="0" w:line="253" w:lineRule="auto"/>
        <w:tabs>
          <w:tab w:leader="none" w:pos="3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73.8%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1"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December 31, 2023, the redeemable noncontrolling interest was recorded based on its initial fair value plus accumulated losses associated with the noncontrolling interest as this amount was higher than the redemption value as of the balance sheet date which was approximately $336,145,000.</w:t>
      </w:r>
    </w:p>
    <w:p>
      <w:pPr>
        <w:spacing w:after="0" w:line="72" w:lineRule="exact"/>
        <w:rPr>
          <w:sz w:val="20"/>
          <w:szCs w:val="20"/>
          <w:color w:val="auto"/>
        </w:rPr>
      </w:pPr>
    </w:p>
    <w:p>
      <w:pPr>
        <w:ind w:right="46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6" w:name="page137"/>
    <w:bookmarkEnd w:id="136"/>
    <w:tbl>
      <w:tblPr>
        <w:tblLayout w:type="fixed"/>
        <w:tblInd w:w="3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Period from July</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80" w:type="dxa"/>
            <w:vAlign w:val="bottom"/>
          </w:tcPr>
          <w:p>
            <w:pPr>
              <w:spacing w:after="0"/>
              <w:rPr>
                <w:sz w:val="18"/>
                <w:szCs w:val="18"/>
                <w:color w:val="auto"/>
              </w:rPr>
            </w:pP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 2022 through</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(35,468 )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(14,400 )</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accumulated deficit for impact of</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 capital for exchange</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Common Units in ProKidney LP for Class A ordinary shares</w:t>
            </w:r>
          </w:p>
        </w:tc>
        <w:tc>
          <w:tcPr>
            <w:tcW w:w="18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(9,500 )</w:t>
            </w:r>
          </w:p>
        </w:tc>
        <w:tc>
          <w:tcPr>
            <w:tcW w:w="1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 capital for vesting of</w:t>
            </w:r>
          </w:p>
        </w:tc>
        <w:tc>
          <w:tcPr>
            <w:tcW w:w="180" w:type="dxa"/>
            <w:vAlign w:val="bottom"/>
          </w:tcPr>
          <w:p>
            <w:pPr>
              <w:spacing w:after="0"/>
              <w:rPr>
                <w:sz w:val="18"/>
                <w:szCs w:val="18"/>
                <w:color w:val="auto"/>
              </w:rPr>
            </w:pPr>
          </w:p>
        </w:tc>
        <w:tc>
          <w:tcPr>
            <w:tcW w:w="2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(4,795 )</w:t>
            </w:r>
          </w:p>
        </w:tc>
        <w:tc>
          <w:tcPr>
            <w:tcW w:w="180" w:type="dxa"/>
            <w:vAlign w:val="bottom"/>
          </w:tcPr>
          <w:p>
            <w:pPr>
              <w:spacing w:after="0"/>
              <w:rPr>
                <w:sz w:val="18"/>
                <w:szCs w:val="18"/>
                <w:color w:val="auto"/>
              </w:rPr>
            </w:pPr>
          </w:p>
        </w:tc>
        <w:tc>
          <w:tcPr>
            <w:tcW w:w="1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4"/>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Common Units in ProKidney LP</w:t>
            </w:r>
          </w:p>
        </w:tc>
        <w:tc>
          <w:tcPr>
            <w:tcW w:w="18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from net loss available to Class A ordinary shareholders and change</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(42,758 )</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(8,571 )</w:t>
            </w:r>
          </w:p>
        </w:tc>
        <w:tc>
          <w:tcPr>
            <w:tcW w:w="0" w:type="dxa"/>
            <w:vAlign w:val="bottom"/>
          </w:tcPr>
          <w:p>
            <w:pPr>
              <w:spacing w:after="0"/>
              <w:rPr>
                <w:sz w:val="1"/>
                <w:szCs w:val="1"/>
                <w:color w:val="auto"/>
              </w:rPr>
            </w:pPr>
          </w:p>
        </w:tc>
      </w:tr>
      <w:tr>
        <w:trPr>
          <w:trHeight w:val="227"/>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ownership interest in ProKidney LP</w:t>
            </w:r>
          </w:p>
        </w:tc>
        <w:tc>
          <w:tcPr>
            <w:tcW w:w="180" w:type="dxa"/>
            <w:vAlign w:val="bottom"/>
            <w:vMerge w:val="continue"/>
            <w:shd w:val="clear" w:color="auto" w:fill="CFF0FC"/>
          </w:tcPr>
          <w:p>
            <w:pPr>
              <w:spacing w:after="0"/>
              <w:rPr>
                <w:sz w:val="19"/>
                <w:szCs w:val="19"/>
                <w:color w:val="auto"/>
              </w:rPr>
            </w:pPr>
          </w:p>
        </w:tc>
        <w:tc>
          <w:tcPr>
            <w:tcW w:w="21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9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21" w:lineRule="exact"/>
        <w:rPr>
          <w:sz w:val="20"/>
          <w:szCs w:val="20"/>
          <w:color w:val="auto"/>
        </w:rPr>
      </w:pPr>
    </w:p>
    <w:p>
      <w:pPr>
        <w:jc w:val="both"/>
        <w:ind w:right="80" w:firstLine="524"/>
        <w:spacing w:after="0" w:line="282" w:lineRule="auto"/>
        <w:rPr>
          <w:sz w:val="20"/>
          <w:szCs w:val="20"/>
          <w:color w:val="auto"/>
        </w:rPr>
      </w:pPr>
      <w:r>
        <w:rPr>
          <w:rFonts w:ascii="Times New Roman" w:cs="Times New Roman" w:eastAsia="Times New Roman" w:hAnsi="Times New Roman"/>
          <w:sz w:val="18"/>
          <w:szCs w:val="18"/>
          <w:color w:val="auto"/>
        </w:rPr>
        <w:t>In conjunction with the Business Combination, 186,500,000 Class A Units and 27,100,937 Class B and B-1 Units of PKLP were converted into an aggregate of 170,723,961 Class B ordinary shares of the Company and 9,276,039 Restricted Stock Rights in the Company (the “Restricted Stock Rights”).</w:t>
      </w:r>
    </w:p>
    <w:p>
      <w:pPr>
        <w:spacing w:after="0" w:line="54" w:lineRule="exact"/>
        <w:rPr>
          <w:sz w:val="20"/>
          <w:szCs w:val="20"/>
          <w:color w:val="auto"/>
        </w:rPr>
      </w:pPr>
    </w:p>
    <w:p>
      <w:pPr>
        <w:jc w:val="both"/>
        <w:ind w:right="40" w:firstLine="524"/>
        <w:spacing w:after="0" w:line="266" w:lineRule="auto"/>
        <w:rPr>
          <w:sz w:val="20"/>
          <w:szCs w:val="20"/>
          <w:color w:val="auto"/>
        </w:rPr>
      </w:pPr>
      <w:r>
        <w:rPr>
          <w:rFonts w:ascii="Times New Roman" w:cs="Times New Roman" w:eastAsia="Times New Roman" w:hAnsi="Times New Roman"/>
          <w:sz w:val="18"/>
          <w:szCs w:val="18"/>
          <w:color w:val="auto"/>
        </w:rPr>
        <w:t>Subsequent to the Business Combination, the Company’s authorized share capital consists of 1,005,000,000 shares including (i) 500,000,000 Class A ordinary shares, par value $0.0001 per share, (ii) 500,000,000 Class B ordinary shares, par value $0.0001 per share and (iii) 5,000,000 preference shares, par value $0.0001 per share.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A Ordinary Shares</w:t>
      </w:r>
    </w:p>
    <w:p>
      <w:pPr>
        <w:spacing w:after="0" w:line="119" w:lineRule="exact"/>
        <w:rPr>
          <w:sz w:val="20"/>
          <w:szCs w:val="20"/>
          <w:color w:val="auto"/>
        </w:rPr>
      </w:pPr>
    </w:p>
    <w:p>
      <w:pPr>
        <w:ind w:right="60" w:firstLine="524"/>
        <w:spacing w:after="0" w:line="282" w:lineRule="auto"/>
        <w:rPr>
          <w:sz w:val="20"/>
          <w:szCs w:val="20"/>
          <w:color w:val="auto"/>
        </w:rPr>
      </w:pPr>
      <w:r>
        <w:rPr>
          <w:rFonts w:ascii="Times New Roman" w:cs="Times New Roman" w:eastAsia="Times New Roman" w:hAnsi="Times New Roman"/>
          <w:sz w:val="18"/>
          <w:szCs w:val="18"/>
          <w:color w:val="auto"/>
        </w:rPr>
        <w:t>Each holder of Class A ordinary shares is entitled to one vote for each Class A ordinary share held of record by such holder on all matters on which shareholders generally are entitled to vote.</w:t>
      </w:r>
    </w:p>
    <w:p>
      <w:pPr>
        <w:spacing w:after="0" w:line="54"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preference shares, the holders of Class A ordinary shares are entitled to receive ratably such dividends, if any, as may be declared from time to time by the Board out of funds legally available therefor. All dividends are subject to certain restrictions under Cayman Islands law, namely that we may only pay dividends out of profits or share premium account, and provided always that, in no circumstances may a dividend be paid if this would result in us being unable to pay our debts as they fall due in the ordinary course of business.</w:t>
      </w:r>
    </w:p>
    <w:p>
      <w:pPr>
        <w:spacing w:after="0" w:line="72" w:lineRule="exact"/>
        <w:rPr>
          <w:sz w:val="20"/>
          <w:szCs w:val="20"/>
          <w:color w:val="auto"/>
        </w:rPr>
      </w:pPr>
    </w:p>
    <w:p>
      <w:pPr>
        <w:jc w:val="both"/>
        <w:ind w:right="220" w:firstLine="524"/>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Company’s Class A ordinary shares are entitled to share ratably in all assets remaining after payment of our debts and other liabilities, subject to prior distribution rights of preference shares or any class or series of shares having a preference over the Company’s Class A ordinary shares, then outstanding, if 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B Ordinary Shares</w:t>
      </w:r>
    </w:p>
    <w:p>
      <w:pPr>
        <w:spacing w:after="0" w:line="119" w:lineRule="exact"/>
        <w:rPr>
          <w:sz w:val="20"/>
          <w:szCs w:val="20"/>
          <w:color w:val="auto"/>
        </w:rPr>
      </w:pPr>
    </w:p>
    <w:p>
      <w:pPr>
        <w:jc w:val="both"/>
        <w:ind w:right="240" w:firstLine="524"/>
        <w:spacing w:after="0" w:line="266" w:lineRule="auto"/>
        <w:rPr>
          <w:sz w:val="20"/>
          <w:szCs w:val="20"/>
          <w:color w:val="auto"/>
        </w:rPr>
      </w:pPr>
      <w:r>
        <w:rPr>
          <w:rFonts w:ascii="Times New Roman" w:cs="Times New Roman" w:eastAsia="Times New Roman" w:hAnsi="Times New Roman"/>
          <w:sz w:val="18"/>
          <w:szCs w:val="18"/>
          <w:color w:val="auto"/>
        </w:rPr>
        <w:t>Each holder of the Company’s Class B ordinary shares is entitled to one vote for each Class B ordinary share held of record by such holder on all matters on which shareholders generally are entitled to vote. The holders of the Company’s Class B ordinary shares will not participate in any dividends declared by our board of directors.</w:t>
      </w:r>
    </w:p>
    <w:p>
      <w:pPr>
        <w:spacing w:after="0" w:line="68"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B ordinary shares are entitled to a ratable amount equal to the capital paid up on such Class B ordinary shares of all assets remaining after payment of our debts and other liabilities, subject to prior distribution rights of preference shares or any class or series of shares having a preference over the Company’s Class B ordinary shares, then outstanding, if any. The Company’s Class B ordinary shares shall not carry any other right to participate in our profits or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jc w:val="both"/>
        <w:ind w:right="100" w:firstLine="524"/>
        <w:spacing w:after="0" w:line="257" w:lineRule="auto"/>
        <w:rPr>
          <w:sz w:val="20"/>
          <w:szCs w:val="20"/>
          <w:color w:val="auto"/>
        </w:rPr>
      </w:pPr>
      <w:r>
        <w:rPr>
          <w:rFonts w:ascii="Times New Roman" w:cs="Times New Roman" w:eastAsia="Times New Roman" w:hAnsi="Times New Roman"/>
          <w:sz w:val="18"/>
          <w:szCs w:val="18"/>
          <w:color w:val="auto"/>
        </w:rPr>
        <w:t>At the closing of the Business Combination, certain shareholders were issued an aggregate of 17,500,000 Earnout Rights. The Earnout Rights vest in three equal tranches if, during the five-year period after Closing, the VWAP of a Class A ordinary share reaches $15.00 per share, $20.00 per share and $25.00 per share. Likewise, the Earnout Rights will vest upon a change of control 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37" w:name="page138"/>
    <w:bookmarkEnd w:id="137"/>
    <w:p>
      <w:pPr>
        <w:ind w:right="160"/>
        <w:spacing w:after="0" w:line="282" w:lineRule="auto"/>
        <w:rPr>
          <w:sz w:val="20"/>
          <w:szCs w:val="20"/>
          <w:color w:val="auto"/>
        </w:rPr>
      </w:pPr>
      <w:r>
        <w:rPr>
          <w:rFonts w:ascii="Times New Roman" w:cs="Times New Roman" w:eastAsia="Times New Roman" w:hAnsi="Times New Roman"/>
          <w:sz w:val="18"/>
          <w:szCs w:val="18"/>
          <w:color w:val="auto"/>
        </w:rPr>
        <w:t>a per share price exceeding those same VWAP thresholds within a five-year period immediately following the Closing. Upon vesting, the Earnout Rights will automatically convert into Post-Combination ProKidney Common Units and Class B ordinary shares.</w:t>
      </w:r>
    </w:p>
    <w:p>
      <w:pPr>
        <w:spacing w:after="0" w:line="54"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The issuance of the Earnout Rights was accounted for as an equity transaction. Since the Earnout Rights were issued to Closing ProKidney Unitholders (i.e., the accounting acquirer in the business combination), the accounting for the Earnout Rights arrangement does not fall under Accounting Standards Codification (“ASC”) Topic 805, Business Combinations nor Topic 718, Stock Compensation.</w:t>
      </w:r>
    </w:p>
    <w:p>
      <w:pPr>
        <w:spacing w:after="0" w:line="68" w:lineRule="exact"/>
        <w:rPr>
          <w:sz w:val="20"/>
          <w:szCs w:val="20"/>
          <w:color w:val="auto"/>
        </w:rPr>
      </w:pPr>
    </w:p>
    <w:p>
      <w:pPr>
        <w:ind w:right="240" w:firstLine="524"/>
        <w:spacing w:after="0" w:line="258" w:lineRule="auto"/>
        <w:rPr>
          <w:sz w:val="20"/>
          <w:szCs w:val="20"/>
          <w:color w:val="auto"/>
        </w:rPr>
      </w:pPr>
      <w:r>
        <w:rPr>
          <w:rFonts w:ascii="Times New Roman" w:cs="Times New Roman" w:eastAsia="Times New Roman" w:hAnsi="Times New Roman"/>
          <w:sz w:val="18"/>
          <w:szCs w:val="18"/>
          <w:color w:val="auto"/>
        </w:rPr>
        <w:t>The accounting for the Earnout Rights was also evaluated under ASC Topic 480, Distinguishing Liabilities from Equity, to determine if the arrangement should be classified as a liability. Based on that analysis, it was determined that the Earnout Rights did not meet the criteria to be accounted for as a liability. Additionally, the Earnout Rights were evaluated under ASC Topic 815, Derivatives. As part of that analysis, it was determined that the Earnout Rights met the definition of a derivative; however, they meet the scope exception criteria as they were clearly and closely related to the entity’s own stock, and met the criteria for equity treatment.</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72"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year ended December 31, 2022, as presented on the consolidated statements of operations, represents only the period after the Business Combination to December 31, 2022.</w:t>
      </w:r>
    </w:p>
    <w:p>
      <w:pPr>
        <w:spacing w:after="0" w:line="75"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 ended December 31, 2023 and the period from July 11, 2022 through December 31, 2022 (in thousands, except share and per share amounts):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from July 11,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2022 through</w:t>
            </w: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(135,447 )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(54,503 )</w:t>
            </w: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(99,979 )</w:t>
            </w: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(40,103 )</w:t>
            </w:r>
          </w:p>
        </w:tc>
        <w:tc>
          <w:tcPr>
            <w:tcW w:w="0" w:type="dxa"/>
            <w:vAlign w:val="bottom"/>
          </w:tcPr>
          <w:p>
            <w:pPr>
              <w:spacing w:after="0"/>
              <w:rPr>
                <w:sz w:val="1"/>
                <w:szCs w:val="1"/>
                <w:color w:val="auto"/>
              </w:rPr>
            </w:pPr>
          </w:p>
        </w:tc>
      </w:tr>
      <w:tr>
        <w:trPr>
          <w:trHeight w:val="20"/>
        </w:trPr>
        <w:tc>
          <w:tcPr>
            <w:tcW w:w="6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 of ProKidney Corp.,</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(35,468 )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(14,400 )</w:t>
            </w:r>
          </w:p>
        </w:tc>
        <w:tc>
          <w:tcPr>
            <w:tcW w:w="0" w:type="dxa"/>
            <w:vAlign w:val="bottom"/>
          </w:tcPr>
          <w:p>
            <w:pPr>
              <w:spacing w:after="0"/>
              <w:rPr>
                <w:sz w:val="1"/>
                <w:szCs w:val="1"/>
                <w:color w:val="auto"/>
              </w:rPr>
            </w:pPr>
          </w:p>
        </w:tc>
      </w:tr>
      <w:tr>
        <w:trPr>
          <w:trHeight w:val="234"/>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or ProKidney Corp. outstanding,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Class A Unit</w:t>
            </w: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Class A ordinary share of ProKidney Corp.,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(0.57 )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-1396365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-1396365</wp:posOffset>
            </wp:positionV>
            <wp:extent cx="596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2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48"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sectPr>
          <w:pgSz w:w="11900" w:h="16838" w:orient="portrait"/>
          <w:cols w:equalWidth="0" w:num="2">
            <w:col w:w="8820" w:space="420"/>
            <w:col w:w="2000"/>
          </w:cols>
          <w:pgMar w:left="320" w:top="1093" w:right="339" w:bottom="1440" w:gutter="0" w:footer="0" w:header="0"/>
          <w:type w:val="continuous"/>
        </w:sectPr>
      </w:pPr>
    </w:p>
    <w:tbl>
      <w:tblPr>
        <w:tblLayout w:type="fixed"/>
        <w:tblInd w:w="340" w:type="dxa"/>
        <w:tblCellMar>
          <w:top w:w="0" w:type="dxa"/>
          <w:left w:w="0" w:type="dxa"/>
          <w:bottom w:w="0" w:type="dxa"/>
          <w:right w:w="0" w:type="dxa"/>
        </w:tblCellMar>
      </w:tblPr>
      <w:tr>
        <w:trPr>
          <w:trHeight w:val="250"/>
        </w:trPr>
        <w:tc>
          <w:tcPr>
            <w:tcW w:w="6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168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r>
      <w:tr>
        <w:trPr>
          <w:trHeight w:val="23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168,297,916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171,578,320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8,369,796</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Legacy SCS Restricted Share Units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1"/>
                <w:szCs w:val="21"/>
                <w:color w:val="auto"/>
              </w:rPr>
            </w:pPr>
          </w:p>
        </w:tc>
      </w:tr>
      <w:tr>
        <w:trPr>
          <w:trHeight w:val="234"/>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9,504,715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Based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December 31, 2023, there were 35,809,951 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81" w:lineRule="exact"/>
        <w:rPr>
          <w:sz w:val="20"/>
          <w:szCs w:val="20"/>
          <w:color w:val="auto"/>
        </w:rPr>
      </w:pPr>
    </w:p>
    <w:p>
      <w:pPr>
        <w:ind w:right="100"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Awards</w:t>
      </w:r>
    </w:p>
    <w:p>
      <w:pPr>
        <w:spacing w:after="0" w:line="12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60" w:type="dxa"/>
            <w:vAlign w:val="bottom"/>
          </w:tcPr>
          <w:p>
            <w:pPr>
              <w:spacing w:after="0"/>
              <w:rPr>
                <w:sz w:val="20"/>
                <w:szCs w:val="20"/>
                <w:color w:val="auto"/>
              </w:rPr>
            </w:pPr>
          </w:p>
        </w:tc>
      </w:tr>
      <w:tr>
        <w:trPr>
          <w:trHeight w:val="250"/>
        </w:trPr>
        <w:tc>
          <w:tcPr>
            <w:tcW w:w="470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- 85.0%</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6" w:lineRule="exact"/>
        <w:rPr>
          <w:sz w:val="20"/>
          <w:szCs w:val="20"/>
          <w:color w:val="auto"/>
        </w:rPr>
      </w:pPr>
    </w:p>
    <w:p>
      <w:pPr>
        <w:ind w:right="34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year ended December 31, 2023:</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2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January 1, 2023</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5,865,108</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12,487,143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(3,672,142 )</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21"/>
                <w:szCs w:val="21"/>
                <w:color w:val="auto"/>
              </w:rPr>
            </w:pPr>
          </w:p>
        </w:tc>
      </w:tr>
      <w:tr>
        <w:trPr>
          <w:trHeight w:val="236"/>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December 31, 2023</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exercisable at December 31, 2023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2,486,766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FF0FC"/>
          </w:tcPr>
          <w:p>
            <w:pPr>
              <w:spacing w:after="0"/>
              <w:rPr>
                <w:sz w:val="19"/>
                <w:szCs w:val="19"/>
                <w:color w:val="auto"/>
              </w:rPr>
            </w:pPr>
          </w:p>
        </w:tc>
      </w:tr>
      <w:tr>
        <w:trPr>
          <w:trHeight w:val="23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 years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vested and expected to vest at December 31, 2023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1"/>
                <w:szCs w:val="21"/>
                <w:color w:val="auto"/>
              </w:rPr>
            </w:pPr>
          </w:p>
        </w:tc>
      </w:tr>
      <w:tr>
        <w:trPr>
          <w:trHeight w:val="234"/>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 years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-799465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-799465</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$23,643,000 of compensation expense related to time-vested awards under the 2022 Plan. As of December 31, 2023, the Company had total unrecognized stock-based compensation expense of approximately $55,755,000 related to the time-vested grants under the 2022 Plan, which is expected to be recognized on a straight-line basis over a weighted average period of 3.2 years. The weighted average grant date fair value for the option grants during the year ended December 31, 2023 was $5.14.</w:t>
      </w:r>
    </w:p>
    <w:p>
      <w:pPr>
        <w:spacing w:after="0" w:line="72"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as of December 31, 2023 was $640,000. The aggregate intrinsic value of the in-the-money time-vested awards exercisable as of December 31, 2023 was a de minimis amount.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Market-Vested Awards</w:t>
      </w:r>
    </w:p>
    <w:p>
      <w:pPr>
        <w:spacing w:after="0" w:line="121" w:lineRule="exact"/>
        <w:rPr>
          <w:sz w:val="20"/>
          <w:szCs w:val="20"/>
          <w:color w:val="auto"/>
        </w:rPr>
      </w:pPr>
    </w:p>
    <w:p>
      <w:pPr>
        <w:jc w:val="both"/>
        <w:ind w:right="60" w:firstLine="524"/>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2022, the Company also granted to its prior Chief Executive Officer 3,639,607 options with an exercise price of $10.33. This grant contains both time and market based vesting conditions. The market conditions become satisfied in equal one-third tranches upon the Company's Class A ordinary shares exceeding a volume weighted average price hurdle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39" w:name="page140"/>
    <w:bookmarkEnd w:id="139"/>
    <w:p>
      <w:pPr>
        <w:spacing w:after="0" w:line="261" w:lineRule="auto"/>
        <w:rPr>
          <w:sz w:val="20"/>
          <w:szCs w:val="20"/>
          <w:color w:val="auto"/>
        </w:rPr>
      </w:pPr>
      <w:r>
        <w:rPr>
          <w:rFonts w:ascii="Times New Roman" w:cs="Times New Roman" w:eastAsia="Times New Roman" w:hAnsi="Times New Roman"/>
          <w:sz w:val="18"/>
          <w:szCs w:val="18"/>
          <w:color w:val="auto"/>
        </w:rPr>
        <w:t>of $15.00, $20.00 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 The model used the following inputs: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00" w:type="dxa"/>
            <w:vAlign w:val="bottom"/>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96%</w:t>
            </w: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Suboptimal exercise multiple</w:t>
            </w:r>
          </w:p>
        </w:tc>
        <w:tc>
          <w:tcPr>
            <w:tcW w:w="530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2.80</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00" w:type="dxa"/>
            <w:vAlign w:val="bottom"/>
            <w:shd w:val="clear" w:color="auto" w:fill="CFF0FC"/>
          </w:tcPr>
          <w:p>
            <w:pPr>
              <w:jc w:val="center"/>
              <w:ind w:left="127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3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6"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Upon the termination of employment of the prior Chief Executive Officer in 2023, the compensation cost that had previously been recognized related to these awards was reversed. This resulted in the reversal of approximately $2,172,000 of total cost during the year ended December 31, 2023. The weighted average grant date fair value for the option grants during the year ended December 31, 2022 was $7.75. No such awards were granted during the year ended December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Profits Interests</w:t>
      </w:r>
    </w:p>
    <w:p>
      <w:pPr>
        <w:spacing w:after="0" w:line="119"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72" w:lineRule="exact"/>
        <w:rPr>
          <w:sz w:val="20"/>
          <w:szCs w:val="20"/>
          <w:color w:val="auto"/>
        </w:rPr>
      </w:pPr>
    </w:p>
    <w:p>
      <w:pPr>
        <w:ind w:right="60" w:firstLine="524"/>
        <w:spacing w:after="0" w:line="256" w:lineRule="auto"/>
        <w:rPr>
          <w:sz w:val="20"/>
          <w:szCs w:val="20"/>
          <w:color w:val="auto"/>
        </w:rPr>
      </w:pPr>
      <w:r>
        <w:rPr>
          <w:rFonts w:ascii="Times New Roman" w:cs="Times New Roman" w:eastAsia="Times New Roman" w:hAnsi="Times New Roman"/>
          <w:sz w:val="18"/>
          <w:szCs w:val="18"/>
          <w:color w:val="auto"/>
        </w:rPr>
        <w:t>Under the Limited Partnership Agreement, ProKidney GP Limited, the former general partner of PKLP (“Legacy GP”), determined the terms and conditions of the Profits Interests issued. The threshold value assigned to each grant was not to be less than the fair market value of PKLP on the date of grant.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9" w:lineRule="exact"/>
        <w:rPr>
          <w:sz w:val="20"/>
          <w:szCs w:val="20"/>
          <w:color w:val="auto"/>
        </w:rPr>
      </w:pPr>
    </w:p>
    <w:p>
      <w:pPr>
        <w:ind w:right="200" w:firstLine="524"/>
        <w:spacing w:after="0" w:line="258" w:lineRule="auto"/>
        <w:rPr>
          <w:sz w:val="20"/>
          <w:szCs w:val="20"/>
          <w:color w:val="auto"/>
        </w:rPr>
      </w:pPr>
      <w:r>
        <w:rPr>
          <w:rFonts w:ascii="Times New Roman" w:cs="Times New Roman" w:eastAsia="Times New Roman" w:hAnsi="Times New Roman"/>
          <w:sz w:val="18"/>
          <w:szCs w:val="18"/>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Profits Interest awards for the year ended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45"/>
        </w:trPr>
        <w:tc>
          <w:tcPr>
            <w:tcW w:w="7680" w:type="dxa"/>
            <w:vAlign w:val="bottom"/>
          </w:tcPr>
          <w:p>
            <w:pPr>
              <w:spacing w:after="0"/>
              <w:rPr>
                <w:sz w:val="21"/>
                <w:szCs w:val="21"/>
                <w:color w:val="auto"/>
              </w:rPr>
            </w:pPr>
          </w:p>
        </w:tc>
        <w:tc>
          <w:tcPr>
            <w:tcW w:w="1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1"/>
                <w:szCs w:val="21"/>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8,369,795</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(2,266,101 )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(2,537,941 )</w:t>
            </w: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24"/>
        <w:spacing w:after="0" w:line="257" w:lineRule="auto"/>
        <w:rPr>
          <w:sz w:val="20"/>
          <w:szCs w:val="20"/>
          <w:color w:val="auto"/>
        </w:rPr>
      </w:pPr>
      <w:r>
        <w:rPr>
          <w:rFonts w:ascii="Times New Roman" w:cs="Times New Roman" w:eastAsia="Times New Roman" w:hAnsi="Times New Roman"/>
          <w:sz w:val="18"/>
          <w:szCs w:val="18"/>
          <w:color w:val="auto"/>
        </w:rPr>
        <w:t>As of December 31, 2023, the unrecognized compensation expense related to these awards was $32,193,000. The current weighted average remaining period over which the unrecognized compensation expense is expected to be recognized is 1.9 years. The weighted average grant date fair value of the Profits Interests granted during the year ended December 31, 2022, was $7.43 per Class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B-1 unit, as adjusted for the effects of the recapitalization. There were no Profits Interests granted during the year ended December 31, 2023.</w:t>
      </w:r>
    </w:p>
    <w:p>
      <w:pPr>
        <w:spacing w:after="0" w:line="117"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unvested profits interests outstanding at December 31, 2023 was $6,347,000. The aggregate intrinsic value of profits interests vested during December 31, 2023 was $20,749,000. The aggregate intrinsic value of profits interests vested during the period from July 11, 2022 and December 31, 2022 was $6,984,000.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Profits Interest Awards</w:t>
      </w:r>
    </w:p>
    <w:p>
      <w:pPr>
        <w:spacing w:after="0" w:line="121"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72"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year ended December 31, 2022.</w:t>
      </w:r>
    </w:p>
    <w:p>
      <w:pPr>
        <w:spacing w:after="0" w:line="288"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Profits Interests to Service Provider</w:t>
      </w:r>
    </w:p>
    <w:p>
      <w:pPr>
        <w:spacing w:after="0" w:line="121"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2,253,033 fully vested Class B-1 Units in PKLP to a third-party service provider as payment for research and development services provided in prior periods. The Company had previously recognized expense of $2,502,000 for these services based on the liability related to the services incurred. As the fair value of shares issued to satisfy that obligation was higher than the amount previously expensed, the Company recognized additional research and development expense of $14,080,000 during the year ended December 31, 2022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Class B-1 Units in PKLP</w:t>
      </w:r>
    </w:p>
    <w:p>
      <w:pPr>
        <w:spacing w:after="0" w:line="121"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Certain of the Company’s employees, board members and service providers purchased 6,648,353 of Class B-1 Units in PKLP for total cash proceeds of $6,050,000, respectively, during the year ended December 31, 2022. Since these Class B-1 Units in PKLP were fully vested upon purchase and contained no service requirements, the Company immediately recognized the difference between the purchase price and the estimated fair value for these Class B-1 Units in PKLP of $34,254,000 as equity-based compensation expense during the year ended December 31, 2022. No such sales occurred during the years ended December 31, 2023 or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Estimate for Profits Interest</w:t>
      </w:r>
    </w:p>
    <w:p>
      <w:pPr>
        <w:spacing w:after="0" w:line="121"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also known as the Practice Aid.</w:t>
      </w:r>
    </w:p>
    <w:p>
      <w:pPr>
        <w:spacing w:after="0" w:line="72"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For the Profits Interest Awards granted during the year ended December 31,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p>
    <w:p>
      <w:pPr>
        <w:spacing w:after="0" w:line="72"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measurement is sensitive to changes in the unobservable inputs. Changes in those inputs might result in a higher or lower fair value measurement.</w:t>
      </w:r>
    </w:p>
    <w:p>
      <w:pPr>
        <w:spacing w:after="0" w:line="117" w:lineRule="exact"/>
        <w:rPr>
          <w:sz w:val="20"/>
          <w:szCs w:val="20"/>
          <w:color w:val="auto"/>
        </w:rPr>
      </w:pPr>
    </w:p>
    <w:p>
      <w:pPr>
        <w:ind w:right="160" w:firstLine="524"/>
        <w:spacing w:after="0" w:line="289" w:lineRule="auto"/>
        <w:rPr>
          <w:sz w:val="20"/>
          <w:szCs w:val="20"/>
          <w:color w:val="auto"/>
        </w:rPr>
      </w:pPr>
      <w:r>
        <w:rPr>
          <w:rFonts w:ascii="Times New Roman" w:cs="Times New Roman" w:eastAsia="Times New Roman" w:hAnsi="Times New Roman"/>
          <w:sz w:val="17"/>
          <w:szCs w:val="17"/>
          <w:color w:val="auto"/>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spacing w:after="0" w:line="50"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reflects the key assumptions used in each of the valuation scenarios: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OPM</w:t>
            </w:r>
          </w:p>
        </w:tc>
        <w:tc>
          <w:tcPr>
            <w:tcW w:w="260" w:type="dxa"/>
            <w:vAlign w:val="bottom"/>
          </w:tcPr>
          <w:p>
            <w:pPr>
              <w:spacing w:after="0"/>
              <w:rPr>
                <w:sz w:val="21"/>
                <w:szCs w:val="21"/>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PWERM</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equity value (in thousands)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$234,551 - $280,400</w:t>
            </w: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total equity</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for lack of market</w:t>
            </w: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00" w:type="dxa"/>
            <w:vAlign w:val="bottom"/>
            <w:shd w:val="clear" w:color="auto" w:fill="CFF0FC"/>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time to exit event</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 years - 3.7 years</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0.1 years - 0.5 years</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SCS Awards</w:t>
      </w:r>
    </w:p>
    <w:p>
      <w:pPr>
        <w:spacing w:after="0" w:line="119" w:lineRule="exact"/>
        <w:rPr>
          <w:sz w:val="20"/>
          <w:szCs w:val="20"/>
          <w:color w:val="auto"/>
        </w:rPr>
      </w:pPr>
    </w:p>
    <w:p>
      <w:pPr>
        <w:ind w:right="160" w:firstLine="524"/>
        <w:spacing w:after="0" w:line="261" w:lineRule="auto"/>
        <w:rPr>
          <w:sz w:val="20"/>
          <w:szCs w:val="20"/>
          <w:color w:val="auto"/>
        </w:rPr>
      </w:pPr>
      <w:r>
        <w:rPr>
          <w:rFonts w:ascii="Times New Roman" w:cs="Times New Roman" w:eastAsia="Times New Roman" w:hAnsi="Times New Roman"/>
          <w:sz w:val="18"/>
          <w:szCs w:val="18"/>
          <w:color w:val="auto"/>
        </w:rPr>
        <w:t>In 2021, SCS had agreed to grant 50,000 restricted stock units (“RSUs”) to certain of its board members and other advisors which were contingent upon the consummation of a Business Combination and a shareholder approved equity plan. The RSUs were to vest upon the consummation of such Business Combination and represent 50,000 Class A ordinary shares of the Company that will settle on a date determined in the sole discretion of the Company that shall occur between the vesting date and March 15th of the year following the year in which vesting occurs.</w:t>
      </w:r>
    </w:p>
    <w:p>
      <w:pPr>
        <w:spacing w:after="0" w:line="72"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8"/>
          <w:szCs w:val="18"/>
          <w:color w:val="auto"/>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Upon Closing, the performance conditions for these awards were met as both a Business Combination had occurred and the shareholders approved a qualifying equity plan. As such, the entire amount of share-based compensation expense related to these awards of $396,000 was recognized during the year ended December 31, 2022. The weighted average grant date fair value per share of these RSUs was $7.92.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right="4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share-based awards is included in research and development and general and administrative expense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7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50,758</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81"/>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8" w:lineRule="exact"/>
        <w:rPr>
          <w:sz w:val="20"/>
          <w:szCs w:val="20"/>
          <w:color w:val="auto"/>
        </w:rPr>
      </w:pPr>
    </w:p>
    <w:p>
      <w:pPr>
        <w:ind w:right="20" w:firstLine="52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as the sales agent, pursuant to which the Company may offer and sell, from time to time, through Jefferies, shares of its Class A ordinary shares, par value $0.0001 per share, having an aggregate offering price of up to $100.0 million by any method deemed to be an “at the market offering” as defined in Rule 415(a)(4) under the Securities Act (the “ATM Offering”). The shares are offered and sold pursuant to the Company’s shelf registration statement on Form S-3.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2" w:name="page143"/>
    <w:bookmarkEnd w:id="142"/>
    <w:p>
      <w:pPr>
        <w:ind w:firstLine="524"/>
        <w:spacing w:after="0" w:line="261" w:lineRule="auto"/>
        <w:rPr>
          <w:sz w:val="20"/>
          <w:szCs w:val="20"/>
          <w:color w:val="auto"/>
        </w:rPr>
      </w:pPr>
      <w:r>
        <w:rPr>
          <w:rFonts w:ascii="Times New Roman" w:cs="Times New Roman" w:eastAsia="Times New Roman" w:hAnsi="Times New Roman"/>
          <w:sz w:val="18"/>
          <w:szCs w:val="18"/>
          <w:color w:val="auto"/>
        </w:rPr>
        <w:t>In February 2024, the Company issued 1,740,983 Class A ordinary shares in exchange for 1,740,983 Class B ordinary shares and an equal number of Post-Combination ProKidney Common Units.</w:t>
      </w: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REGISTERED SECURITIES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ProKidney Corp. (the “Company,” “we,” “our,” or “us”) has one class of securities registered under Section 12 of the Securities Exchange Act of 1934, as amended: our Class A ordinary shares, par value $0.0001 per share (the “Class A Shares”). In addition, this Description of Registered Securities also contains a description of the Company’s Class B ordinary shares, par value $0.0001 per share (the “Class B Shares” and together with the Class A Shares, the “Ordinary Shares”), which are not registered pursuant to Section 12 of the Exchange Act but are exchangeable for Class A Shares. The description of the Class B Shares is necessary to understand the material terms of the Class A Shares. The following description of the material terms of our share capital includes a summary of certain provisions of our second amended and restated memorandum and articles of association (the “Articles”) and the Companies Act (As Revised) of the Cayman Islands as the same may be amended from time to time (the “Companies Act”). This description is qualified by reference to our Articles which are incorporated by reference as an exhibit to this annual report on Form 10-K (the “Report”). We encourage you to read our Articles and applicable provisions of the Companies Act carefully. Terms used herein but not defined have the meanings set forth in the Report.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our affairs are governed by the Articles, the Companies Act and the common law of the Cayman Islands. Pursuant to the Articles, we are authorized to issue 500,000,000 Class A Shares, 500,000,000 Class B Shares and 5,000,000 preference shares, par value of $0.0001 per share.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Defined terms used herein but not otherwise defined shall have the meaning ascribed to such terms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to be voted on by members. The Class A Shares and Class B Shares vote together as a single class on all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(the “Board”) is authorized to issue preference shares from time to time in one or more series without member approval, provided that the aggregate number of shares issued shall not exceed the total number of preference shares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preference shares from time to time adopted by the Board pursuant to authority so to do which is expressly vested in the Board. The powers, including voting powers, if any, preferences and relative, participating, optional and other special rights of each series of preference shares, and the qualifications, limitations or restrictions thereof, if any, may differ from those of any and all other series at any time outstanding. The effect of issuing preference shares could include, among other things, one or more of the following:</w:t>
      </w:r>
    </w:p>
    <w:p>
      <w:pPr>
        <w:spacing w:after="0" w:line="205" w:lineRule="exact"/>
        <w:rPr>
          <w:sz w:val="20"/>
          <w:szCs w:val="20"/>
          <w:color w:val="auto"/>
        </w:rPr>
      </w:pPr>
    </w:p>
    <w:p>
      <w:pPr>
        <w:ind w:left="580" w:hanging="181"/>
        <w:spacing w:after="0"/>
        <w:tabs>
          <w:tab w:leader="none" w:pos="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in respect of the Ordinary Shares;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80" w:right="3780" w:hanging="181"/>
        <w:spacing w:after="0" w:line="282" w:lineRule="auto"/>
        <w:tabs>
          <w:tab w:leader="none" w:pos="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Ordinary Shares or providing that holders of preference shares have the right to vote on matters as a class;</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Ordinary Shares; or</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of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no preference shares outstanding, and we have no present plans to designate the rights of or to issue any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with respect to the Class A Shares, the payment of cash dividends in the future, if any, will be at the discretion of the Board. With respect to the Class B Shares, such members will not participate in dividends declared by the Board,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Articles, if the share capital is divided into more than one class of shares, the rights attached to any such class may, whether or not the Company is being wound up, be varied without the consent of the holders of the issued shares of that class where such variation is considered by the directors not to have an adverse effect upon such rights; otherwise, any such variation shall be made only with the consent in writing of the holders of not less than three fourths of the issued Ordinary Shares of that class, or with the approval of a resolution passed by a majority of not less than three fourths of the issued Ordinary Shares of that class at a separate meeting of the holders of the Ordinary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holders of our Class A Shares have no preemptive or conversion rights or other subscription rights (other than in connection with certain issuances of common units under the Second Amended and Restated ProKidney Limited Partnership Agreement). There are no redemption or sinking fund provisions applicable to our Class A Shares. The rights, preferences and privileges of holders of our Class A Shares will be subject to those of the holders of any preference shares we may issue in the future.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holders of our Class B Shares do not have preemptive, subscription, redemption or conversion rights. There will be no redemption or sinking fund provisions applicable to our Class B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member may transfer all or any of the member’s Ordinary Shares in compliance with the rules and regulations of Nasdaq, the SEC and any other competent regulatory authority or as permitted by applicable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in its absolute discretion decline to register a transfer of Ordinary Shares which are not fully paid up or on which the Company has a lien or issued under any share incentive scheme for employees upon which a transfer restriction imposed still exists. The Board may, but is not required to, decline to register a transfer of any Ordinary Shares unless certain requirements are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attempted transfer that is not a permitted transfer as described above will be null and void.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50"/>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 Company, ratably in proportion to the number of Class A Shares held by them. Holders of Class B Shares shall be entitled,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 and Limitation of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committing a crime. The Articles permit indemnification of officers and directors for any liability, action, proceeding, claim, demand, costs damages or expenses, including legal expenses, incurred in their capacities as such unless such liability (if any) arises from actual fraud, willful neglect or willful default, as determined by a court of competent jurisdiction in a final non-appealable order. In addition, we have entered into indemnification agreements with our directors and senior executive officers that provide such persons with additional indemnification beyond that provided in the Articles.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in the Articles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may be deemed to have an anti-takeover effect and may delay, deter or prevent a tender offer or takeover attempt that a member might consider to be in its best interests, including attempts that might result in a premium being paid over the market price for the Ordinary Shares. These provisions are also designed, in part, to encourage persons seeking to acquire control of us to first negotiate with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Ordinary Shares will be available for future issuance by the Board on such terms as the Board may determine, subject to any limitations in the Articles. These additional shares may be utilized for a variety of corporate purposes, including future public offerings to raise additional capital, corporate acquisitions and employee benefit plans. The existence of authorized but unissued Ordinary Shares could render more difficult or discourage an attempt to obtain control over us by means of a proxy contest, tender offer, merger, amalgamation, scheme of arrangement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Preference shares could be issued quickly with terms calculated to delay or prevent a change in control of the Company or make removal of management more difficult. If the Board decides to issue these preference shares, the price of Ordinary Shares may fall and the voting and other rights of the holders of Ordinary Shares may be materially adversely affected. Pursuant to the Articles, preference shares may be issued by us from time to time, and the Board is authorized (without any requirement for further member action) to determine the rights, preferences, powers, qualifications, limitations and restrictions attaching to those shares (and any further undesignated shares which may be authorized by our members).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the Articles for a proper purpose and for what they believe in good faith to be in the best interests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nine directors. The Articles provide that, subject to the right of holders of any series of preference shares, our Board is divided into three classes of directors, as nearly equal in number as possible, and with the directors serving staggered three-year terms, with only one class of directors being elected at each annual general meeting. As a result, one-third of the Board will be elected each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classification of directors has the effect of making it more difficult for members to change the composition of the Board. The Articles provide for a board comprised of not less than one director, but in accordance with the Articles, the directors may increase or reduce the upper and lower limits of the number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Unanimous Action by Written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provide that members may approve corporate matters by way of a special resolution signed by or on behalf of each member who would have been entitled to vote on such matter at a general meeting without a meeting being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Cayman Islands law, the Articles may be amended by ordinary or special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Proposals and Director Nominations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general meeting may be called by the board of directors or any other person authorized to do so in the governing documents, but members may be precluded from calling special meetings.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members with rights to requisition a general meeting and does not provide members with any right to put any proposal before a general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Articles provide that members seeking to bring business before an annual general meeting or to nominate candidates for appointment as directors at the annual general meeting must deliver notice to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is set by the Board with such deadline being a reasonable time before the Company begins to print and send its related proxy materials.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members with rights to requisition a general meeting. The Articles permit the Board, the chief executive officer or the chairperson of the Board to call general meetings. The Articles do not allow members to requisition a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Cumulative voting potentially facilitates the representation of minority members on a board of directors since it permits the minority member to cast all the votes to which the member is entitled on a single director, which increases the member’s voting power with respect to electing such director. As permitted under Cayman Islands law, the Articles do not provide for cumulative 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Members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Cayman Islands law has no statute that prohibits certain business combinations with an interested member. However, although Cayman Islands law does not regulate transactions between a company and its significant members, it does provide that such transactions must be entered into bona fide in the best interests of the company and for a proper corporate purpose and not with the effect of constituting a fraud on the minority members. Any merger or consolidation of the Company with one (1) or more constituent companies shall require the approval of a special resolution (66⅔% of members at a general meeting where there is a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Dissolution; Winding 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(simple majority standard) of its members. The court has authority to order winding up in a number of specified circumstances including where it is, in the opinion of the court, just and equitable to do so.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Articles, if the Company is wound up, the liquidator may distribute the assets available for distribution amongst the members in proportion to the par value of the Ordinary Shares held by them at the commencement of the winding up subject to a deduction from those Ordinary Shares in respect of which there are monies due, of all monies payable to the Company for unpaid calls or otherwise. On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Company, ratably in proportion to the number of Class A Shares held by them. Holders of Class B Shares shall be entitled,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Non-Resident or Foreign Members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the Articles on the rights of non-resident or foreign members to hold or exercise voting rights on the Company’s shares. In addition, there are no provisions in the Articles governing the ownership threshold above which member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Power to Issue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applicable law, the Board is empowered to issue or allot shares or grant options and warrants with or without preferred, deferred, or other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shares have no general right under Cayman Islands law to inspect or obtain copies of the Company’s register of members or the Company’s corporate records.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Certain Corporate Opportunities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Articles provide for a waiver of the obligation by the independent directors to provide business opportunities to the Company. Notwithstanding the foregoing, such provision in the Articles does not apply to any potential transaction or matter that may be a corporate opportunity for the Company or any of its subsidiaries presented to an independent director expressly in his or her capacity as a director of the Company or any of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is divided into three (3) classes designated as Class I, Class II and Class III, respectively with directors divided into thirds among the classes. Subject to the Business Combination Agreement, directors are assigned to each class by the Board. At our 2023 annual general meeting, the term of office of the Class I directors shall expire and Class I directors shall be elected for a full term of three (3) years. At our 2024 annual general meeting, the term of office of the Class II directors shall expire and Class II directors shall be elected for a full term of three (3) years. At our 2025 annual general meeting, the term of office of the Class III directors shall expire and Class III directors shall be elected for a full term of three (3) years. At each succeeding annual general meeting, directors shall be elected for a full term of three (3) years to succeed the directors of the class whose terms expire at such annual general meeting. Directors hold office until the expiration of the director’s term, until a director’s successor has been duly elected and qualified or until such director’s earlier death, resignation or removal.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elected by ordinary resolution passed by a simple majority of members entitled to vote.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director may in writing appoint another person to be such director’s alternate, with the alternate having the authority to act in the director’s place at any meeting at which the appointing director is unable to be present. A director may, but is not required to, appoint another director to be an alternate.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Articles, a director may be removed from office by special resolution of the Company. A director will also cease to be a director if he or she (i) becomes bankrupt or makes any arrangement or composition with such director’s creditors; (ii) is found to be or becomes of unsound mind; (iii) resigns the office of director by notice in writing to the company; (iv) absents himself or herself (for the avoidance of doubt, without being represented by an alternate) from three (3) consecutive meetings of the Board without special leave of absence from the Board, and the Board passes a resolution that he or she has by reason of such absence vacated office; or (v) all of the other directors (being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48" w:name="page149"/>
    <w:bookmarkEnd w:id="148"/>
    <w:p>
      <w:pPr>
        <w:spacing w:after="0" w:line="282" w:lineRule="auto"/>
        <w:rPr>
          <w:sz w:val="20"/>
          <w:szCs w:val="20"/>
          <w:color w:val="auto"/>
        </w:rPr>
      </w:pPr>
      <w:r>
        <w:rPr>
          <w:rFonts w:ascii="Times New Roman" w:cs="Times New Roman" w:eastAsia="Times New Roman" w:hAnsi="Times New Roman"/>
          <w:sz w:val="18"/>
          <w:szCs w:val="18"/>
          <w:color w:val="auto"/>
        </w:rPr>
        <w:t>than two in number) determine that such director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Filling Vacancies on the Board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Vacancies on the Board may be filled by the majority of the directors then in office, even if less than a quorum, or by a sole remaining director (subject to the Companies Act, applicable law, or any rights of any preference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director appointed to fill a vacancy resulting from the death, resignation or removal of a director serves the remainder of the full term of the director whose death, resignation or removal created the vacancy and until his or her successor shall have been appointed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39" w:lineRule="exact"/>
        <w:rPr>
          <w:sz w:val="20"/>
          <w:szCs w:val="20"/>
          <w:color w:val="auto"/>
        </w:rPr>
      </w:pPr>
    </w:p>
    <w:p>
      <w:pPr>
        <w:ind w:left="580" w:right="4940" w:hanging="181"/>
        <w:spacing w:after="0" w:line="282" w:lineRule="auto"/>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88" w:lineRule="exact"/>
        <w:rPr>
          <w:rFonts w:ascii="Times New Roman" w:cs="Times New Roman" w:eastAsia="Times New Roman" w:hAnsi="Times New Roman"/>
          <w:sz w:val="18"/>
          <w:szCs w:val="18"/>
          <w:color w:val="auto"/>
        </w:rPr>
      </w:pPr>
    </w:p>
    <w:p>
      <w:pPr>
        <w:ind w:left="580" w:right="4880" w:hanging="181"/>
        <w:spacing w:after="0" w:line="282" w:lineRule="auto"/>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88"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52"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members;</w:t>
      </w:r>
    </w:p>
    <w:p>
      <w:pPr>
        <w:spacing w:after="0" w:line="252" w:lineRule="exact"/>
        <w:rPr>
          <w:rFonts w:ascii="Times New Roman" w:cs="Times New Roman" w:eastAsia="Times New Roman" w:hAnsi="Times New Roman"/>
          <w:sz w:val="18"/>
          <w:szCs w:val="18"/>
          <w:color w:val="auto"/>
        </w:rPr>
      </w:pPr>
    </w:p>
    <w:p>
      <w:pPr>
        <w:ind w:left="580" w:right="4300" w:hanging="181"/>
        <w:spacing w:after="0" w:line="282" w:lineRule="auto"/>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88"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members provided that there is full disclosure by the directors. This can be done by way of permission granted in the amended and restated memorandum and articles of association or alternatively by member approval at general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Members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law to call annual general meetings, however, pursuant to the Articles, directors are elected at annual general meetings and Nasdaq requires an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Ordinary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Shares are currently listed on the Nasdaq Capital Market under the symbol “PROK.”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Liability under Cayman Islands Law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by Walkers (Cayman) LLP, our Cayman Islands legal counsel,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Anti-Money Laundering, Counter-Terrorist Financing, Prevention of Proliferation Financing and Financial Sanctions Compliance – Cayman Islands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terrorist financing, proliferation financing and compliance with financial sanctions, we are required to adopt and maintain certain procedures, and may require purchasers to provide evidence to verify their identity and source of funds. Where permitted, and subject to certain conditions, we may also delegate the maintenance of our anti-money laundering, terrorist financing, prevention of proliferation financing and financial sanctions compliance procedures (including the acquisition of due diligence information) to a suitable person.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purchaser. In some cases the directors may be satisfied that no further information is required since an exemption applies under the Anti-Money Laundering Regulations (as amended) of the Cayman Islands (the “Regulations”). Depending on the circumstances of each application, a detailed verification of identity might not be required where:</w:t>
      </w:r>
    </w:p>
    <w:p>
      <w:pPr>
        <w:spacing w:after="0" w:line="176"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relevant financial business required to comply with the Regulations or is a majority-owned subsidiary of such a business; or</w:t>
      </w:r>
    </w:p>
    <w:p>
      <w:pPr>
        <w:spacing w:after="0" w:line="2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as having a low degree of risk of money laundering and terrorist financing in accordance with the Regulations (each a “Low Risk Country”) or is a majority-owned subsidiary of such subscriber; or</w:t>
      </w:r>
    </w:p>
    <w:p>
      <w:pPr>
        <w:ind w:left="76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central or local government organization, statutory body or agency of government in the Cayman Islands or a Low Risk Country; or</w:t>
      </w:r>
    </w:p>
    <w:p>
      <w:pPr>
        <w:ind w:left="760" w:right="2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company that is listed on a recognized stock exchange and subject to disclosure requirements which impose requirements to ensure adequate transparency of beneficial ownership, or is a majority-owned subsidiary of such a company; or</w:t>
      </w:r>
    </w:p>
    <w:p>
      <w:pPr>
        <w:ind w:left="76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pension fund for a professional association, trade union or is acting on behalf of employees of an entity referred to in sub-paragraphs (a) to (d); or</w:t>
      </w:r>
    </w:p>
    <w:p>
      <w:pPr>
        <w:jc w:val="both"/>
        <w:ind w:left="760" w:hanging="378"/>
        <w:spacing w:after="0" w:line="251"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 nominee or the applicant is relying on an introduction from an introducer, which nominee or introducer, as applicable, falls within one of sub-paragraphs (a) to (e). In this situation the company may rely on a written assurance from the nominee or the introducer (as applicable) which confirms (i) that the requisite identification and verification procedures on the applicant for business and (for introducers only) its beneficial owners have been carried out; (ii) the nature and intended purpose of the business relationship; (iii) that the nominee or the introducer has identified the source of funds of the applicant for business; (iv) (for introducers only) that the introducer is supervised or monitored by an overseas regulatory authority and has measures in place to comply with customer due diligence and record keeping requirements; and (v) that the nominee or introducer shall make available on request and without delay copies of any identification and verification data or information and relevant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right="280"/>
        <w:spacing w:after="0" w:line="282"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the Equivalent Jurisdiction definition.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also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is involved with terrorism or terrorist property or proliferation financing or is the target of a financial sanction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amended) of the Cayman Islands if the disclosure relates to criminal conduct, money laundering or proliferation financing or is the target of a financial sanction or (ii) a police officer of the rank of constable or higher, or the Financial Reporting Authority, pursuant to the Terrorism Act (as amended)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 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amended) of the Cayman Islands (the “Data Protection Act”) based on internationally accepted principles of data privacy.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privacy notice puts our members on notice that through your investment in us you will provide us with certain personal information which constitutes personal data within the meaning of the Data Protection Act (“personal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Data Protection Act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Data Protection Act, while our affiliates and service providers who may receive this personal data from us in the conduct of our activities may either act as our “data processors” for the purposes of the Data Protection Act or may process personal information for their own lawful purposes in connection with services provided to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p>
      <w:pPr>
        <w:jc w:val="both"/>
        <w:spacing w:after="0" w:line="282" w:lineRule="auto"/>
        <w:rPr>
          <w:sz w:val="20"/>
          <w:szCs w:val="20"/>
          <w:color w:val="auto"/>
        </w:rPr>
      </w:pPr>
      <w:r>
        <w:rPr>
          <w:rFonts w:ascii="Times New Roman" w:cs="Times New Roman" w:eastAsia="Times New Roman" w:hAnsi="Times New Roman"/>
          <w:sz w:val="18"/>
          <w:szCs w:val="18"/>
          <w:color w:val="auto"/>
        </w:rPr>
        <w:t>birth, tax identification, credit history, correspondence records, passport number, bank account details, source of funds details and details relating to the member’s investment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this Affects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May Use a Member’s Personal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 the data controller, may collect, store and use personal data for lawful purposes, including, in particular:</w:t>
      </w:r>
    </w:p>
    <w:p>
      <w:pPr>
        <w:spacing w:after="0" w:line="225"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2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counter-terrorist financing, prevention of proliferation financing, financial sanctions and FATCA/CRS requirements); and/or</w:t>
      </w:r>
    </w:p>
    <w:p>
      <w:pPr>
        <w:spacing w:after="0" w:line="18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We May Transfer Your Personal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the company and their respective affiliates (which may include certain entities located outside the United States, the Cayman Islands or the European Economic Area), who will process your personal data on our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Data Protection Measures We Take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Data Protection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Individual Data Subjects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data subjects have certain data protection rights, including the right to:</w:t>
      </w:r>
    </w:p>
    <w:p>
      <w:pPr>
        <w:spacing w:after="0" w:line="225"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about the purposes for which your personal data are processed;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your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spacing w:after="0" w:line="221" w:lineRule="exact"/>
        <w:rPr>
          <w:sz w:val="20"/>
          <w:szCs w:val="20"/>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direct marketing;</w:t>
      </w:r>
    </w:p>
    <w:p>
      <w:pPr>
        <w:spacing w:after="0" w:line="252"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processing of your personal data;</w:t>
      </w:r>
    </w:p>
    <w:p>
      <w:pPr>
        <w:spacing w:after="0" w:line="252"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incomplete or inaccurate personal data corrected;</w:t>
      </w:r>
    </w:p>
    <w:p>
      <w:pPr>
        <w:spacing w:after="0" w:line="252"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stop processing your personal data;</w:t>
      </w:r>
    </w:p>
    <w:p>
      <w:pPr>
        <w:spacing w:after="0" w:line="252"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informed of a personal data breach (unless the breach is unlikely to be prejudicial to you);</w:t>
      </w:r>
    </w:p>
    <w:p>
      <w:pPr>
        <w:spacing w:after="0" w:line="263" w:lineRule="exact"/>
        <w:rPr>
          <w:rFonts w:ascii="Times New Roman" w:cs="Times New Roman" w:eastAsia="Times New Roman" w:hAnsi="Times New Roman"/>
          <w:sz w:val="17"/>
          <w:szCs w:val="17"/>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 to the Data Protection Ombudsman; and</w:t>
      </w:r>
    </w:p>
    <w:p>
      <w:pPr>
        <w:spacing w:after="0" w:line="252"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delete your personal data in some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895985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440" w:right="1440" w:bottom="1440" w:gutter="0" w:footer="0" w:header="0"/>
        </w:sectPr>
      </w:pPr>
    </w:p>
    <w:bookmarkStart w:id="153" w:name="page154"/>
    <w:bookmarkEnd w:id="153"/>
    <w:p>
      <w:pPr>
        <w:ind w:left="102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8"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AMENDMENT NO. 1 TO SECOND AMENDED AND RESTATED LIMITED PARTNERSHIP AGREEMENT FOR A LIMITED PARTNERSHIP CALLED PROKIDNEY LP</w:t>
      </w:r>
    </w:p>
    <w:p>
      <w:pPr>
        <w:spacing w:after="0" w:line="123" w:lineRule="exact"/>
        <w:rPr>
          <w:sz w:val="20"/>
          <w:szCs w:val="20"/>
          <w:color w:val="auto"/>
        </w:rPr>
      </w:pPr>
    </w:p>
    <w:p>
      <w:pPr>
        <w:jc w:val="both"/>
        <w:ind w:firstLine="400"/>
        <w:spacing w:after="0" w:line="242" w:lineRule="auto"/>
        <w:rPr>
          <w:sz w:val="20"/>
          <w:szCs w:val="20"/>
          <w:color w:val="auto"/>
        </w:rPr>
      </w:pPr>
      <w:r>
        <w:rPr>
          <w:rFonts w:ascii="Arial" w:cs="Arial" w:eastAsia="Arial" w:hAnsi="Arial"/>
          <w:sz w:val="18"/>
          <w:szCs w:val="18"/>
          <w:b w:val="1"/>
          <w:bCs w:val="1"/>
          <w:color w:val="auto"/>
        </w:rPr>
        <w:t xml:space="preserve">THIS AMENDMENT NO. 1 TO THE SECOND AMENDED AND RESTATED LIMITED PARTNERSHIP AGREEMENT FOR A LIMITED PARTNERSHIP CALLED PROKIDNEY LP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Nov. 14</w:t>
      </w:r>
      <w:r>
        <w:rPr>
          <w:rFonts w:ascii="Arial" w:cs="Arial" w:eastAsia="Arial" w:hAnsi="Arial"/>
          <w:sz w:val="18"/>
          <w:szCs w:val="18"/>
          <w:b w:val="1"/>
          <w:bCs w:val="1"/>
          <w:color w:val="auto"/>
        </w:rPr>
        <w:t xml:space="preserve"> </w:t>
      </w:r>
      <w:r>
        <w:rPr>
          <w:rFonts w:ascii="Arial" w:cs="Arial" w:eastAsia="Arial" w:hAnsi="Arial"/>
          <w:sz w:val="18"/>
          <w:szCs w:val="18"/>
          <w:color w:val="auto"/>
        </w:rPr>
        <w:t>2023 by</w:t>
      </w:r>
      <w:r>
        <w:rPr>
          <w:rFonts w:ascii="Arial" w:cs="Arial" w:eastAsia="Arial" w:hAnsi="Arial"/>
          <w:sz w:val="18"/>
          <w:szCs w:val="18"/>
          <w:b w:val="1"/>
          <w:bCs w:val="1"/>
          <w:color w:val="auto"/>
        </w:rPr>
        <w:t xml:space="preserve"> ProKidney Corp. GP Limited </w:t>
      </w:r>
      <w:r>
        <w:rPr>
          <w:rFonts w:ascii="Arial" w:cs="Arial" w:eastAsia="Arial" w:hAnsi="Arial"/>
          <w:sz w:val="18"/>
          <w:szCs w:val="18"/>
          <w:color w:val="auto"/>
        </w:rPr>
        <w:t>(the “</w:t>
      </w:r>
      <w:r>
        <w:rPr>
          <w:rFonts w:ascii="Arial" w:cs="Arial" w:eastAsia="Arial" w:hAnsi="Arial"/>
          <w:sz w:val="18"/>
          <w:szCs w:val="18"/>
          <w:b w:val="1"/>
          <w:bCs w:val="1"/>
          <w:color w:val="auto"/>
        </w:rPr>
        <w:t>General Partner</w:t>
      </w:r>
      <w:r>
        <w:rPr>
          <w:rFonts w:ascii="Arial" w:cs="Arial" w:eastAsia="Arial" w:hAnsi="Arial"/>
          <w:sz w:val="18"/>
          <w:szCs w:val="18"/>
          <w:color w:val="auto"/>
        </w:rPr>
        <w:t>”), in its capacity as sole general partner of the Partnership (as defined below) and as the duly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of the other partners in the Partnership (other than ProKidney Corp. (f/k/a Social Capital Suvretta Holdings Corp. III) (“</w:t>
      </w:r>
      <w:r>
        <w:rPr>
          <w:rFonts w:ascii="Arial" w:cs="Arial" w:eastAsia="Arial" w:hAnsi="Arial"/>
          <w:sz w:val="18"/>
          <w:szCs w:val="18"/>
          <w:b w:val="1"/>
          <w:bCs w:val="1"/>
          <w:color w:val="auto"/>
        </w:rPr>
        <w:t>PubCo</w:t>
      </w:r>
      <w:r>
        <w:rPr>
          <w:rFonts w:ascii="Arial" w:cs="Arial" w:eastAsia="Arial" w:hAnsi="Arial"/>
          <w:sz w:val="18"/>
          <w:szCs w:val="18"/>
          <w:color w:val="auto"/>
        </w:rPr>
        <w:t xml:space="preserve">”)), and </w:t>
      </w:r>
      <w:r>
        <w:rPr>
          <w:rFonts w:ascii="Arial" w:cs="Arial" w:eastAsia="Arial" w:hAnsi="Arial"/>
          <w:sz w:val="18"/>
          <w:szCs w:val="18"/>
          <w:b w:val="1"/>
          <w:bCs w:val="1"/>
          <w:color w:val="auto"/>
        </w:rPr>
        <w:t>PubCo</w:t>
      </w:r>
      <w:r>
        <w:rPr>
          <w:rFonts w:ascii="Arial" w:cs="Arial" w:eastAsia="Arial" w:hAnsi="Arial"/>
          <w:sz w:val="18"/>
          <w:szCs w:val="18"/>
          <w:color w:val="auto"/>
        </w:rPr>
        <w:t>. Capitalized terms used herein without definition have the meanings ascribed to such terms in the Second A&amp;R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limited partnership called ProKidney LP (the “</w:t>
      </w:r>
      <w:r>
        <w:rPr>
          <w:rFonts w:ascii="Arial" w:cs="Arial" w:eastAsia="Arial" w:hAnsi="Arial"/>
          <w:sz w:val="18"/>
          <w:szCs w:val="18"/>
          <w:b w:val="1"/>
          <w:bCs w:val="1"/>
          <w:color w:val="auto"/>
        </w:rPr>
        <w:t>Partnership</w:t>
      </w:r>
      <w:r>
        <w:rPr>
          <w:rFonts w:ascii="Arial" w:cs="Arial" w:eastAsia="Arial" w:hAnsi="Arial"/>
          <w:sz w:val="18"/>
          <w:szCs w:val="18"/>
          <w:color w:val="auto"/>
        </w:rPr>
        <w:t>”) was formed under the Act with registered number L.P.</w:t>
      </w:r>
      <w:r>
        <w:rPr>
          <w:rFonts w:ascii="Arial" w:cs="Arial" w:eastAsia="Arial" w:hAnsi="Arial"/>
          <w:sz w:val="18"/>
          <w:szCs w:val="18"/>
          <w:b w:val="1"/>
          <w:bCs w:val="1"/>
          <w:color w:val="auto"/>
        </w:rPr>
        <w:t xml:space="preserve"> </w:t>
      </w:r>
      <w:r>
        <w:rPr>
          <w:rFonts w:ascii="Arial" w:cs="Arial" w:eastAsia="Arial" w:hAnsi="Arial"/>
          <w:sz w:val="18"/>
          <w:szCs w:val="18"/>
          <w:color w:val="auto"/>
        </w:rPr>
        <w:t>No. LP3324 pursuant to a limited partnership agreement effective as of 5 August 2021 (the “</w:t>
      </w:r>
      <w:r>
        <w:rPr>
          <w:rFonts w:ascii="Arial" w:cs="Arial" w:eastAsia="Arial" w:hAnsi="Arial"/>
          <w:sz w:val="18"/>
          <w:szCs w:val="18"/>
          <w:b w:val="1"/>
          <w:bCs w:val="1"/>
          <w:color w:val="auto"/>
        </w:rPr>
        <w:t>Original Partnership Agreement</w:t>
      </w:r>
      <w:r>
        <w:rPr>
          <w:rFonts w:ascii="Arial" w:cs="Arial" w:eastAsia="Arial" w:hAnsi="Arial"/>
          <w:sz w:val="18"/>
          <w:szCs w:val="18"/>
          <w:color w:val="auto"/>
        </w:rPr>
        <w:t>”);</w:t>
      </w:r>
    </w:p>
    <w:p>
      <w:pPr>
        <w:spacing w:after="0" w:line="13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17 January 2022, the Original Partnership Agreement was amended and restated in its entirety on the terms of a</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First Amended and Restated Limited Partnership Agreement dated 17 January 2022 (the “</w:t>
      </w:r>
      <w:r>
        <w:rPr>
          <w:rFonts w:ascii="Arial" w:cs="Arial" w:eastAsia="Arial" w:hAnsi="Arial"/>
          <w:sz w:val="18"/>
          <w:szCs w:val="18"/>
          <w:b w:val="1"/>
          <w:bCs w:val="1"/>
          <w:color w:val="auto"/>
        </w:rPr>
        <w:t>A&amp;R Partnership Agreement</w:t>
      </w:r>
      <w:r>
        <w:rPr>
          <w:rFonts w:ascii="Arial" w:cs="Arial" w:eastAsia="Arial" w:hAnsi="Arial"/>
          <w:sz w:val="18"/>
          <w:szCs w:val="18"/>
          <w:color w:val="auto"/>
        </w:rPr>
        <w:t>”);</w:t>
      </w:r>
    </w:p>
    <w:p>
      <w:pPr>
        <w:spacing w:after="0" w:line="13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11 July 2022, the A&amp;R Partnership Agreement was amended and restated in its entirety on the terms of a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Limited Partnership Agreement dated 11 July 2022 (the “</w:t>
      </w:r>
      <w:r>
        <w:rPr>
          <w:rFonts w:ascii="Arial" w:cs="Arial" w:eastAsia="Arial" w:hAnsi="Arial"/>
          <w:sz w:val="18"/>
          <w:szCs w:val="18"/>
          <w:b w:val="1"/>
          <w:bCs w:val="1"/>
          <w:color w:val="auto"/>
        </w:rPr>
        <w:t>Second A&amp;R Partnership Agreement</w:t>
      </w:r>
      <w:r>
        <w:rPr>
          <w:rFonts w:ascii="Arial" w:cs="Arial" w:eastAsia="Arial" w:hAnsi="Arial"/>
          <w:sz w:val="18"/>
          <w:szCs w:val="18"/>
          <w:color w:val="auto"/>
        </w:rPr>
        <w:t>”) and in connection with the adoption of the Second A&amp;R Partnership Agreement ProKidney GP Limited withdrew as the general partner of the Partnership and the General Partner was admitted as the general partner of the Partnership;</w:t>
      </w:r>
    </w:p>
    <w:p>
      <w:pPr>
        <w:spacing w:after="0" w:line="16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14.12 of the Second A&amp;R Partnership Agreement, the General Partner wishes to make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Second A&amp;R Partnership Agreement; and</w:t>
      </w:r>
    </w:p>
    <w:p>
      <w:pPr>
        <w:spacing w:after="0" w:line="140" w:lineRule="exact"/>
        <w:rPr>
          <w:sz w:val="20"/>
          <w:szCs w:val="20"/>
          <w:color w:val="auto"/>
        </w:rPr>
      </w:pPr>
    </w:p>
    <w:p>
      <w:pPr>
        <w:jc w:val="both"/>
        <w:ind w:firstLine="413"/>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General Partner and PubCo have agreed to amend the Second A&amp;R Partnership Agreement on the terms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with effect from the date hereof.</w:t>
      </w:r>
    </w:p>
    <w:p>
      <w:pPr>
        <w:spacing w:after="0" w:line="14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in this Amendment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the Second A&amp;R Partnership Agreement is hereby amended as follows:</w:t>
      </w:r>
    </w:p>
    <w:p>
      <w:pPr>
        <w:spacing w:after="0" w:line="3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Section 7.5 of the Second A&amp;R Partnership Agreement is hereby deleted in its entirety and replaced with the following:</w:t>
      </w:r>
    </w:p>
    <w:p>
      <w:pPr>
        <w:spacing w:after="0" w:line="212" w:lineRule="exact"/>
        <w:rPr>
          <w:sz w:val="20"/>
          <w:szCs w:val="20"/>
          <w:color w:val="auto"/>
        </w:rPr>
      </w:pPr>
    </w:p>
    <w:p>
      <w:pPr>
        <w:jc w:val="both"/>
        <w:ind w:left="740"/>
        <w:spacing w:after="0" w:line="238" w:lineRule="auto"/>
        <w:rPr>
          <w:sz w:val="20"/>
          <w:szCs w:val="20"/>
          <w:color w:val="auto"/>
        </w:rPr>
      </w:pPr>
      <w:r>
        <w:rPr>
          <w:rFonts w:ascii="Arial" w:cs="Arial" w:eastAsia="Arial" w:hAnsi="Arial"/>
          <w:sz w:val="18"/>
          <w:szCs w:val="18"/>
          <w:b w:val="1"/>
          <w:bCs w:val="1"/>
          <w:color w:val="auto"/>
        </w:rPr>
        <w:t xml:space="preserve">Tax Allocations </w:t>
      </w:r>
      <w:r>
        <w:rPr>
          <w:rFonts w:ascii="Arial" w:cs="Arial" w:eastAsia="Arial" w:hAnsi="Arial"/>
          <w:sz w:val="18"/>
          <w:szCs w:val="18"/>
          <w:color w:val="auto"/>
        </w:rPr>
        <w:t>For U.S. federal income tax purposes, each item of income, gain, loss and deduction of the Partnership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among the Partners in the same manner as the corresponding items of Profits and Losses and specially allocated items are allocated for Capital Account purposes; provided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General Partner and permitted by the Code and Treasury Regulations; provided that, except as otherwise provided in this Section 7.5, the prior written consent of the Requisite Continuing Partners shall be required for use of any method other than the traditional method (without curative allocations) described in Treasury Regulation Section 1.704-3(b)) so as to take account of the difference between Carrying Value and adjusted basis of such asset. Notwithstanding the foregoing, the General Partner shall make such allocations for tax purposes as it determines in its reasonable discretion, subject to, for so long as the Continuing Partners collectively own at least 10% of the Units, the prior written consent, not to be unreasonably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54" w:name="page155"/>
    <w:bookmarkEnd w:id="154"/>
    <w:p>
      <w:pPr>
        <w:ind w:left="740"/>
        <w:spacing w:after="0" w:line="271" w:lineRule="auto"/>
        <w:rPr>
          <w:sz w:val="20"/>
          <w:szCs w:val="20"/>
          <w:color w:val="auto"/>
        </w:rPr>
      </w:pPr>
      <w:r>
        <w:rPr>
          <w:rFonts w:ascii="Arial" w:cs="Arial" w:eastAsia="Arial" w:hAnsi="Arial"/>
          <w:sz w:val="18"/>
          <w:szCs w:val="18"/>
          <w:color w:val="auto"/>
        </w:rPr>
        <w:t>withheld, conditioned or delayed, of the Requisite Continuing Partners, to be appropriate to ensure allocations are made in accordance with a Partner’s interest in the Partnership.</w:t>
      </w:r>
    </w:p>
    <w:p>
      <w:pPr>
        <w:spacing w:after="0" w:line="154"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last sentence of Section 9.1.1(a) of the Second A&amp;R Partnership Agreement is hereby deleted in its entirety and replaced with the following:</w:t>
      </w:r>
    </w:p>
    <w:p>
      <w:pPr>
        <w:spacing w:after="0" w:line="140" w:lineRule="exact"/>
        <w:rPr>
          <w:sz w:val="20"/>
          <w:szCs w:val="20"/>
          <w:color w:val="auto"/>
        </w:rPr>
      </w:pPr>
    </w:p>
    <w:p>
      <w:pPr>
        <w:jc w:val="both"/>
        <w:ind w:left="1140"/>
        <w:spacing w:after="0"/>
        <w:rPr>
          <w:sz w:val="20"/>
          <w:szCs w:val="20"/>
          <w:color w:val="auto"/>
        </w:rPr>
      </w:pPr>
      <w:r>
        <w:rPr>
          <w:rFonts w:ascii="Arial" w:cs="Arial" w:eastAsia="Arial" w:hAnsi="Arial"/>
          <w:sz w:val="18"/>
          <w:szCs w:val="18"/>
          <w:color w:val="auto"/>
        </w:rPr>
        <w:t>For the avoidance of doubt, the terms contained in a PMEL Award Agreement, including with respect to vesting and forfeiture, shall be read for all relevant purposes hereunder as if they were grants of the corresponding number of PMEL RCUs into which the PMEL Interests were substituted by virtue of the Business Combination Agreement and the General Partner shall have the authority to reasonably interpret the provisions of any PMEL Award Agreement in accordance with the foregoing principle for all purposes of this Agreement; provided, that, for the avoidance of doubt and notwithstanding anything to the contrary in a PMEL Award Agreement, no Common Unit issued in respect of a PMEL Interest (whether or not such Common Unit was previously a PMEL RCU hereunder) shall be subject to forfeiture or the Partnership’s or its Affiliates’ right of repurchase upon a PMEL Award Agreement Recipient’s termination of service for any reason.</w:t>
      </w:r>
    </w:p>
    <w:p>
      <w:pPr>
        <w:spacing w:after="0" w:line="180"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Section 9.4 of the Second A&amp;R Partnership Agreement is hereby deleted in its entirety and Sections 9.5 and 9.6 of the Second A&amp;R Partnership Agreement (and any subsections thereof) shall be renumbered as Sections 9.4 and 9.5 of the Second A&amp;R Partnership Agreement, respectively, and any reference throughout the Second A&amp;R Partnership Agreement to Section 9.5 (and any subsections thereof) or Section 9.6 (and any subsections thereof) is hereby amended and replaced accordingly.</w:t>
      </w:r>
    </w:p>
    <w:p>
      <w:pPr>
        <w:spacing w:after="0" w:line="16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second sentence of Section 9.6.1 of the Second A&amp;R Partnership Agreement (prior to any renumbering contemplated by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1.3 of this Amendment) is hereby deleted in its entirety and replaced with the following:</w:t>
      </w:r>
    </w:p>
    <w:p>
      <w:pPr>
        <w:spacing w:after="0" w:line="19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Upon the occurrence of a Vesting Event, on the Conversion Date, each applicable Restricted Common Unit with respect to which a Vesting Event has occurred shall be converted immediately and automatically, without any further action on the part of the holder thereof or any other person (including the Partnership, the General Partner and PubCo) into a Common Unit, with all rights and privileges of a Common Unit under this Agreement from and after the Conversion Date.</w:t>
      </w:r>
    </w:p>
    <w:p>
      <w:pPr>
        <w:spacing w:after="0" w:line="1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The second to last sentence of Section 9.6.5 of the Second A&amp;R Partnership Agreement (prior to any renumbering contemplated by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1.3 of this Amendment) is hereby deleted in its entirety and replaced with the following:</w:t>
      </w:r>
    </w:p>
    <w:p>
      <w:pPr>
        <w:spacing w:after="0" w:line="19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To the extent that a PMEL RCU is forfeited pursuant to the terms of the applicable PMEL Award Agreement (with the terms of such agreement as applied to the PMEL RCUs to the same extent the corresponding PMEL Interests would have subject to forfeiture), immediately and without any further action under this Agreement, on the date of forfeiture, such PMEL RCU shall be cancelled and extinguished for no consideration.</w:t>
      </w:r>
    </w:p>
    <w:p>
      <w:pPr>
        <w:spacing w:after="0" w:line="17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 xml:space="preserve">Amendment of the Second A&amp;R Partnership Agreement. </w:t>
      </w:r>
      <w:r>
        <w:rPr>
          <w:rFonts w:ascii="Arial" w:cs="Arial" w:eastAsia="Arial" w:hAnsi="Arial"/>
          <w:sz w:val="18"/>
          <w:szCs w:val="18"/>
          <w:color w:val="auto"/>
        </w:rPr>
        <w:t>Except as expressly amended by this Amendment, all other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the Second A&amp;R Partnership Agreement shall remain in full force and effect.</w:t>
      </w:r>
    </w:p>
    <w:p>
      <w:pPr>
        <w:spacing w:after="0" w:line="15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Notwithstanding the place where this Amendment may be executed by any of the parties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expressly agree that all the terms and provisions hereof shall be governed by and construed in accordance with the laws of Ireland. The courts of Ireland shall have non-exclusive jurisdiction to hear and determine any claim, suit, action or proceeding, and to settle any disputes, which may arise out of or are in any way related to or in connection with this Amendment, and, for such purposes, each party submits to the non-exclusive jurisdiction of such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55" w:name="page156"/>
    <w:bookmarkEnd w:id="155"/>
    <w:p>
      <w:pPr>
        <w:ind w:left="760" w:right="20" w:hanging="748"/>
        <w:spacing w:after="0" w:line="271" w:lineRule="auto"/>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executed in two (2) or more counterparts, each of which shall be deemed an original, but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together shall constitute one and the same instrument.</w:t>
      </w:r>
    </w:p>
    <w:p>
      <w:pPr>
        <w:spacing w:after="0" w:line="154"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IN WITNESS WHEREOF, the parties to this Amendment have executed and delivered this Amendment as a deed on the date and year first above written.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56" w:name="page157"/>
    <w:bookmarkEnd w:id="156"/>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Signed and Delivered as a Deed</w:t>
      </w:r>
    </w:p>
    <w:p>
      <w:pPr>
        <w:spacing w:after="0" w:line="229" w:lineRule="auto"/>
        <w:rPr>
          <w:sz w:val="20"/>
          <w:szCs w:val="20"/>
          <w:color w:val="auto"/>
        </w:rPr>
      </w:pPr>
      <w:r>
        <w:rPr>
          <w:rFonts w:ascii="Arial" w:cs="Arial" w:eastAsia="Arial" w:hAnsi="Arial"/>
          <w:sz w:val="20"/>
          <w:szCs w:val="20"/>
          <w:color w:val="auto"/>
        </w:rPr>
        <w:t>for and on behalf, and as the deed, of</w:t>
      </w:r>
    </w:p>
    <w:p>
      <w:pPr>
        <w:spacing w:after="0" w:line="1" w:lineRule="exact"/>
        <w:rPr>
          <w:sz w:val="20"/>
          <w:szCs w:val="20"/>
          <w:color w:val="auto"/>
        </w:rPr>
      </w:pPr>
    </w:p>
    <w:p>
      <w:pPr>
        <w:ind w:right="1700"/>
        <w:spacing w:after="0" w:line="232" w:lineRule="auto"/>
        <w:rPr>
          <w:sz w:val="20"/>
          <w:szCs w:val="20"/>
          <w:color w:val="auto"/>
        </w:rPr>
      </w:pPr>
      <w:r>
        <w:rPr>
          <w:rFonts w:ascii="Arial" w:cs="Arial" w:eastAsia="Arial" w:hAnsi="Arial"/>
          <w:sz w:val="20"/>
          <w:szCs w:val="20"/>
          <w:b w:val="1"/>
          <w:bCs w:val="1"/>
          <w:color w:val="auto"/>
        </w:rPr>
        <w:t xml:space="preserve">PROKIDNEY CORP. GP LIMITED </w:t>
      </w:r>
      <w:r>
        <w:rPr>
          <w:rFonts w:ascii="Arial" w:cs="Arial" w:eastAsia="Arial" w:hAnsi="Arial"/>
          <w:sz w:val="20"/>
          <w:szCs w:val="20"/>
          <w:color w:val="auto"/>
        </w:rPr>
        <w:t>by its lawfully appointed attorney Jaime Gomez-Sotomayor in the presence of:</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Rodgers</w:t>
      </w:r>
      <w:r>
        <w:rPr>
          <w:rFonts w:ascii="Arial" w:cs="Arial" w:eastAsia="Arial" w:hAnsi="Arial"/>
          <w:sz w:val="20"/>
          <w:szCs w:val="20"/>
          <w:color w:val="auto"/>
        </w:rPr>
        <w:t>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Phillip Rodgers</w:t>
      </w:r>
      <w:r>
        <w:rPr>
          <w:rFonts w:ascii="Arial" w:cs="Arial" w:eastAsia="Arial" w:hAnsi="Arial"/>
          <w:sz w:val="19"/>
          <w:szCs w:val="19"/>
          <w:color w:val="auto"/>
        </w:rPr>
        <w:t>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w:t>
      </w:r>
      <w:r>
        <w:rPr>
          <w:rFonts w:ascii="Arial" w:cs="Arial" w:eastAsia="Arial" w:hAnsi="Arial"/>
          <w:sz w:val="19"/>
          <w:szCs w:val="19"/>
          <w:u w:val="single" w:color="auto"/>
          <w:color w:val="auto"/>
        </w:rPr>
        <w:t>[***]</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Signed and Delivered as a Deed</w:t>
      </w:r>
    </w:p>
    <w:p>
      <w:pPr>
        <w:spacing w:after="0" w:line="229" w:lineRule="auto"/>
        <w:rPr>
          <w:sz w:val="20"/>
          <w:szCs w:val="20"/>
          <w:color w:val="auto"/>
        </w:rPr>
      </w:pPr>
      <w:r>
        <w:rPr>
          <w:rFonts w:ascii="Arial" w:cs="Arial" w:eastAsia="Arial" w:hAnsi="Arial"/>
          <w:sz w:val="20"/>
          <w:szCs w:val="20"/>
          <w:color w:val="auto"/>
        </w:rPr>
        <w:t>for and on behalf, and as the deed, of</w:t>
      </w:r>
    </w:p>
    <w:p>
      <w:pPr>
        <w:spacing w:after="0" w:line="1" w:lineRule="exact"/>
        <w:rPr>
          <w:sz w:val="20"/>
          <w:szCs w:val="20"/>
          <w:color w:val="auto"/>
        </w:rPr>
      </w:pPr>
    </w:p>
    <w:p>
      <w:pPr>
        <w:ind w:right="1700"/>
        <w:spacing w:after="0" w:line="237" w:lineRule="auto"/>
        <w:rPr>
          <w:sz w:val="20"/>
          <w:szCs w:val="20"/>
          <w:color w:val="auto"/>
        </w:rPr>
      </w:pPr>
      <w:r>
        <w:rPr>
          <w:rFonts w:ascii="Arial" w:cs="Arial" w:eastAsia="Arial" w:hAnsi="Arial"/>
          <w:sz w:val="19"/>
          <w:szCs w:val="19"/>
          <w:b w:val="1"/>
          <w:bCs w:val="1"/>
          <w:color w:val="auto"/>
        </w:rPr>
        <w:t xml:space="preserve">PROKIDNEY CORP. GP LIMITED </w:t>
      </w:r>
      <w:r>
        <w:rPr>
          <w:rFonts w:ascii="Arial" w:cs="Arial" w:eastAsia="Arial" w:hAnsi="Arial"/>
          <w:sz w:val="19"/>
          <w:szCs w:val="19"/>
          <w:color w:val="auto"/>
        </w:rPr>
        <w:t>by Jaime Gomez-Sotomayor</w:t>
      </w:r>
    </w:p>
    <w:p>
      <w:pPr>
        <w:ind w:right="1480"/>
        <w:spacing w:after="0" w:line="225" w:lineRule="auto"/>
        <w:rPr>
          <w:sz w:val="20"/>
          <w:szCs w:val="20"/>
          <w:color w:val="auto"/>
        </w:rPr>
      </w:pPr>
      <w:r>
        <w:rPr>
          <w:rFonts w:ascii="Arial" w:cs="Arial" w:eastAsia="Arial" w:hAnsi="Arial"/>
          <w:sz w:val="20"/>
          <w:szCs w:val="20"/>
          <w:color w:val="auto"/>
        </w:rPr>
        <w:t>the lawfully appointed attorney of ProKidney Corp. GP Limited which is the lawfully appointed attorney of</w:t>
      </w:r>
    </w:p>
    <w:p>
      <w:pPr>
        <w:spacing w:after="0" w:line="226" w:lineRule="auto"/>
        <w:rPr>
          <w:sz w:val="20"/>
          <w:szCs w:val="20"/>
          <w:color w:val="auto"/>
        </w:rPr>
      </w:pPr>
      <w:r>
        <w:rPr>
          <w:rFonts w:ascii="Arial" w:cs="Arial" w:eastAsia="Arial" w:hAnsi="Arial"/>
          <w:sz w:val="20"/>
          <w:szCs w:val="20"/>
          <w:b w:val="1"/>
          <w:bCs w:val="1"/>
          <w:color w:val="auto"/>
        </w:rPr>
        <w:t>TOLERANTIA, LLC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Rodgers</w:t>
      </w:r>
      <w:r>
        <w:rPr>
          <w:rFonts w:ascii="Arial" w:cs="Arial" w:eastAsia="Arial" w:hAnsi="Arial"/>
          <w:sz w:val="20"/>
          <w:szCs w:val="20"/>
          <w:color w:val="auto"/>
        </w:rPr>
        <w:t>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Phillip Rodgers</w:t>
      </w:r>
      <w:r>
        <w:rPr>
          <w:rFonts w:ascii="Arial" w:cs="Arial" w:eastAsia="Arial" w:hAnsi="Arial"/>
          <w:sz w:val="19"/>
          <w:szCs w:val="19"/>
          <w:color w:val="auto"/>
        </w:rPr>
        <w:t>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w:t>
      </w:r>
      <w:r>
        <w:rPr>
          <w:rFonts w:ascii="Arial" w:cs="Arial" w:eastAsia="Arial" w:hAnsi="Arial"/>
          <w:sz w:val="19"/>
          <w:szCs w:val="19"/>
          <w:u w:val="single" w:color="auto"/>
          <w:color w:val="auto"/>
        </w:rPr>
        <w:t>[***]</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Jaime Gomez-Sotomayor</w:t>
      </w:r>
    </w:p>
    <w:p>
      <w:pPr>
        <w:spacing w:after="0" w:line="229" w:lineRule="auto"/>
        <w:rPr>
          <w:sz w:val="20"/>
          <w:szCs w:val="20"/>
          <w:color w:val="auto"/>
        </w:rPr>
      </w:pPr>
      <w:r>
        <w:rPr>
          <w:rFonts w:ascii="Arial" w:cs="Arial" w:eastAsia="Arial" w:hAnsi="Arial"/>
          <w:sz w:val="20"/>
          <w:szCs w:val="20"/>
          <w:color w:val="auto"/>
        </w:rPr>
        <w:t>Jaime Gomez-Sotomayor</w:t>
      </w:r>
    </w:p>
    <w:p>
      <w:pPr>
        <w:spacing w:after="0" w:line="237" w:lineRule="auto"/>
        <w:rPr>
          <w:sz w:val="20"/>
          <w:szCs w:val="20"/>
          <w:color w:val="auto"/>
        </w:rPr>
      </w:pPr>
      <w:r>
        <w:rPr>
          <w:rFonts w:ascii="Arial" w:cs="Arial" w:eastAsia="Arial" w:hAnsi="Arial"/>
          <w:sz w:val="19"/>
          <w:szCs w:val="19"/>
          <w:color w:val="auto"/>
        </w:rPr>
        <w:t>lawfully appointed attorney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ProKidney Corp. GP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Jaime Gomez-Sotomayor</w:t>
      </w:r>
    </w:p>
    <w:p>
      <w:pPr>
        <w:spacing w:after="0" w:line="229" w:lineRule="auto"/>
        <w:rPr>
          <w:sz w:val="20"/>
          <w:szCs w:val="20"/>
          <w:color w:val="auto"/>
        </w:rPr>
      </w:pPr>
      <w:r>
        <w:rPr>
          <w:rFonts w:ascii="Arial" w:cs="Arial" w:eastAsia="Arial" w:hAnsi="Arial"/>
          <w:sz w:val="20"/>
          <w:szCs w:val="20"/>
          <w:color w:val="auto"/>
        </w:rPr>
        <w:t>Jaime Gomez-Sotomayor</w:t>
      </w:r>
    </w:p>
    <w:p>
      <w:pPr>
        <w:spacing w:after="0" w:line="237" w:lineRule="auto"/>
        <w:rPr>
          <w:sz w:val="20"/>
          <w:szCs w:val="20"/>
          <w:color w:val="auto"/>
        </w:rPr>
      </w:pPr>
      <w:r>
        <w:rPr>
          <w:rFonts w:ascii="Arial" w:cs="Arial" w:eastAsia="Arial" w:hAnsi="Arial"/>
          <w:sz w:val="19"/>
          <w:szCs w:val="19"/>
          <w:color w:val="auto"/>
        </w:rPr>
        <w:t>lawfully appointed attorney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ProKidney Corp. GP Limited</w:t>
      </w:r>
    </w:p>
    <w:p>
      <w:pPr>
        <w:spacing w:after="0" w:line="3264" w:lineRule="exact"/>
        <w:rPr>
          <w:sz w:val="20"/>
          <w:szCs w:val="20"/>
          <w:color w:val="auto"/>
        </w:rPr>
      </w:pPr>
    </w:p>
    <w:p>
      <w:pPr>
        <w:sectPr>
          <w:pgSz w:w="11900" w:h="16838" w:orient="portrait"/>
          <w:cols w:equalWidth="0" w:num="2">
            <w:col w:w="4720" w:space="720"/>
            <w:col w:w="5500"/>
          </w:cols>
          <w:pgMar w:left="420" w:top="1440" w:right="5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480"/>
        <w:spacing w:after="0" w:line="257" w:lineRule="auto"/>
        <w:rPr>
          <w:sz w:val="20"/>
          <w:szCs w:val="20"/>
          <w:color w:val="auto"/>
        </w:rPr>
      </w:pPr>
      <w:r>
        <w:rPr>
          <w:rFonts w:ascii="Arial" w:cs="Arial" w:eastAsia="Arial" w:hAnsi="Arial"/>
          <w:sz w:val="20"/>
          <w:szCs w:val="20"/>
          <w:i w:val="1"/>
          <w:iCs w:val="1"/>
          <w:color w:val="auto"/>
        </w:rPr>
        <w:t>Signature page to the Amendment No. 1 to the Second Amended and Restated Limited Partnership Agreement for a Limited Partnership called ProKidney LP</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Signed and Delivered as a Deed</w:t>
      </w:r>
    </w:p>
    <w:p>
      <w:pPr>
        <w:spacing w:after="0" w:line="229" w:lineRule="auto"/>
        <w:rPr>
          <w:sz w:val="20"/>
          <w:szCs w:val="20"/>
          <w:color w:val="auto"/>
        </w:rPr>
      </w:pPr>
      <w:r>
        <w:rPr>
          <w:rFonts w:ascii="Arial" w:cs="Arial" w:eastAsia="Arial" w:hAnsi="Arial"/>
          <w:sz w:val="20"/>
          <w:szCs w:val="20"/>
          <w:color w:val="auto"/>
        </w:rPr>
        <w:t>for and on behalf, and as the deed, of</w:t>
      </w:r>
    </w:p>
    <w:p>
      <w:pPr>
        <w:spacing w:after="0" w:line="226" w:lineRule="auto"/>
        <w:rPr>
          <w:sz w:val="20"/>
          <w:szCs w:val="20"/>
          <w:color w:val="auto"/>
        </w:rPr>
      </w:pPr>
      <w:r>
        <w:rPr>
          <w:rFonts w:ascii="Arial" w:cs="Arial" w:eastAsia="Arial" w:hAnsi="Arial"/>
          <w:sz w:val="20"/>
          <w:szCs w:val="20"/>
          <w:b w:val="1"/>
          <w:bCs w:val="1"/>
          <w:color w:val="auto"/>
        </w:rPr>
        <w:t>PROKIDNEY CORP. GP LIMITED</w:t>
      </w:r>
    </w:p>
    <w:p>
      <w:pPr>
        <w:spacing w:after="0"/>
        <w:rPr>
          <w:sz w:val="20"/>
          <w:szCs w:val="20"/>
          <w:color w:val="auto"/>
        </w:rPr>
      </w:pPr>
      <w:r>
        <w:rPr>
          <w:rFonts w:ascii="Arial" w:cs="Arial" w:eastAsia="Arial" w:hAnsi="Arial"/>
          <w:sz w:val="20"/>
          <w:szCs w:val="20"/>
          <w:color w:val="auto"/>
        </w:rPr>
        <w:t>by Jaime Gomez-Sotomayor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915035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20" w:top="1440" w:right="539" w:bottom="1440" w:gutter="0" w:footer="0" w:header="0"/>
          <w:type w:val="continuous"/>
        </w:sectPr>
      </w:pPr>
    </w:p>
    <w:bookmarkStart w:id="157" w:name="page158"/>
    <w:bookmarkEnd w:id="157"/>
    <w:p>
      <w:pPr>
        <w:ind w:right="1480"/>
        <w:spacing w:after="0" w:line="231" w:lineRule="auto"/>
        <w:rPr>
          <w:sz w:val="20"/>
          <w:szCs w:val="20"/>
          <w:color w:val="auto"/>
        </w:rPr>
      </w:pPr>
      <w:r>
        <w:rPr>
          <w:rFonts w:ascii="Arial" w:cs="Arial" w:eastAsia="Arial" w:hAnsi="Arial"/>
          <w:sz w:val="20"/>
          <w:szCs w:val="20"/>
          <w:color w:val="auto"/>
        </w:rPr>
        <w:t>the lawfully appointed attorney of ProKidney Corp. GP Limited which is the lawfully appointed attorney of</w:t>
      </w:r>
    </w:p>
    <w:p>
      <w:pPr>
        <w:spacing w:after="0" w:line="2" w:lineRule="exact"/>
        <w:rPr>
          <w:sz w:val="20"/>
          <w:szCs w:val="20"/>
          <w:color w:val="auto"/>
        </w:rPr>
      </w:pPr>
    </w:p>
    <w:p>
      <w:pPr>
        <w:ind w:right="1920"/>
        <w:spacing w:after="0" w:line="225" w:lineRule="auto"/>
        <w:rPr>
          <w:sz w:val="20"/>
          <w:szCs w:val="20"/>
          <w:color w:val="auto"/>
        </w:rPr>
      </w:pPr>
      <w:r>
        <w:rPr>
          <w:rFonts w:ascii="Arial" w:cs="Arial" w:eastAsia="Arial" w:hAnsi="Arial"/>
          <w:sz w:val="20"/>
          <w:szCs w:val="20"/>
          <w:b w:val="1"/>
          <w:bCs w:val="1"/>
          <w:color w:val="auto"/>
        </w:rPr>
        <w:t>CONTROL EMPRESARIAL DE CAPITALES, S.A. DE C.V.</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Rodgers</w:t>
      </w:r>
      <w:r>
        <w:rPr>
          <w:rFonts w:ascii="Arial" w:cs="Arial" w:eastAsia="Arial" w:hAnsi="Arial"/>
          <w:sz w:val="20"/>
          <w:szCs w:val="20"/>
          <w:color w:val="auto"/>
        </w:rPr>
        <w:t>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Phillip Rodgers</w:t>
      </w:r>
      <w:r>
        <w:rPr>
          <w:rFonts w:ascii="Arial" w:cs="Arial" w:eastAsia="Arial" w:hAnsi="Arial"/>
          <w:sz w:val="19"/>
          <w:szCs w:val="19"/>
          <w:color w:val="auto"/>
        </w:rPr>
        <w:t>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w:t>
      </w:r>
      <w:r>
        <w:rPr>
          <w:rFonts w:ascii="Arial" w:cs="Arial" w:eastAsia="Arial" w:hAnsi="Arial"/>
          <w:sz w:val="19"/>
          <w:szCs w:val="19"/>
          <w:u w:val="single" w:color="auto"/>
          <w:color w:val="auto"/>
        </w:rPr>
        <w:t>[***]</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Signed and Delivered as a Deed</w:t>
      </w:r>
    </w:p>
    <w:p>
      <w:pPr>
        <w:spacing w:after="0" w:line="229" w:lineRule="auto"/>
        <w:rPr>
          <w:sz w:val="20"/>
          <w:szCs w:val="20"/>
          <w:color w:val="auto"/>
        </w:rPr>
      </w:pPr>
      <w:r>
        <w:rPr>
          <w:rFonts w:ascii="Arial" w:cs="Arial" w:eastAsia="Arial" w:hAnsi="Arial"/>
          <w:sz w:val="20"/>
          <w:szCs w:val="20"/>
          <w:color w:val="auto"/>
        </w:rPr>
        <w:t>for and on behalf, and as the deed, of</w:t>
      </w:r>
    </w:p>
    <w:p>
      <w:pPr>
        <w:spacing w:after="0" w:line="1" w:lineRule="exact"/>
        <w:rPr>
          <w:sz w:val="20"/>
          <w:szCs w:val="20"/>
          <w:color w:val="auto"/>
        </w:rPr>
      </w:pPr>
    </w:p>
    <w:p>
      <w:pPr>
        <w:ind w:right="1700"/>
        <w:spacing w:after="0" w:line="237" w:lineRule="auto"/>
        <w:rPr>
          <w:sz w:val="20"/>
          <w:szCs w:val="20"/>
          <w:color w:val="auto"/>
        </w:rPr>
      </w:pPr>
      <w:r>
        <w:rPr>
          <w:rFonts w:ascii="Arial" w:cs="Arial" w:eastAsia="Arial" w:hAnsi="Arial"/>
          <w:sz w:val="19"/>
          <w:szCs w:val="19"/>
          <w:b w:val="1"/>
          <w:bCs w:val="1"/>
          <w:color w:val="auto"/>
        </w:rPr>
        <w:t xml:space="preserve">PROKIDNEY CORP. GP LIMITED </w:t>
      </w:r>
      <w:r>
        <w:rPr>
          <w:rFonts w:ascii="Arial" w:cs="Arial" w:eastAsia="Arial" w:hAnsi="Arial"/>
          <w:sz w:val="19"/>
          <w:szCs w:val="19"/>
          <w:color w:val="auto"/>
        </w:rPr>
        <w:t>by Jaime Gomez-Sotomayor</w:t>
      </w:r>
    </w:p>
    <w:p>
      <w:pPr>
        <w:ind w:right="1480"/>
        <w:spacing w:after="0" w:line="225" w:lineRule="auto"/>
        <w:rPr>
          <w:sz w:val="20"/>
          <w:szCs w:val="20"/>
          <w:color w:val="auto"/>
        </w:rPr>
      </w:pPr>
      <w:r>
        <w:rPr>
          <w:rFonts w:ascii="Arial" w:cs="Arial" w:eastAsia="Arial" w:hAnsi="Arial"/>
          <w:sz w:val="20"/>
          <w:szCs w:val="20"/>
          <w:color w:val="auto"/>
        </w:rPr>
        <w:t>the lawfully appointed attorney of ProKidney Corp. GP Limited which is the lawfully appointed attorney of</w:t>
      </w:r>
    </w:p>
    <w:p>
      <w:pPr>
        <w:spacing w:after="0" w:line="226" w:lineRule="auto"/>
        <w:rPr>
          <w:sz w:val="20"/>
          <w:szCs w:val="20"/>
          <w:color w:val="auto"/>
        </w:rPr>
      </w:pPr>
      <w:r>
        <w:rPr>
          <w:rFonts w:ascii="Arial" w:cs="Arial" w:eastAsia="Arial" w:hAnsi="Arial"/>
          <w:sz w:val="20"/>
          <w:szCs w:val="20"/>
          <w:b w:val="1"/>
          <w:bCs w:val="1"/>
          <w:color w:val="auto"/>
        </w:rPr>
        <w:t>PROKIDNEY MANAGEMENT</w:t>
      </w:r>
    </w:p>
    <w:p>
      <w:pPr>
        <w:spacing w:after="0" w:line="226" w:lineRule="auto"/>
        <w:rPr>
          <w:sz w:val="20"/>
          <w:szCs w:val="20"/>
          <w:color w:val="auto"/>
        </w:rPr>
      </w:pPr>
      <w:r>
        <w:rPr>
          <w:rFonts w:ascii="Arial" w:cs="Arial" w:eastAsia="Arial" w:hAnsi="Arial"/>
          <w:sz w:val="20"/>
          <w:szCs w:val="20"/>
          <w:b w:val="1"/>
          <w:bCs w:val="1"/>
          <w:color w:val="auto"/>
        </w:rPr>
        <w:t>EQUITY LLC</w:t>
      </w:r>
    </w:p>
    <w:p>
      <w:pPr>
        <w:spacing w:after="0"/>
        <w:rPr>
          <w:sz w:val="20"/>
          <w:szCs w:val="20"/>
          <w:color w:val="auto"/>
        </w:rPr>
      </w:pPr>
      <w:r>
        <w:rPr>
          <w:rFonts w:ascii="Arial" w:cs="Arial" w:eastAsia="Arial" w:hAnsi="Arial"/>
          <w:sz w:val="20"/>
          <w:szCs w:val="20"/>
          <w:color w:val="auto"/>
        </w:rPr>
        <w:t>in the presence of:</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Rodgers</w:t>
      </w:r>
      <w:r>
        <w:rPr>
          <w:rFonts w:ascii="Arial" w:cs="Arial" w:eastAsia="Arial" w:hAnsi="Arial"/>
          <w:sz w:val="20"/>
          <w:szCs w:val="20"/>
          <w:color w:val="auto"/>
        </w:rPr>
        <w:t>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Phillip Rodgers</w:t>
      </w:r>
      <w:r>
        <w:rPr>
          <w:rFonts w:ascii="Arial" w:cs="Arial" w:eastAsia="Arial" w:hAnsi="Arial"/>
          <w:sz w:val="19"/>
          <w:szCs w:val="19"/>
          <w:color w:val="auto"/>
        </w:rPr>
        <w:t>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_</w:t>
      </w:r>
      <w:r>
        <w:rPr>
          <w:rFonts w:ascii="Arial" w:cs="Arial" w:eastAsia="Arial" w:hAnsi="Arial"/>
          <w:sz w:val="19"/>
          <w:szCs w:val="19"/>
          <w:u w:val="single" w:color="auto"/>
          <w:color w:val="auto"/>
        </w:rPr>
        <w:t>[***]</w:t>
      </w:r>
      <w:r>
        <w:rPr>
          <w:rFonts w:ascii="Arial" w:cs="Arial" w:eastAsia="Arial" w:hAnsi="Arial"/>
          <w:sz w:val="19"/>
          <w:szCs w:val="19"/>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Jaime Gomez-Sotomayor</w:t>
      </w:r>
    </w:p>
    <w:p>
      <w:pPr>
        <w:spacing w:after="0" w:line="229" w:lineRule="auto"/>
        <w:rPr>
          <w:sz w:val="20"/>
          <w:szCs w:val="20"/>
          <w:color w:val="auto"/>
        </w:rPr>
      </w:pPr>
      <w:r>
        <w:rPr>
          <w:rFonts w:ascii="Arial" w:cs="Arial" w:eastAsia="Arial" w:hAnsi="Arial"/>
          <w:sz w:val="20"/>
          <w:szCs w:val="20"/>
          <w:color w:val="auto"/>
        </w:rPr>
        <w:t>Jaime Gomez-Sotomayor</w:t>
      </w:r>
    </w:p>
    <w:p>
      <w:pPr>
        <w:spacing w:after="0" w:line="237" w:lineRule="auto"/>
        <w:rPr>
          <w:sz w:val="20"/>
          <w:szCs w:val="20"/>
          <w:color w:val="auto"/>
        </w:rPr>
      </w:pPr>
      <w:r>
        <w:rPr>
          <w:rFonts w:ascii="Arial" w:cs="Arial" w:eastAsia="Arial" w:hAnsi="Arial"/>
          <w:sz w:val="19"/>
          <w:szCs w:val="19"/>
          <w:color w:val="auto"/>
        </w:rPr>
        <w:t>lawfully appointed attorney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ProKidney Corp. GP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Jaime Gomez-Sotomayor</w:t>
      </w:r>
    </w:p>
    <w:p>
      <w:pPr>
        <w:spacing w:after="0" w:line="229" w:lineRule="auto"/>
        <w:rPr>
          <w:sz w:val="20"/>
          <w:szCs w:val="20"/>
          <w:color w:val="auto"/>
        </w:rPr>
      </w:pPr>
      <w:r>
        <w:rPr>
          <w:rFonts w:ascii="Arial" w:cs="Arial" w:eastAsia="Arial" w:hAnsi="Arial"/>
          <w:sz w:val="20"/>
          <w:szCs w:val="20"/>
          <w:color w:val="auto"/>
        </w:rPr>
        <w:t>Jaime Gomez-Sotomayor</w:t>
      </w:r>
    </w:p>
    <w:p>
      <w:pPr>
        <w:spacing w:after="0" w:line="237" w:lineRule="auto"/>
        <w:rPr>
          <w:sz w:val="20"/>
          <w:szCs w:val="20"/>
          <w:color w:val="auto"/>
        </w:rPr>
      </w:pPr>
      <w:r>
        <w:rPr>
          <w:rFonts w:ascii="Arial" w:cs="Arial" w:eastAsia="Arial" w:hAnsi="Arial"/>
          <w:sz w:val="19"/>
          <w:szCs w:val="19"/>
          <w:color w:val="auto"/>
        </w:rPr>
        <w:t>lawfully appointed attorney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ProKidney Corp. GP Limited</w:t>
      </w:r>
    </w:p>
    <w:p>
      <w:pPr>
        <w:spacing w:after="0" w:line="3021" w:lineRule="exact"/>
        <w:rPr>
          <w:sz w:val="20"/>
          <w:szCs w:val="20"/>
          <w:color w:val="auto"/>
        </w:rPr>
      </w:pPr>
    </w:p>
    <w:p>
      <w:pPr>
        <w:sectPr>
          <w:pgSz w:w="11900" w:h="16838" w:orient="portrait"/>
          <w:cols w:equalWidth="0" w:num="2">
            <w:col w:w="4720" w:space="720"/>
            <w:col w:w="5500"/>
          </w:cols>
          <w:pgMar w:left="420" w:top="1428" w:right="539" w:bottom="1440" w:gutter="0" w:footer="0" w:header="0"/>
        </w:sectPr>
      </w:pPr>
    </w:p>
    <w:p>
      <w:pPr>
        <w:spacing w:after="0" w:line="25" w:lineRule="exact"/>
        <w:rPr>
          <w:sz w:val="20"/>
          <w:szCs w:val="20"/>
          <w:color w:val="auto"/>
        </w:rPr>
      </w:pPr>
    </w:p>
    <w:p>
      <w:pPr>
        <w:jc w:val="center"/>
        <w:ind w:left="60"/>
        <w:spacing w:after="0" w:line="257" w:lineRule="auto"/>
        <w:rPr>
          <w:sz w:val="20"/>
          <w:szCs w:val="20"/>
          <w:color w:val="auto"/>
        </w:rPr>
      </w:pPr>
      <w:r>
        <w:rPr>
          <w:rFonts w:ascii="Arial" w:cs="Arial" w:eastAsia="Arial" w:hAnsi="Arial"/>
          <w:sz w:val="20"/>
          <w:szCs w:val="20"/>
          <w:i w:val="1"/>
          <w:iCs w:val="1"/>
          <w:color w:val="auto"/>
        </w:rPr>
        <w:t>Signature page to the Amendment No. 1 to the Second Amended and Restated Limited Partnership Agreement for a Limited Partnership called ProKidney LP</w:t>
      </w:r>
    </w:p>
    <w:p>
      <w:pPr>
        <w:sectPr>
          <w:pgSz w:w="11900" w:h="16838" w:orient="portrait"/>
          <w:cols w:equalWidth="0" w:num="1">
            <w:col w:w="10940"/>
          </w:cols>
          <w:pgMar w:left="420" w:top="1428" w:right="5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Executed and Delivered as a Deed by</w:t>
      </w:r>
    </w:p>
    <w:p>
      <w:pPr>
        <w:spacing w:after="0" w:line="229" w:lineRule="auto"/>
        <w:rPr>
          <w:sz w:val="20"/>
          <w:szCs w:val="20"/>
          <w:color w:val="auto"/>
        </w:rPr>
      </w:pPr>
      <w:r>
        <w:rPr>
          <w:rFonts w:ascii="Arial" w:cs="Arial" w:eastAsia="Arial" w:hAnsi="Arial"/>
          <w:sz w:val="20"/>
          <w:szCs w:val="20"/>
          <w:b w:val="1"/>
          <w:bCs w:val="1"/>
          <w:color w:val="auto"/>
        </w:rPr>
        <w:t>PROKIDNEY CORP.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James W. Coulston_______________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Tim Bertram, Ph.D.</w:t>
      </w:r>
    </w:p>
    <w:p>
      <w:pPr>
        <w:spacing w:after="0" w:line="229" w:lineRule="auto"/>
        <w:rPr>
          <w:sz w:val="20"/>
          <w:szCs w:val="20"/>
          <w:color w:val="auto"/>
        </w:rPr>
      </w:pPr>
      <w:r>
        <w:rPr>
          <w:rFonts w:ascii="Arial" w:cs="Arial" w:eastAsia="Arial" w:hAnsi="Arial"/>
          <w:sz w:val="20"/>
          <w:szCs w:val="20"/>
          <w:color w:val="auto"/>
        </w:rPr>
        <w:t>Tim Bertram, Ph.D.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1050925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20" w:space="720"/>
            <w:col w:w="5500"/>
          </w:cols>
          <w:pgMar w:left="420" w:top="1428" w:right="5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color w:val="auto"/>
        </w:rPr>
        <w:t>Witness Signature: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James W. Coulston</w:t>
      </w:r>
      <w:r>
        <w:rPr>
          <w:rFonts w:ascii="Arial" w:cs="Arial" w:eastAsia="Arial" w:hAnsi="Arial"/>
          <w:sz w:val="20"/>
          <w:szCs w:val="20"/>
          <w:color w:val="auto"/>
        </w:rPr>
        <w:t>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w:t>
      </w:r>
      <w:r>
        <w:rPr>
          <w:rFonts w:ascii="Arial" w:cs="Arial" w:eastAsia="Arial" w:hAnsi="Arial"/>
          <w:sz w:val="20"/>
          <w:szCs w:val="20"/>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w:t>
      </w:r>
      <w:r>
        <w:rPr>
          <w:rFonts w:ascii="Arial" w:cs="Arial" w:eastAsia="Arial" w:hAnsi="Arial"/>
          <w:sz w:val="20"/>
          <w:szCs w:val="20"/>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540"/>
        <w:spacing w:after="0" w:line="273" w:lineRule="auto"/>
        <w:rPr>
          <w:sz w:val="20"/>
          <w:szCs w:val="20"/>
          <w:color w:val="auto"/>
        </w:rPr>
      </w:pPr>
      <w:r>
        <w:rPr>
          <w:rFonts w:ascii="Times New Roman" w:cs="Times New Roman" w:eastAsia="Times New Roman" w:hAnsi="Times New Roman"/>
          <w:sz w:val="20"/>
          <w:szCs w:val="20"/>
          <w:i w:val="1"/>
          <w:iCs w:val="1"/>
          <w:color w:val="auto"/>
        </w:rPr>
        <w:t>Signature page to the Amendment No. 1 to the Second Amended and Restated Limited Partnership Agreement for a Limited Partnership called ProKidney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1266825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20" w:top="1428" w:right="59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 LIMITED PARTNERSHIP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AGREEMENT FOR A LIMITED PARTNERSHIP CALLED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PROKIDNEY LP</w:t>
      </w:r>
    </w:p>
    <w:p>
      <w:pPr>
        <w:spacing w:after="0" w:line="20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COMMON UNITS OF PROKIDNEY LP HAVE NOT BEEN REGISTERED UNDER THE U.S.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AMENDED AND RESTATED LIMITED PARTNERSHIP AGREEMENT; AND</w:t>
      </w:r>
    </w:p>
    <w:p>
      <w:pPr>
        <w:spacing w:after="0" w:line="2" w:lineRule="exact"/>
        <w:rPr>
          <w:sz w:val="20"/>
          <w:szCs w:val="20"/>
          <w:color w:val="auto"/>
        </w:rPr>
      </w:pPr>
    </w:p>
    <w:p>
      <w:pPr>
        <w:ind w:right="100" w:firstLine="8"/>
        <w:spacing w:after="0" w:line="250" w:lineRule="auto"/>
        <w:tabs>
          <w:tab w:leader="none" w:pos="3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AND CONDITIONS AGREED TO IN WRITING BETWEEN THE PARTNERSHIP AND THE APPLICABLE PARTNER. THE UNITS MAY NOT BE TRANSFERRED OF RECORD EXCEPT IN COMPLIANCE WITH SUCH LAWS, THIS AMENDED AND RESTATED LIMITED PARTNERSHIP AGREEMENT, AND ANY OTHER TERMS AND CONDITIONS AGREED TO IN WRITING BY THE PARTNERSHIP AND THE APPLICABLE PARTNER. THEREFORE, PARTNERS AND OTHER TRANSFEREES OF SUCH UNITS WILL BE REQUIRED TO BEAR THE RISK OF THEIR INVESTMENT OR ACQUISITION FOR AN INDEFINITE PERIOD OF TIME.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SECOND AMENDED AND RESTATED LIMITED PARTNERSHIP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those persons whose names are stated in the column headed ‘</w:t>
      </w:r>
      <w:r>
        <w:rPr>
          <w:rFonts w:ascii="Times New Roman" w:cs="Times New Roman" w:eastAsia="Times New Roman" w:hAnsi="Times New Roman"/>
          <w:sz w:val="18"/>
          <w:szCs w:val="18"/>
          <w:i w:val="1"/>
          <w:iCs w:val="1"/>
          <w:color w:val="auto"/>
        </w:rPr>
        <w:t>Names of Limited Partners</w:t>
      </w:r>
      <w:r>
        <w:rPr>
          <w:rFonts w:ascii="Times New Roman" w:cs="Times New Roman" w:eastAsia="Times New Roman" w:hAnsi="Times New Roman"/>
          <w:sz w:val="18"/>
          <w:szCs w:val="18"/>
          <w:color w:val="auto"/>
        </w:rPr>
        <w:t xml:space="preserve">’ in Part 1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together with such other persons admitted, from time to time, as limited partners of the Partnership in accordance with the provisions of the Act and this Agreement, the “</w:t>
      </w:r>
      <w:r>
        <w:rPr>
          <w:rFonts w:ascii="Times New Roman" w:cs="Times New Roman" w:eastAsia="Times New Roman" w:hAnsi="Times New Roman"/>
          <w:sz w:val="18"/>
          <w:szCs w:val="18"/>
          <w:b w:val="1"/>
          <w:bCs w:val="1"/>
          <w:color w:val="auto"/>
        </w:rPr>
        <w:t>Limited Partners</w:t>
      </w:r>
      <w:r>
        <w:rPr>
          <w:rFonts w:ascii="Times New Roman" w:cs="Times New Roman" w:eastAsia="Times New Roman" w:hAnsi="Times New Roman"/>
          <w:sz w:val="18"/>
          <w:szCs w:val="18"/>
          <w:color w:val="auto"/>
        </w:rPr>
        <w:t>”), and ProKidney Corp. GP Limited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 and ProKidney GP Limited (solely for the purposes of approving the Post-Recapitalization Unit Issuance (if any) and retiring as a general partner of the Partnership).</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limited partnership called ProKidney LP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was formed under the Act with registered number L.P. No. LP3324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limited partnership agreement effective as of 5 August 2021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17 January 2022, the Original Agreement was amended and restated in its entirety on the terms of a certain First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Partnership Agreement dated 17 January 2022 (the “</w:t>
      </w:r>
      <w:r>
        <w:rPr>
          <w:rFonts w:ascii="Times New Roman" w:cs="Times New Roman" w:eastAsia="Times New Roman" w:hAnsi="Times New Roman"/>
          <w:sz w:val="18"/>
          <w:szCs w:val="18"/>
          <w:b w:val="1"/>
          <w:bCs w:val="1"/>
          <w:color w:val="auto"/>
        </w:rPr>
        <w:t>Existing Partnership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effectiveness of this Agreement, in accordance with the Business Combination Agreement, dated as of 18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Social Capital Suvretta Holdings Corp. III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and the Partnership, (i) the Partnership shall issue Common Units to certain of its Limited Partners as a Post-Recapitalization Unit Issuance, (ii) the Partnership shall issue Common Units to PubCo in exchange for a contribution by PubCo of a combination of Class B Common Shares, Acquiror Class B PMEL RSRs (as defined in the Business Combination Agreement) and cash, (iii) ProKidney GP Limited shall resign as the general partner of the Partnership and ProKidney Corp. GP Limited shall be admitted as the General Partner in substitution for ProKidney GP Limited, and (iv) the Partnership shall distribute such Class B Common Shares and Acquiror Class B PMEL RSRs to the Limited Partners (other than PubCo)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Business Combination, each of the Units (as each is defined in the Existing Partnership Agreement) of a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prior to the effectiveness of this Agreement shall be replaced with the number of Common Units set forth opposite such Partner’s name on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Partners have agreed to continue the Partnership and to amend and restate the Existing Partnership Agreement in its entirety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with effect from the Effective Date, and PubCo, by its execution and delivery of this Agreement, is hereby admitted to the Partnership as a Limited Partner and shall have the rights and obligations as provided in this Agreement.</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in this Agreement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the Existing Partnership Agreement is hereby amended and restated in its entirety on the terms of this Agreement (including to reflect the admission of PubCo as a new Limited Partner into the Partnership) (but without prejudice to any antecedent breach), such that, subject to the provisions of the Act, all matters between the Partners relating to the Partnership shall, with effect from the Effective Date, be governed by the terms of this Agreement, as follows: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As used herein, the following terms shall have the following meanings:</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 Day VWAP</w:t>
      </w:r>
      <w:r>
        <w:rPr>
          <w:rFonts w:ascii="Times New Roman" w:cs="Times New Roman" w:eastAsia="Times New Roman" w:hAnsi="Times New Roman"/>
          <w:sz w:val="18"/>
          <w:szCs w:val="18"/>
          <w:color w:val="auto"/>
        </w:rPr>
        <w:t>” means arithmetic average of the VWAP for an equivalent amount of Class A Common Shares each of the five (5) consecutive Trading Days ending on the Trading Day immediately prior to a requested subscription or redemption date described in Section 7.4.10.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Limited Partnerships Act 1907 and, as applicable, the Partnership Act 1890, each as amended and in effect at such time.</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Acting in Concert</w:t>
      </w:r>
      <w:r>
        <w:rPr>
          <w:rFonts w:ascii="Times New Roman" w:cs="Times New Roman" w:eastAsia="Times New Roman" w:hAnsi="Times New Roman"/>
          <w:sz w:val="18"/>
          <w:szCs w:val="18"/>
          <w:color w:val="auto"/>
        </w:rPr>
        <w:t>” has the meaning set out in the Takeover Panel Act 1997 and as regards a takeover, two or more persons are deemed to be acting in concert if, under an agreement or understanding (either formal or informal) between them, they actively cooperate in the acquisition of securities in a company.</w:t>
      </w:r>
    </w:p>
    <w:p>
      <w:pPr>
        <w:spacing w:after="0" w:line="6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Capital Account Balance</w:t>
      </w:r>
      <w:r>
        <w:rPr>
          <w:rFonts w:ascii="Times New Roman" w:cs="Times New Roman" w:eastAsia="Times New Roman" w:hAnsi="Times New Roman"/>
          <w:sz w:val="18"/>
          <w:szCs w:val="18"/>
          <w:color w:val="auto"/>
        </w:rPr>
        <w:t>” means, with respect to each Partner, the balance in such Partner’s Capital Account adjusted (i) by taking into account the adjustments, allocations and distributions described in Treasury Regulations Sections 1.704-1(b)(2)(ii)(d)(4), (5) and (6); and (ii) by adding to such balance such Partner’s share of Partnership Minimum Gain and Partner Nonrecourse Debt Minimum Gain, determined pursuant to Treasury Regulations Sections 1.704-2(g) and 1.704-2(i)(5), and any amounts such Partner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7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xml:space="preserve">” means such part of the Capital Contribution of a Partner as is in the form of an interest-free loan which each Partner shall, subject to the terms of this Agreement, make to the Partnership from time to time, which, as of the date of this Agreement, shall be recorded by the General Partner opposite such Partner’s name 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shall thereafter be updated in the records of the Partnership on an ongoing basis by the General Partner.</w:t>
      </w:r>
    </w:p>
    <w:p>
      <w:pPr>
        <w:spacing w:after="0" w:line="6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as executed and as it may be amended, modified, supplemented or restated from time to time, as provided herein.</w:t>
      </w:r>
    </w:p>
    <w:p>
      <w:pPr>
        <w:spacing w:after="0" w:line="117"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Tax Rate</w:t>
      </w:r>
      <w:r>
        <w:rPr>
          <w:rFonts w:ascii="Times New Roman" w:cs="Times New Roman" w:eastAsia="Times New Roman" w:hAnsi="Times New Roman"/>
          <w:sz w:val="18"/>
          <w:szCs w:val="18"/>
          <w:color w:val="auto"/>
        </w:rPr>
        <w:t>” means the highest effective marginal combined statutory U.S. federal, state and local income tax rate (including the tax imposed under Section 1411 of the Code on net investment income) for a taxable year prescribed for an individual or corporate resident in New York, New York (whichever results in the application of the highest state and local tax rate for a given type of income), and taking into account (a) the limitations imposed on the deductibility of expenses and other items, (b) the character (e.g., long-term or short-term capital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1" w:name="page162"/>
    <w:bookmarkEnd w:id="161"/>
    <w:p>
      <w:pPr>
        <w:ind w:right="60"/>
        <w:spacing w:after="0" w:line="261" w:lineRule="auto"/>
        <w:rPr>
          <w:sz w:val="20"/>
          <w:szCs w:val="20"/>
          <w:color w:val="auto"/>
        </w:rPr>
      </w:pPr>
      <w:r>
        <w:rPr>
          <w:rFonts w:ascii="Times New Roman" w:cs="Times New Roman" w:eastAsia="Times New Roman" w:hAnsi="Times New Roman"/>
          <w:sz w:val="18"/>
          <w:szCs w:val="18"/>
          <w:color w:val="auto"/>
        </w:rPr>
        <w:t>gain or ordinary or exempt income) of the applicable income, and (c) the deductibility of state and local income taxes, to the extent applicable (and with any dollar limitation on state and local income tax deductibility assumed to be exceeded), but not taking into account any deduction under Section 199A of the Code or any similar state or local Law, as determined in good faith by the General Partner. For the avoidance of doubt, the Assumed Tax Rate shall be the same for all Partners.</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as of a particular date, the amount of cash on hand which the General Partner, in its reasonable discretion, deems available for Distribution to the Partners, taking into account all debts, liabilities and obligations of the Partnership then due and amounts that the General Partner, in its reasonable discretion, deems necessary to expend or retain for working capital or to place into reserves for customary and usual claims with respect to the Partnership’s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commercial banks are open for business in the city of New York, New York, United States of America and in Ireland and the Cayman Islands.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means the separate capital account maintained for each Partner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means, with respect to any Partner, the aggregate amount of the money and the initial Carrying Value of any property (other than money), net of any liabilities assumed by the Partnership upon contribution or to which such property is subject, contributed by a Partner to the Partnership (by way of Equity Contribution or Advance) for the issuance of Units. Any reference to the Capital Contribution of a Partner will include any Capital Contributions made by a predecessor holder of such Partner’s Units to the extent that such Capital Contribution was made in respect of Units Transferred to such Partner. As of the Effective Time, each Partner shall be deemed to have made Capital Contributions equal to the Closing Date Capital Account Balance of such Partner set forth next to such Partner’s name on Schedule I hereto.</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Carrying Value</w:t>
      </w:r>
      <w:r>
        <w:rPr>
          <w:rFonts w:ascii="Times New Roman" w:cs="Times New Roman" w:eastAsia="Times New Roman" w:hAnsi="Times New Roman"/>
          <w:sz w:val="18"/>
          <w:szCs w:val="18"/>
          <w:color w:val="auto"/>
        </w:rPr>
        <w:t xml:space="preserve">” means, with respect to any Partnership asset, the asset’s adjusted basis for U.S. federal income tax purposes, except that the initial carrying value of assets contributed to the Partnership shall be their respective gross Fair Market Values on the date of contribution as determined by the General Partner, in its reasonable discretion, and the Carrying Values of all Partnership assets shall be adjusted to equal their respective Fair Market Values, in accordance with the rules set forth in Treasury Regulation Section 1.704-1(b)(2)(iv)(f), except as otherwise provided herein, as of: (a) the date of the acquisition of any additional Units of the Partnership by any new or existing Partner in exchange for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Capital Contribution; (b) the date of the Distribution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Partnership assets to a Partner as consideration for an interest in the Partnership; (c) the liquidation of the Partnership within the meaning of Treasury Regulations Section 1.704-1(b)(2)(ii)(g); (d) in connection with the grant of an interest in the Partnership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interest) as consideration for the provision of services to or for the benefit of the Partnership by an existing Partner acting in a</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partner capacity, or by a new Partner acting in a partner capacity in anticipation of being a Partner, (e) the acquisition of an interest in the Partnership upon the exercise of a non-compensatory option in accordance with Treasury Regulations Section 1.704-1(b)(2)(iv)(s); (f) the Effective Date in connection with the closing of the transactions contemplated by the Business Combination Agreement, (g) the conversion of any Restricted Common Units into Common Units upon the occurrence of a Vesting Event, if any, in accordance with principles similar to those set forth in Treasury Regulations Section 1.704-1(b)(2) (iv)(s); or (h) any other date specified in the Treasury Regulations; provided, however, that adjustments pursuant to clauses (a), (b), (d) and (g) above shall be made only if such adjustments are deemed necessary or appropriate by the General Partner, in its reasonable discretion, to reflect the relative economic interests of the Partners; and provided, further, if any non-compensatory option or Restricted Common Unit is outstanding upon the occurrence of an event described in this sentence (other than, if applicable, the non-compensatory options being exercised or the Restricted Common Units being converted that give rise to the occurrence of such event), Carrying Values shall be adjusted in accordance with Treasury Regulations Sections 1.704-1(b)(2)(iv)(f)(1) and 1.704-1(b)(2)(iv)(h)(2) (or, in the case of outstanding Restricted Common Units, in accordance with principles similar to those set forth in such Sections). The Carrying Value of any Partnership asset distributed to any Partner shall be adjusted immediately before such Distribution to equal its Fair Market Value. In the case of any asset that has a Carrying Value that differs from its adjusted tax basis, Carrying Value shall be adjusted by the amount of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2" w:name="page163"/>
    <w:bookmarkEnd w:id="162"/>
    <w:p>
      <w:pPr>
        <w:ind w:right="40"/>
        <w:spacing w:after="0" w:line="254" w:lineRule="auto"/>
        <w:rPr>
          <w:sz w:val="20"/>
          <w:szCs w:val="20"/>
          <w:color w:val="auto"/>
        </w:rPr>
      </w:pPr>
      <w:r>
        <w:rPr>
          <w:rFonts w:ascii="Times New Roman" w:cs="Times New Roman" w:eastAsia="Times New Roman" w:hAnsi="Times New Roman"/>
          <w:sz w:val="18"/>
          <w:szCs w:val="18"/>
          <w:color w:val="auto"/>
        </w:rPr>
        <w:t>calculated for purposes of the definition of “Profits” and “Losses” rather than the amount of depreciation determined for U.S. federal income tax purposes, and depreciation shall be calculated by reference to Carrying Value rather than tax basis once Carrying Value differs from tax basis. The Carrying Value of Partnership assets shall be increased (or decreased) to reflect any adjustments to the adjusted basis of such assets pursuant to Code Section 734(b) or Section 743(b), but only to the extent that such adjustments are taken into account in determining Capital Accounts pursuant to Treasury Regulations Section 1.704-1(b)(2)(iv)(m); provided, however, that Carrying Values shall not be adjusted pursuant to this sentence to the extent that the General Partner reasonably determines that an adjustment pursuant to clauses (a) through (g) of the first sentence of this definition is necessary or appropriate in connection with the transaction that would otherwise result in an adjustment pursuant to this sentence. For clarity purposes, the applicable law for Mexican tax purposes shall be the Mexican income tax law.</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has the meaning given to such term in the Tax Receivable Agreement; provided that, for the avoidance of doubt, any event that constitutes both a PubCo Offer and a Change of Control of PubCo shall be considered a PubCo Offer for purposes of this Agreement.</w:t>
      </w:r>
    </w:p>
    <w:p>
      <w:pPr>
        <w:spacing w:after="0" w:line="4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means the classes of Units into which the interests in the Partnership may be classified or divided from time to time by the General Partner pursuant to the provisions of this Agreement. As of the date of this Agreement, the only Class consists of the Common Units, which includes the Restricted Common Units. Subclasses within a Class shall not be separate Classes for purposes of this Agreement. For all purposes hereunder and under the Act, only such Classes expressly established under this Agreement, including by the General Partner in accordance with this Agreement, shall be deemed to be a class of interests in the Partnership.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Shares</w:t>
      </w:r>
      <w:r>
        <w:rPr>
          <w:rFonts w:ascii="Times New Roman" w:cs="Times New Roman" w:eastAsia="Times New Roman" w:hAnsi="Times New Roman"/>
          <w:sz w:val="18"/>
          <w:szCs w:val="18"/>
          <w:color w:val="auto"/>
        </w:rPr>
        <w:t>” means the Class A Ordinary Shares of PubCo, par value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Shares</w:t>
      </w:r>
      <w:r>
        <w:rPr>
          <w:rFonts w:ascii="Times New Roman" w:cs="Times New Roman" w:eastAsia="Times New Roman" w:hAnsi="Times New Roman"/>
          <w:sz w:val="18"/>
          <w:szCs w:val="18"/>
          <w:color w:val="auto"/>
        </w:rPr>
        <w:t>” means the Class B Ordinary Shares of PubCo, par value $0.0001 per share.</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 pursuant to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Company Unitholder</w:t>
      </w:r>
      <w:r>
        <w:rPr>
          <w:rFonts w:ascii="Times New Roman" w:cs="Times New Roman" w:eastAsia="Times New Roman" w:hAnsi="Times New Roman"/>
          <w:sz w:val="18"/>
          <w:szCs w:val="18"/>
          <w:color w:val="auto"/>
        </w:rPr>
        <w:t>” has the meaning ascribed to such term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Percentage Interest</w:t>
      </w:r>
      <w:r>
        <w:rPr>
          <w:rFonts w:ascii="Times New Roman" w:cs="Times New Roman" w:eastAsia="Times New Roman" w:hAnsi="Times New Roman"/>
          <w:sz w:val="18"/>
          <w:szCs w:val="18"/>
          <w:color w:val="auto"/>
        </w:rPr>
        <w:t>” means, with respect to any Partner, the quotient obtained by dividing the aggregate number of Common Units then owned by such Partner by the aggregate number of Common Units then owned by all Partners.</w:t>
      </w:r>
    </w:p>
    <w:p>
      <w:pPr>
        <w:spacing w:after="0" w:line="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means the Units of interest in the Partnership designated as the “Common Units” herein and having the rights pertaining thereto as are set forth in this Agreement, but shall exclude any Restricted Common Units prior to their conversion into Common Units upon the occurrence of a Vesting Event, if any.</w:t>
      </w:r>
    </w:p>
    <w:p>
      <w:pPr>
        <w:spacing w:after="0" w:line="6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Competitively Sensitive Information</w:t>
      </w:r>
      <w:r>
        <w:rPr>
          <w:rFonts w:ascii="Times New Roman" w:cs="Times New Roman" w:eastAsia="Times New Roman" w:hAnsi="Times New Roman"/>
          <w:sz w:val="18"/>
          <w:szCs w:val="18"/>
          <w:color w:val="auto"/>
        </w:rPr>
        <w:t>” means, as it relates to any Partner, (i) information that contains details regarding the activities of the Partnership and its Affiliates which are competitive with the business of, or present a conflict of interest with, such Partner and/or its Affiliates, (ii) cost, pricing, vendor and supplier terms and information (including margin and profitability) regarding the products and services that the Partnership provides or may provide a Partner and/or its Affiliates pursuant to the Partnership’s commercial relationship with such Partner and/or its Affiliates or (iii) details, discussions or the existence of (or offers, proposals or inquiries for) any agreements with, business relationships with or work performed for, specific customers and other business partners who could be competitors of, or present a conflict of interest with, such Partner and/or its Affiliates, in each case as determined by the General Partner; provided that, this definition shall exclude any information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otherwise made publicly available.</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w:t>
      </w:r>
      <w:r>
        <w:rPr>
          <w:rFonts w:ascii="Times New Roman" w:cs="Times New Roman" w:eastAsia="Times New Roman" w:hAnsi="Times New Roman"/>
          <w:sz w:val="18"/>
          <w:szCs w:val="18"/>
          <w:color w:val="auto"/>
        </w:rPr>
        <w:t>” means, in relation to any Person, any other person who is (i) connected for the purposes of Section 10 of the Taxes Consolidation Act 1997; (ii) who together with the first main person is Acting in Concert; and / or (iii) an Affiliate.</w:t>
      </w:r>
    </w:p>
    <w:p>
      <w:pPr>
        <w:spacing w:after="0" w:line="4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Partners</w:t>
      </w:r>
      <w:r>
        <w:rPr>
          <w:rFonts w:ascii="Times New Roman" w:cs="Times New Roman" w:eastAsia="Times New Roman" w:hAnsi="Times New Roman"/>
          <w:sz w:val="18"/>
          <w:szCs w:val="18"/>
          <w:color w:val="auto"/>
        </w:rPr>
        <w:t>” means the Limited Partners of the Partnership as of immediately prior to the Closing (as defined in the Business Combination Agreement) of the Business Combination; provided, however, that any PMEL Post-Combination Unitholder, who is or which is admitted as a Limited Partner at Closing, shall also be treated as a Continuing Partner for the purposes of this definition.</w:t>
      </w:r>
    </w:p>
    <w:p>
      <w:pPr>
        <w:spacing w:after="0" w:line="6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Partner Representative</w:t>
      </w:r>
      <w:r>
        <w:rPr>
          <w:rFonts w:ascii="Times New Roman" w:cs="Times New Roman" w:eastAsia="Times New Roman" w:hAnsi="Times New Roman"/>
          <w:sz w:val="18"/>
          <w:szCs w:val="18"/>
          <w:color w:val="auto"/>
        </w:rPr>
        <w:t>” means Pablo Legorreta or such other Person as may be appointed from time to time by the Requisite Continuing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spacing w:after="0" w:line="8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with respect to any Restricted Common Unit, the date on which a Vesting Event occurs for such Restricted Common Unit or such later date determined pursuant to Section 9.6.</w:t>
      </w:r>
    </w:p>
    <w:p>
      <w:pPr>
        <w:spacing w:after="0" w:line="4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Transaction</w:t>
      </w:r>
      <w:r>
        <w:rPr>
          <w:rFonts w:ascii="Times New Roman" w:cs="Times New Roman" w:eastAsia="Times New Roman" w:hAnsi="Times New Roman"/>
          <w:sz w:val="18"/>
          <w:szCs w:val="18"/>
          <w:color w:val="auto"/>
        </w:rPr>
        <w:t>” means any liquidation, dissolution or winding up of the Partnership (whether occurring through one transaction or a series of related transactions, and whether voluntary or involuntary) and any other sale, redemption or Transfer of Units.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transfer of any money or other property to a Partner in respect of its Units or other Equity Interests in the Partnership.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 other than encumbrances arising under applicable securities Laws.</w:t>
      </w:r>
    </w:p>
    <w:p>
      <w:pPr>
        <w:spacing w:after="0" w:line="6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w:t>
      </w:r>
      <w:r>
        <w:rPr>
          <w:rFonts w:ascii="Times New Roman" w:cs="Times New Roman" w:eastAsia="Times New Roman" w:hAnsi="Times New Roman"/>
          <w:sz w:val="18"/>
          <w:szCs w:val="18"/>
          <w:color w:val="auto"/>
        </w:rPr>
        <w:t xml:space="preserve">” means such part of the Capital Contribution of a Partner as takes the form of amounts contributed to the capital of the Partnership from time to time by such Partner which, as of the date of this Agreement, shall be recorded by the General Partner opposite such Partner’s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shall thereafter be updated in the records of the Partnership on an ongoing basis by the General Partner.</w:t>
      </w:r>
    </w:p>
    <w:p>
      <w:pPr>
        <w:spacing w:after="0" w:line="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 capital stock, membership interests, shares,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of the United States of America,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means the Exchange Agreement dated as of or about the date hereof by and among the Partnership, PubCo, the other Partners of the Partnership from time to time party thereto, and the other parties thereto, as amended from time to time.</w:t>
      </w:r>
    </w:p>
    <w:p>
      <w:pPr>
        <w:spacing w:after="0" w:line="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Transaction</w:t>
      </w:r>
      <w:r>
        <w:rPr>
          <w:rFonts w:ascii="Times New Roman" w:cs="Times New Roman" w:eastAsia="Times New Roman" w:hAnsi="Times New Roman"/>
          <w:sz w:val="18"/>
          <w:szCs w:val="18"/>
          <w:color w:val="auto"/>
        </w:rPr>
        <w:t>” means an exchange of Common Units and Class B Common Shares for Class A Common Shares of PubCo pursuant to, and in accordance with, the Exchange Agreement (including pursuant to a Direct Exchange (as defined in the Exchange Agreement)).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Partnership Agreement</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Group</w:t>
      </w:r>
      <w:r>
        <w:rPr>
          <w:rFonts w:ascii="Times New Roman" w:cs="Times New Roman" w:eastAsia="Times New Roman" w:hAnsi="Times New Roman"/>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unless otherwise determined by the General Partner in its sole discretion in accordance with Section 14.12, any twelve-month period commencing on January 1 and ending on December 31.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accounting principles generally accepted in the United States of America as in effect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has the meaning set forth in Section 6.1.4(a).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4" w:name="page165"/>
    <w:bookmarkEnd w:id="164"/>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means (a) each director and Officer of the General Partner, (b) any Person who is or was a Partnership Representative, (c) any Person that is required to be indemnified by PubCo as an “indemnitee” in accordance with the memorandum and articles of PubCo as in effect from time to time, (d) any Person or any additional or substitute Person who is or was serving, in each case of the following, at the request of the Partnership as an officer, director, employee, partner, agent, fiduciary or trustee of another Person; provided that, a Person shall not be an Indemnitee by reason of providing, on a fee-for-services basis, trustee, fiduciary or custodial services, (e) any other Person the General Partner in its sole discretion designates as an “Indemnitee” for purposes of this Agreement, (f) any former officer or director of ProKidney GP Limited or the Partnership pursuant to Section 6.7 of the Business Combination Agreement and (g) any heir, executor or administrator with respect to Persons named in clauses (a) through (f).</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Partnership or any Partner, as the case may be.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Partner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w:t>
      </w:r>
      <w:r>
        <w:rPr>
          <w:rFonts w:ascii="Times New Roman" w:cs="Times New Roman" w:eastAsia="Times New Roman" w:hAnsi="Times New Roman"/>
          <w:sz w:val="18"/>
          <w:szCs w:val="18"/>
          <w:color w:val="auto"/>
        </w:rPr>
        <w:t>” means, whether occurring through one transaction or a series of related transactions, any liquidation, dissolution or winding up, voluntary or involuntary, of the Partnership.</w:t>
      </w:r>
    </w:p>
    <w:p>
      <w:pPr>
        <w:spacing w:after="0" w:line="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means the Lock-Up Agreement dated as of or about the date hereof by and among PubCo, the Partnership, certain Partners of the Partnership and the other parties thereto, as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has the meaning set forth in the Lock-Up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Deductions</w:t>
      </w:r>
      <w:r>
        <w:rPr>
          <w:rFonts w:ascii="Times New Roman" w:cs="Times New Roman" w:eastAsia="Times New Roman" w:hAnsi="Times New Roman"/>
          <w:sz w:val="18"/>
          <w:szCs w:val="18"/>
          <w:color w:val="auto"/>
        </w:rPr>
        <w:t>” has the meaning set forth in Treasury Regulations Section 1.704-2(b)(1).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means each Person designated as an officer of the Partnership by the General Partner pursuant to and in accordance with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subject to any resolutions of the General Partner appointing such Person as an officer of the General Partner or relating to such appointment.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Unit</w:t>
      </w:r>
      <w:r>
        <w:rPr>
          <w:rFonts w:ascii="Times New Roman" w:cs="Times New Roman" w:eastAsia="Times New Roman" w:hAnsi="Times New Roman"/>
          <w:sz w:val="18"/>
          <w:szCs w:val="18"/>
          <w:color w:val="auto"/>
        </w:rPr>
        <w:t>” means, with respect to any Distribution (or other allocation of proceeds) pursuant to Section 6.1 or Section 6.2, any outstanding Unit, but shall exclude any Restricted Common Units prior to their conversion into Common Units upon the occurrence of a Vesting Event, if any.</w:t>
      </w:r>
    </w:p>
    <w:p>
      <w:pPr>
        <w:spacing w:after="0" w:line="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w:t>
      </w:r>
      <w:r>
        <w:rPr>
          <w:rFonts w:ascii="Times New Roman" w:cs="Times New Roman" w:eastAsia="Times New Roman" w:hAnsi="Times New Roman"/>
          <w:sz w:val="18"/>
          <w:szCs w:val="18"/>
          <w:color w:val="auto"/>
        </w:rPr>
        <w:t>” means (a) the persons listed in Part 2 of Schedule 1 (including the General Partner); and (b) each Person who is hereafter admitted as a Partner in accordance with the terms of this Agreement and the Act.</w:t>
      </w:r>
    </w:p>
    <w:p>
      <w:pPr>
        <w:spacing w:after="0" w:line="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 Nonrecourse Debt Minimum Gain</w:t>
      </w:r>
      <w:r>
        <w:rPr>
          <w:rFonts w:ascii="Times New Roman" w:cs="Times New Roman" w:eastAsia="Times New Roman" w:hAnsi="Times New Roman"/>
          <w:sz w:val="18"/>
          <w:szCs w:val="18"/>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1.704-2(b)(3)) determined in accordance with Treasury Regulations Section 1.704-2(i)(3).</w:t>
      </w:r>
    </w:p>
    <w:p>
      <w:pPr>
        <w:spacing w:after="0" w:line="6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 Nonrecourse Deduction</w:t>
      </w:r>
      <w:r>
        <w:rPr>
          <w:rFonts w:ascii="Times New Roman" w:cs="Times New Roman" w:eastAsia="Times New Roman" w:hAnsi="Times New Roman"/>
          <w:sz w:val="18"/>
          <w:szCs w:val="18"/>
          <w:color w:val="auto"/>
        </w:rPr>
        <w:t>” has the meaning ascribed to the term “partner nonrecourse deductions” set forth in Treasury Regulations Section 1.704-2(i)(2).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Audit Provisions</w:t>
      </w:r>
      <w:r>
        <w:rPr>
          <w:rFonts w:ascii="Times New Roman" w:cs="Times New Roman" w:eastAsia="Times New Roman" w:hAnsi="Times New Roman"/>
          <w:sz w:val="18"/>
          <w:szCs w:val="18"/>
          <w:color w:val="auto"/>
        </w:rPr>
        <w:t>” means Code Sections 6221 through 6241, as in effect for taxable years of the Partnership together with any subsequent amendments thereto, Treasury Regulations promulgated thereunder, and published administrative interpretations thereof, and any comparable provisions of state, local or non-U.S.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Minimum Gain</w:t>
      </w:r>
      <w:r>
        <w:rPr>
          <w:rFonts w:ascii="Times New Roman" w:cs="Times New Roman" w:eastAsia="Times New Roman" w:hAnsi="Times New Roman"/>
          <w:sz w:val="18"/>
          <w:szCs w:val="18"/>
          <w:color w:val="auto"/>
        </w:rPr>
        <w:t>” has the meaning ascribed to the term “partnership minimum gain” set forth in Treasury Regulations Sections 1.704-2(b)(2) and 1.704-2(d).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Representative</w:t>
      </w:r>
      <w:r>
        <w:rPr>
          <w:rFonts w:ascii="Times New Roman" w:cs="Times New Roman" w:eastAsia="Times New Roman" w:hAnsi="Times New Roman"/>
          <w:sz w:val="18"/>
          <w:szCs w:val="18"/>
          <w:color w:val="auto"/>
        </w:rPr>
        <w:t>” means any Person acting as the “partnership representative” pursuant to Section 7.7</w:t>
      </w:r>
      <w:r>
        <w:rPr>
          <w:rFonts w:ascii="Times New Roman" w:cs="Times New Roman" w:eastAsia="Times New Roman" w:hAnsi="Times New Roman"/>
          <w:sz w:val="18"/>
          <w:szCs w:val="18"/>
          <w:u w:val="single" w:color="auto"/>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 Required Tax Distribution</w:t>
      </w:r>
      <w:r>
        <w:rPr>
          <w:rFonts w:ascii="Times New Roman" w:cs="Times New Roman" w:eastAsia="Times New Roman" w:hAnsi="Times New Roman"/>
          <w:sz w:val="18"/>
          <w:szCs w:val="18"/>
          <w:color w:val="auto"/>
        </w:rPr>
        <w:t>” has the meaning set forth in Section 6.1.4.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any transferee in an Exempt Transfer.</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w:t>
      </w:r>
      <w:r>
        <w:rPr>
          <w:rFonts w:ascii="Times New Roman" w:cs="Times New Roman" w:eastAsia="Times New Roman" w:hAnsi="Times New Roman"/>
          <w:sz w:val="18"/>
          <w:szCs w:val="18"/>
          <w:color w:val="auto"/>
        </w:rPr>
        <w:t>” means ProKidney Management Equity LLC.</w:t>
      </w:r>
    </w:p>
    <w:p>
      <w:pPr>
        <w:spacing w:after="0" w:line="117"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PMEL Award Agreement Recipients</w:t>
      </w:r>
      <w:r>
        <w:rPr>
          <w:rFonts w:ascii="Times New Roman" w:cs="Times New Roman" w:eastAsia="Times New Roman" w:hAnsi="Times New Roman"/>
          <w:sz w:val="17"/>
          <w:szCs w:val="17"/>
          <w:color w:val="auto"/>
        </w:rPr>
        <w:t>” means the directors, officers, consultants, developers, contractors and employees of the Partnership, its former general partner or any Subsidiary of the Partnership, or any other Person who received PMEL Interests pursuant to the PMEL Award Agreements.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Award Agreements</w:t>
      </w:r>
      <w:r>
        <w:rPr>
          <w:rFonts w:ascii="Times New Roman" w:cs="Times New Roman" w:eastAsia="Times New Roman" w:hAnsi="Times New Roman"/>
          <w:sz w:val="18"/>
          <w:szCs w:val="18"/>
          <w:color w:val="auto"/>
        </w:rPr>
        <w:t>” means award agreements which were entered into between PMEL and the PMEL Award Agreement Recipients pursuant to which PMEL issued PMEL Interests to the PMEL Award Agreement Recipients, subject to certain terms, including as with respect to vesting and forfeiture, as contained therein.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Interests</w:t>
      </w:r>
      <w:r>
        <w:rPr>
          <w:rFonts w:ascii="Times New Roman" w:cs="Times New Roman" w:eastAsia="Times New Roman" w:hAnsi="Times New Roman"/>
          <w:sz w:val="18"/>
          <w:szCs w:val="18"/>
          <w:color w:val="auto"/>
        </w:rPr>
        <w:t>” means the Class B Profits Units in PMEL granted to the PMEL Award Recipients pursuant to the PMEL Award Agreements.</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RCU Vesting Event</w:t>
      </w:r>
      <w:r>
        <w:rPr>
          <w:rFonts w:ascii="Times New Roman" w:cs="Times New Roman" w:eastAsia="Times New Roman" w:hAnsi="Times New Roman"/>
          <w:sz w:val="18"/>
          <w:szCs w:val="18"/>
          <w:color w:val="auto"/>
        </w:rPr>
        <w:t>” means, with respect to any PMEL RCUs, the date on which a portion of PMEL RCUs would vest under the terms of the corresponding PMEL Award Agreement. With respect to any PMEL RCUs, the “corresponding PMEL Award Agreement” shall mean the PMEL Award Agreement pursuant to which the applicable PMEL Award Recipient received PMEL Interests, which PMEL Interests, by virtue of the transactions contemplated by the Business Combination Agreement, became PMEL RCUs held by a PMEL Post-Combination Unitholder hereunder.</w:t>
      </w:r>
    </w:p>
    <w:p>
      <w:pPr>
        <w:spacing w:after="0" w:line="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RCUs</w:t>
      </w:r>
      <w:r>
        <w:rPr>
          <w:rFonts w:ascii="Times New Roman" w:cs="Times New Roman" w:eastAsia="Times New Roman" w:hAnsi="Times New Roman"/>
          <w:sz w:val="18"/>
          <w:szCs w:val="18"/>
          <w:color w:val="auto"/>
        </w:rPr>
        <w:t>” means those Restricted Common Units issued to a PMEL Post-Combination Unitholder pursuant to the transactions contemplated by the Business Combination Agreement in respect of PMEL Interests of a PMEL Award Agreement Recipient that had not vested on the Effective Date and which Restricted Common Units are restricted subject to vesting and will vest upon the occurrence of each PMEL RCU Vesting Event, with the rights and privileges as set forth in this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Post-Combination Unitholder</w:t>
      </w:r>
      <w:r>
        <w:rPr>
          <w:rFonts w:ascii="Times New Roman" w:cs="Times New Roman" w:eastAsia="Times New Roman" w:hAnsi="Times New Roman"/>
          <w:sz w:val="18"/>
          <w:szCs w:val="18"/>
          <w:color w:val="auto"/>
        </w:rPr>
        <w:t>” has the meaning ascribed to such term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Post-Recapitalization Unit Issuance</w:t>
      </w:r>
      <w:r>
        <w:rPr>
          <w:rFonts w:ascii="Times New Roman" w:cs="Times New Roman" w:eastAsia="Times New Roman" w:hAnsi="Times New Roman"/>
          <w:sz w:val="18"/>
          <w:szCs w:val="18"/>
          <w:color w:val="auto"/>
        </w:rPr>
        <w:t>” has the meaning set forth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Indemnification</w:t>
      </w:r>
      <w:r>
        <w:rPr>
          <w:rFonts w:ascii="Times New Roman" w:cs="Times New Roman" w:eastAsia="Times New Roman" w:hAnsi="Times New Roman"/>
          <w:sz w:val="18"/>
          <w:szCs w:val="18"/>
          <w:color w:val="auto"/>
        </w:rPr>
        <w:t>” has the meaning set forth in Section 12.2.1.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has the meaning set forth in Section 12.2.1.</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for each Fiscal Year or other period, the taxable income or loss of the Partnership, or particular items thereof, determined in accordance with the accounting method used by the Partnership for U.S. federal income tax purposes with the following adjustments: (a) all items of income, gain, loss or deduction allocated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not be taken into account in computing such taxable income or loss (but the amounts of items to be specially allocated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determined by applying rules analogous to those set forth in the remainder of this definition of “Profits” and “Losses”); (b) any income of the Partnership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6" w:name="page167"/>
    <w:bookmarkEnd w:id="166"/>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income tax depreciation, amortization or other cost recovery deductions bears to such adjusted tax basis (provided that, if the U.S. federal income tax depreciation, amortization or other cost recovery deduction is zero, the General Partner may use any reasonable method for purposes of determining depreciation, amortization or other cost recovery deductions in calculating Profits and Losses); (f) to the extent that an adjustment to the adjusted tax basis of any Partnership asset pursuant to Code Section 734(b) is required pursuant to Treasury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Board</w:t>
      </w:r>
      <w:r>
        <w:rPr>
          <w:rFonts w:ascii="Times New Roman" w:cs="Times New Roman" w:eastAsia="Times New Roman" w:hAnsi="Times New Roman"/>
          <w:sz w:val="18"/>
          <w:szCs w:val="18"/>
          <w:color w:val="auto"/>
        </w:rPr>
        <w:t>” means the board of directors of PubCo.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has the meaning set forth in Section 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Transaction</w:t>
      </w:r>
      <w:r>
        <w:rPr>
          <w:rFonts w:ascii="Times New Roman" w:cs="Times New Roman" w:eastAsia="Times New Roman" w:hAnsi="Times New Roman"/>
          <w:sz w:val="18"/>
          <w:szCs w:val="18"/>
          <w:color w:val="auto"/>
        </w:rPr>
        <w:t>” shall mean a Change of Control.</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Continuing Partners</w:t>
      </w:r>
      <w:r>
        <w:rPr>
          <w:rFonts w:ascii="Times New Roman" w:cs="Times New Roman" w:eastAsia="Times New Roman" w:hAnsi="Times New Roman"/>
          <w:sz w:val="18"/>
          <w:szCs w:val="18"/>
          <w:color w:val="auto"/>
        </w:rPr>
        <w:t>” means, as of the time of determination, the Partners that hold a majority of the Units that are collectively held by the Continuing Partners (other than PMEL) immediately prior to the Closing (as defined in the Business Combination Agreement).</w:t>
      </w:r>
    </w:p>
    <w:p>
      <w:pPr>
        <w:spacing w:after="0" w:line="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Common Unit</w:t>
      </w:r>
      <w:r>
        <w:rPr>
          <w:rFonts w:ascii="Times New Roman" w:cs="Times New Roman" w:eastAsia="Times New Roman" w:hAnsi="Times New Roman"/>
          <w:sz w:val="18"/>
          <w:szCs w:val="18"/>
          <w:color w:val="auto"/>
        </w:rPr>
        <w:t>” means Units which are restricted and subject to vesting, and with the rights and privileges as set forth in this Agreement (including the Series 1 RCUs, the Series 2 RCUs, the Series 3 RCUs and the PMEL RCUs (which PMEL RCUs incorporate by reference the terms of the corresponding PMEL Award Agreements), and the General Partner shall maintain copies of the terms of such arrangements in its books and records.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1 RCU</w:t>
      </w:r>
      <w:r>
        <w:rPr>
          <w:rFonts w:ascii="Times New Roman" w:cs="Times New Roman" w:eastAsia="Times New Roman" w:hAnsi="Times New Roman"/>
          <w:sz w:val="18"/>
          <w:szCs w:val="18"/>
          <w:color w:val="auto"/>
        </w:rPr>
        <w:t>” means a Restricted Common Unit which is restricted subject to vesting and will vest upon the occurrence of a Series 1 Vesting Event, with the rights and privileges as set forth in this Agreement.</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2 RCU</w:t>
      </w:r>
      <w:r>
        <w:rPr>
          <w:rFonts w:ascii="Times New Roman" w:cs="Times New Roman" w:eastAsia="Times New Roman" w:hAnsi="Times New Roman"/>
          <w:sz w:val="18"/>
          <w:szCs w:val="18"/>
          <w:color w:val="auto"/>
        </w:rPr>
        <w:t>” means a Restricted Common Unit which is restricted subject to vesting and will vest upon the occurrence of a Series 2 Vesting Event, with the rights and privileges as set forth in this Agreement.</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3 RCU</w:t>
      </w:r>
      <w:r>
        <w:rPr>
          <w:rFonts w:ascii="Times New Roman" w:cs="Times New Roman" w:eastAsia="Times New Roman" w:hAnsi="Times New Roman"/>
          <w:sz w:val="18"/>
          <w:szCs w:val="18"/>
          <w:color w:val="auto"/>
        </w:rPr>
        <w:t>” means a Restricted Common Unit which is restricted subject to vesting and will vest upon the occurrence of a Series 3 Vesting Event, with the rights and privileges as set forth in this Agreement.</w:t>
      </w:r>
    </w:p>
    <w:p>
      <w:pPr>
        <w:spacing w:after="0" w:line="47"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1 Vesting Event</w:t>
      </w:r>
      <w:r>
        <w:rPr>
          <w:rFonts w:ascii="Times New Roman" w:cs="Times New Roman" w:eastAsia="Times New Roman" w:hAnsi="Times New Roman"/>
          <w:sz w:val="18"/>
          <w:szCs w:val="18"/>
          <w:color w:val="auto"/>
        </w:rPr>
        <w:t>” means the occurrence or deemed occurrence of Triggering Event I (as defined in the Business Combination Agreement) in accordance with the Business Combination Agreement.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2 Vesting Event</w:t>
      </w:r>
      <w:r>
        <w:rPr>
          <w:rFonts w:ascii="Times New Roman" w:cs="Times New Roman" w:eastAsia="Times New Roman" w:hAnsi="Times New Roman"/>
          <w:sz w:val="18"/>
          <w:szCs w:val="18"/>
          <w:color w:val="auto"/>
        </w:rPr>
        <w:t>” means the occurrence or deemed occurrence of Triggering Event II (as defined in the Business Combination Agreement) in accordance with the Business Combination Agreement.</w:t>
      </w:r>
    </w:p>
    <w:p>
      <w:pPr>
        <w:spacing w:after="0" w:line="4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3 Vesting Event</w:t>
      </w:r>
      <w:r>
        <w:rPr>
          <w:rFonts w:ascii="Times New Roman" w:cs="Times New Roman" w:eastAsia="Times New Roman" w:hAnsi="Times New Roman"/>
          <w:sz w:val="18"/>
          <w:szCs w:val="18"/>
          <w:color w:val="auto"/>
        </w:rPr>
        <w:t>” means the occurrence or deemed occurrence of Triggering Event III (as defined in the Business Combination Agreement) in accordance with the Business Combination Agreement.</w:t>
      </w:r>
    </w:p>
    <w:p>
      <w:pPr>
        <w:spacing w:after="0" w:line="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Law</w:t>
      </w:r>
      <w:r>
        <w:rPr>
          <w:rFonts w:ascii="Times New Roman" w:cs="Times New Roman" w:eastAsia="Times New Roman" w:hAnsi="Times New Roman"/>
          <w:sz w:val="18"/>
          <w:szCs w:val="18"/>
          <w:color w:val="auto"/>
        </w:rPr>
        <w:t>” means any law or regulation that could cause the underlying assets of the Partnership to be treated as assets of the Partner by virtue of its interest in the Partnership and thereby subject the Partnership and PubCo (or other persons responsible for the investment and operation of the Partnership’s assets) to laws or regulations that are similar to the fiduciary responsibility or prohibited transaction provisions contained in Title I of ERISA or Section 4975 of the Code.</w:t>
      </w:r>
    </w:p>
    <w:p>
      <w:pPr>
        <w:spacing w:after="0" w:line="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shares, membership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Partnership shall be given effect only at such times that the Partnership has one or more Subsidiaries, and, unless otherwise indicated, the term “Subsidiary” refers to a Subsidiary of the Partnership.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Advances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6.1.4(b).</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Estimation Period</w:t>
      </w:r>
      <w:r>
        <w:rPr>
          <w:rFonts w:ascii="Times New Roman" w:cs="Times New Roman" w:eastAsia="Times New Roman" w:hAnsi="Times New Roman"/>
          <w:sz w:val="18"/>
          <w:szCs w:val="18"/>
          <w:color w:val="auto"/>
        </w:rPr>
        <w:t>” shall mean each period from January 1 through March 31, from April 1 through May 31, from June 1 through August 31, and from September 1 through December 31 of each taxable year.</w:t>
      </w:r>
    </w:p>
    <w:p>
      <w:pPr>
        <w:spacing w:after="0" w:line="4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means the Tax Receivable Agreement dated as of or about the date hereof among the Partnership, PubCo and the other parties from time to time party thereto, as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has the meaning provided in the Exchange Agreement.</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means any Person that is a permitted transferee of a Partner’s interest in the Partnership, or part thereof.</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means a single unit of account for the purposes of (a) calculating the shares of the Partners in the profits of the Partnership, (b) calculating the voting rights of the Partners, and (c) ascertaining the respective rights, as between the Partners, in any other matters in which such term is used in this Agreement, and a Unit shall constitute an interest in the Partnership as provided in this Agreement and under the Act, entitling the holders thereof to the relative rights, title and interests in the profits, losses, deductions and credits of the Partnership at any particular time as set forth in this Agreement, and any and all other benefits to which a holder thereof may be entitled as a Partner as provided in this Agreement, together with the obligations of such Partner to comply with all terms and provisions of this Agreement. As at the Effective Date, the term “Units” means the Common Units, which includes the Restricted Common Units. The term “Units” shall also include any other Class of Units that is established after the Effective Date in accordance with this Agreement. For the avoidance of doubt, only Partners may hold Units.</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Event</w:t>
      </w:r>
      <w:r>
        <w:rPr>
          <w:rFonts w:ascii="Times New Roman" w:cs="Times New Roman" w:eastAsia="Times New Roman" w:hAnsi="Times New Roman"/>
          <w:sz w:val="18"/>
          <w:szCs w:val="18"/>
          <w:color w:val="auto"/>
        </w:rPr>
        <w:t>” means (a) with respect to each Series 1 RCU, a Series 1 Vesting Event, (b) with respect to each Series 2 RCU, a Series 2 Vesting Event, (c) with respect to each Series 3 RCU, a Series 3 Vesting Event, and (d) with respect to each PMEL RCU, a PMEL RCU Vesting Event.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provided in the Exchange Agreement.</w:t>
      </w:r>
    </w:p>
    <w:p>
      <w:pPr>
        <w:spacing w:after="0" w:line="31"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and the Schedules, unless the context otherwise requires:</w:t>
      </w:r>
    </w:p>
    <w:p>
      <w:pPr>
        <w:spacing w:after="0" w:line="27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 reference to:</w:t>
      </w:r>
    </w:p>
    <w:p>
      <w:pPr>
        <w:spacing w:after="0" w:line="131"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includes its personal representatives, successors in title and permitted assigns;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shall be construed so as to include any company, corporation or body corporate, wherever and however incorporated or established;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or similar expressions includes, unless otherwise specified, transmission by facsimile and email;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 shall mean a calendar month;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86" w:lineRule="exact"/>
        <w:rPr>
          <w:sz w:val="20"/>
          <w:szCs w:val="20"/>
          <w:color w:val="auto"/>
        </w:rPr>
      </w:pPr>
    </w:p>
    <w:p>
      <w:pPr>
        <w:ind w:left="5520" w:right="940" w:hanging="5512"/>
        <w:spacing w:after="0" w:line="282" w:lineRule="auto"/>
        <w:tabs>
          <w:tab w:leader="none" w:pos="2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referred to in this Agreement is a reference to that document as amended, varied, novated or supplemented at any time.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A reference to a statute or statutory provision shall be construed as a reference to the laws of Ireland unless otherwise specified and includes:</w:t>
      </w:r>
    </w:p>
    <w:p>
      <w:pPr>
        <w:spacing w:after="0" w:line="131" w:lineRule="exact"/>
        <w:rPr>
          <w:sz w:val="20"/>
          <w:szCs w:val="20"/>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made under it including all regulations, by-laws, orders and codes made thereunder;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repealed statute or statutory provision which it re-enacts (with or without modification);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or statutory provision which modifies, consolidates, re-enacts or supersedes 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1.3</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rule known as the ejusdem generis rule shall not apply and accordingly general words introduced by the word “other”, “including”,</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“include” and “in particular” or any similar expression shall not be given a restrictive meaning by reason of the fact that they are preceded by</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words indicating a particular class of acts, matters or things and shall be construed as illustrative and shall not limit the sense of the words</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preceding those terms.</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1.4</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Notwithstanding anything to the contrary herein, the only amounts contributed as contributions of capital by the Partners, or any of them, for the</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purposes of the Act are their Equity Contributions and not the amount of any Advance.</w:t>
            </w:r>
          </w:p>
        </w:tc>
      </w:tr>
      <w:tr>
        <w:trPr>
          <w:trHeight w:val="639"/>
        </w:trPr>
        <w:tc>
          <w:tcPr>
            <w:tcW w:w="540" w:type="dxa"/>
            <w:vAlign w:val="bottom"/>
          </w:tcPr>
          <w:p>
            <w:pPr>
              <w:spacing w:after="0"/>
              <w:rPr>
                <w:sz w:val="24"/>
                <w:szCs w:val="24"/>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SECTION 2</w:t>
            </w:r>
          </w:p>
        </w:tc>
      </w:tr>
      <w:tr>
        <w:trPr>
          <w:trHeight w:val="229"/>
        </w:trPr>
        <w:tc>
          <w:tcPr>
            <w:tcW w:w="540" w:type="dxa"/>
            <w:vAlign w:val="bottom"/>
          </w:tcPr>
          <w:p>
            <w:pPr>
              <w:spacing w:after="0"/>
              <w:rPr>
                <w:sz w:val="19"/>
                <w:szCs w:val="19"/>
                <w:color w:val="auto"/>
              </w:rPr>
            </w:pPr>
          </w:p>
        </w:tc>
        <w:tc>
          <w:tcPr>
            <w:tcW w:w="10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FORMATION, TERM, PURPOSE</w:t>
            </w:r>
          </w:p>
        </w:tc>
      </w:tr>
      <w:tr>
        <w:trPr>
          <w:trHeight w:val="220"/>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2.1</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Formation </w:t>
            </w:r>
            <w:r>
              <w:rPr>
                <w:rFonts w:ascii="Times New Roman" w:cs="Times New Roman" w:eastAsia="Times New Roman" w:hAnsi="Times New Roman"/>
                <w:sz w:val="18"/>
                <w:szCs w:val="18"/>
                <w:color w:val="auto"/>
              </w:rPr>
              <w:t>The Partnership has been formed as a limited partnership pursuant to the Act. This Agreement shall constitute the partnership</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 of the Partnership. The Partnership shall have no legal personality of its own. The rights, powers, duties, obligations and liabilities of</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Partners shall be determined pursuant to the Act and this Agreement. To the extent that the rights, powers, duties, obligations and liabilities</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of any Partner are different by reason of any provision of this Agreement than they would be under the Act in the absence of such provision, this</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 shall, to the extent permitted by the Act, control.</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2.2</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The name of the Partnership is ProKidney LP or such other name as shall from time to time be substituted by the General Partner and</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registered by the General Partner in accordance with the Act. The business of the Partnership shall be carried on under the partnership name. All</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proprietary and other rights in the partnership name are vested exclusively in the Partnership.</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2.3</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Partnership shall continue in existence for as long as there are at least two Partners, except that the Partnership may be dissolved</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this Agreement.</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2.4</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Registered principal place of business </w:t>
            </w:r>
            <w:r>
              <w:rPr>
                <w:rFonts w:ascii="Times New Roman" w:cs="Times New Roman" w:eastAsia="Times New Roman" w:hAnsi="Times New Roman"/>
                <w:sz w:val="18"/>
                <w:szCs w:val="18"/>
                <w:color w:val="auto"/>
              </w:rPr>
              <w:t>The registered principal place of business of the Partnership is at 70 Sir John Rogerson’s Quay, Dublin</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 Ireland or such other place, in accordance with the Act, as may be decided by the General Partner from time to time. The General Partner</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shall make all necessary filings in connection with any such change to the registered principal place of business of the Partnership.</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2.5</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The Partnership shall be a limited partnership within the meaning of the Act. If the Partnership is unable to pay its debts, liabilities or</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obligations, the liability of each Limited Partner to meet any shortfall will be limited to the amount of its Equity Contribution. The General</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Partner will be liable for all of the Partnership’s debts, liabilities and obligations which the Partnership is unable to pay in excess of the amounts</w:t>
            </w:r>
          </w:p>
        </w:tc>
      </w:tr>
      <w:tr>
        <w:trPr>
          <w:trHeight w:val="230"/>
        </w:trPr>
        <w:tc>
          <w:tcPr>
            <w:tcW w:w="54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which the Limited Partners are liable.</w:t>
            </w:r>
          </w:p>
        </w:tc>
      </w:tr>
      <w:tr>
        <w:trPr>
          <w:trHeight w:val="234"/>
        </w:trPr>
        <w:tc>
          <w:tcPr>
            <w:tcW w:w="540" w:type="dxa"/>
            <w:vAlign w:val="bottom"/>
          </w:tcPr>
          <w:p>
            <w:pPr>
              <w:spacing w:after="0"/>
              <w:rPr>
                <w:sz w:val="20"/>
                <w:szCs w:val="20"/>
                <w:color w:val="auto"/>
              </w:rPr>
            </w:pPr>
          </w:p>
        </w:tc>
        <w:tc>
          <w:tcPr>
            <w:tcW w:w="107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540" w:type="dxa"/>
            <w:vAlign w:val="bottom"/>
            <w:tcBorders>
              <w:bottom w:val="single" w:sz="8" w:color="808080"/>
            </w:tcBorders>
          </w:tcPr>
          <w:p>
            <w:pPr>
              <w:spacing w:after="0"/>
              <w:rPr>
                <w:sz w:val="19"/>
                <w:szCs w:val="19"/>
                <w:color w:val="auto"/>
              </w:rPr>
            </w:pPr>
          </w:p>
        </w:tc>
        <w:tc>
          <w:tcPr>
            <w:tcW w:w="10700" w:type="dxa"/>
            <w:vAlign w:val="bottom"/>
            <w:tcBorders>
              <w:bottom w:val="single" w:sz="8" w:color="808080"/>
            </w:tcBorders>
          </w:tcPr>
          <w:p>
            <w:pPr>
              <w:spacing w:after="0"/>
              <w:rPr>
                <w:sz w:val="19"/>
                <w:szCs w:val="19"/>
                <w:color w:val="auto"/>
              </w:rPr>
            </w:pPr>
          </w:p>
        </w:tc>
      </w:tr>
      <w:tr>
        <w:trPr>
          <w:trHeight w:val="421"/>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2.6</w:t>
            </w: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Classification for Tax Purposes </w:t>
            </w:r>
            <w:r>
              <w:rPr>
                <w:rFonts w:ascii="Times New Roman" w:cs="Times New Roman" w:eastAsia="Times New Roman" w:hAnsi="Times New Roman"/>
                <w:sz w:val="18"/>
                <w:szCs w:val="18"/>
                <w:color w:val="auto"/>
              </w:rPr>
              <w:t>The Partners hereby acknowledge their intention that the Partnership be classified as a partnership (other than</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“publicly traded partnership”) and not as an association taxable as a corporation for U.S. federal and state income tax purposes. Each Partner,</w:t>
            </w:r>
          </w:p>
        </w:tc>
      </w:tr>
      <w:tr>
        <w:trPr>
          <w:trHeight w:val="216"/>
        </w:trPr>
        <w:tc>
          <w:tcPr>
            <w:tcW w:w="540" w:type="dxa"/>
            <w:vAlign w:val="bottom"/>
          </w:tcPr>
          <w:p>
            <w:pPr>
              <w:spacing w:after="0"/>
              <w:rPr>
                <w:sz w:val="18"/>
                <w:szCs w:val="18"/>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its execution or acceptance of this Agreement, covenants and agrees that, to the extent such Partner files any U.S. federal and state income</w:t>
            </w:r>
          </w:p>
        </w:tc>
      </w:tr>
      <w:tr>
        <w:trPr>
          <w:trHeight w:val="234"/>
        </w:trPr>
        <w:tc>
          <w:tcPr>
            <w:tcW w:w="54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or other U.S. tax return, such Partner will file such returns in a manner that is</w:t>
            </w:r>
          </w:p>
        </w:tc>
      </w:tr>
      <w:tr>
        <w:trPr>
          <w:trHeight w:val="1424"/>
        </w:trPr>
        <w:tc>
          <w:tcPr>
            <w:tcW w:w="540" w:type="dxa"/>
            <w:vAlign w:val="bottom"/>
            <w:tcBorders>
              <w:bottom w:val="single" w:sz="8" w:color="9A9A9A"/>
            </w:tcBorders>
          </w:tcPr>
          <w:p>
            <w:pPr>
              <w:spacing w:after="0"/>
              <w:rPr>
                <w:sz w:val="24"/>
                <w:szCs w:val="24"/>
                <w:color w:val="auto"/>
              </w:rPr>
            </w:pPr>
          </w:p>
        </w:tc>
        <w:tc>
          <w:tcPr>
            <w:tcW w:w="10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consistent with the Partnership’s tax classification as a partnership (other than a “publicly traded partnership”) for U.S. federal and state income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tax purposes and will not take any action or make any election which is inconsistent with the classification of the Partnership, except as</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otherwise required pursuant to a “determination” within the meaning of Section 1313(a) of the Code. Notwithstanding anything to the contrary</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this Agreement, this Agreement does not intend to create obligations for any Partner for U.S. federal and state tax purposes unless such</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Partner is considered as a U.S. person or is otherwise subject to tax under U.S. federal or state tax Law. For Mexican tax purposes, the</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Partnership will be treated as a corporation.</w:t>
            </w:r>
          </w:p>
        </w:tc>
      </w:tr>
      <w:tr>
        <w:trPr>
          <w:trHeight w:val="46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Existence and Good Standing; Foreign Qualification </w:t>
            </w:r>
            <w:r>
              <w:rPr>
                <w:rFonts w:ascii="Times New Roman" w:cs="Times New Roman" w:eastAsia="Times New Roman" w:hAnsi="Times New Roman"/>
                <w:sz w:val="18"/>
                <w:szCs w:val="18"/>
                <w:color w:val="auto"/>
              </w:rPr>
              <w:t>The General Partner in its sole discretion may take all action which may be necessary</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appropriate (i) for the continuation of the Partnership’s valid existence as a limited partnership under the laws of Ireland (and of each other</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jurisdiction in which such existence is necessary to enable the Partnership to conduct the business in which it is engaged) and (ii) for the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maintenance, preservation and operation of the business of the Partnership in accordance with the provisions of this Agreement and applicable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Laws and regulations. The General Partner in its sole discretion may file or cause to be filed for recordation in the proper office or offices in</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other jurisdiction in which the Partnership is qualified, such certificates (including certificates of formation) and other documents as are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required by the applicable statutes, rules or regulations of any such jurisdiction or as are required to reflect the identity of the Partners. The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General Partner in its sole discretion may cause the Partnership to comply, to the extent procedures are available and those matters are</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reasonably within the control of the General Partner, with all requirements necessary to qualify the Partnership to do business in any jurisdiction</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than Ireland.</w:t>
            </w:r>
          </w:p>
        </w:tc>
      </w:tr>
      <w:tr>
        <w:trPr>
          <w:trHeight w:val="46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Business Purpose </w:t>
            </w:r>
            <w:r>
              <w:rPr>
                <w:rFonts w:ascii="Times New Roman" w:cs="Times New Roman" w:eastAsia="Times New Roman" w:hAnsi="Times New Roman"/>
                <w:sz w:val="18"/>
                <w:szCs w:val="18"/>
                <w:color w:val="auto"/>
              </w:rPr>
              <w:t>The purpose of the Partnership is to engage in (i) the ownership and operation of a biopharmaceutical business to, among</w:t>
            </w:r>
          </w:p>
        </w:tc>
      </w:tr>
      <w:tr>
        <w:trPr>
          <w:trHeight w:val="220"/>
        </w:trPr>
        <w:tc>
          <w:tcPr>
            <w:tcW w:w="820" w:type="dxa"/>
            <w:vAlign w:val="bottom"/>
          </w:tcPr>
          <w:p>
            <w:pPr>
              <w:spacing w:after="0"/>
              <w:rPr>
                <w:sz w:val="19"/>
                <w:szCs w:val="19"/>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things, develop therapies designed to enhance renal functioning in humans with chronically diseased kidneys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and (ii) any</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all activities necessary or incidental thereto. The Partners shall carry on the Business in partnership in accordance with this Agreement and</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requirements of the Act.</w:t>
            </w:r>
          </w:p>
        </w:tc>
      </w:tr>
      <w:tr>
        <w:trPr>
          <w:trHeight w:val="46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to Partnership Assets </w:t>
            </w:r>
            <w:r>
              <w:rPr>
                <w:rFonts w:ascii="Times New Roman" w:cs="Times New Roman" w:eastAsia="Times New Roman" w:hAnsi="Times New Roman"/>
                <w:sz w:val="18"/>
                <w:szCs w:val="18"/>
                <w:color w:val="auto"/>
              </w:rPr>
              <w:t>All property and assets of the Partnership, real and personal (including intellectual and other intangible property),</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shall belong to the Partners in proportion to their Common Percentage Interest.</w:t>
            </w:r>
          </w:p>
        </w:tc>
      </w:tr>
      <w:tr>
        <w:trPr>
          <w:trHeight w:val="46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Partners; Reclassification; Admission of New Partners </w:t>
            </w:r>
            <w:r>
              <w:rPr>
                <w:rFonts w:ascii="Times New Roman" w:cs="Times New Roman" w:eastAsia="Times New Roman" w:hAnsi="Times New Roman"/>
                <w:sz w:val="18"/>
                <w:szCs w:val="18"/>
                <w:color w:val="auto"/>
              </w:rPr>
              <w:t>Each of the Persons listed on Schedule I hereto, as the same may be amended from</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time to time in accordance with this Agreement, by virtue of its execution of this Agreement, are the Partners of the Partnership. The rights,</w:t>
            </w:r>
          </w:p>
        </w:tc>
      </w:tr>
      <w:tr>
        <w:trPr>
          <w:trHeight w:val="194"/>
        </w:trPr>
        <w:tc>
          <w:tcPr>
            <w:tcW w:w="820" w:type="dxa"/>
            <w:vAlign w:val="bottom"/>
          </w:tcPr>
          <w:p>
            <w:pPr>
              <w:spacing w:after="0"/>
              <w:rPr>
                <w:sz w:val="16"/>
                <w:szCs w:val="16"/>
                <w:color w:val="auto"/>
              </w:rPr>
            </w:pPr>
          </w:p>
        </w:tc>
        <w:tc>
          <w:tcPr>
            <w:tcW w:w="10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duties and liabilities of the Partners shall be as provided in this Agreement and the Act. Subject to Section 10.6 and the last sentence of this</w:t>
            </w:r>
          </w:p>
        </w:tc>
      </w:tr>
      <w:tr>
        <w:trPr>
          <w:trHeight w:val="20"/>
        </w:trPr>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2.10 with respect to substitute Partners, a Person may be admitted from time to time as a new Partner with the written consent of the</w:t>
            </w: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8"/>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General Partner in its sole discretion. Each new Partner shall execute and deliver to the General Partner an appropriate supplement to this</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Agreement pursuant to which the Person agrees to be bound by the terms and conditions of this Agreement, as it may be amended from time to</w:t>
            </w:r>
          </w:p>
        </w:tc>
      </w:tr>
      <w:tr>
        <w:trPr>
          <w:trHeight w:val="194"/>
        </w:trPr>
        <w:tc>
          <w:tcPr>
            <w:tcW w:w="820" w:type="dxa"/>
            <w:vAlign w:val="bottom"/>
          </w:tcPr>
          <w:p>
            <w:pPr>
              <w:spacing w:after="0"/>
              <w:rPr>
                <w:sz w:val="16"/>
                <w:szCs w:val="16"/>
                <w:color w:val="auto"/>
              </w:rPr>
            </w:pPr>
          </w:p>
        </w:tc>
        <w:tc>
          <w:tcPr>
            <w:tcW w:w="10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time. A new General Partner or substitute General Partner may be admitted to the Partnership solely in accordance with Section 10.6.</w:t>
            </w:r>
          </w:p>
        </w:tc>
      </w:tr>
      <w:tr>
        <w:trPr>
          <w:trHeight w:val="250"/>
        </w:trPr>
        <w:tc>
          <w:tcPr>
            <w:tcW w:w="820" w:type="dxa"/>
            <w:vAlign w:val="bottom"/>
          </w:tcPr>
          <w:p>
            <w:pPr>
              <w:spacing w:after="0"/>
              <w:rPr>
                <w:sz w:val="21"/>
                <w:szCs w:val="21"/>
                <w:color w:val="auto"/>
              </w:rPr>
            </w:pPr>
          </w:p>
        </w:tc>
        <w:tc>
          <w:tcPr>
            <w:tcW w:w="7080" w:type="dxa"/>
            <w:vAlign w:val="bottom"/>
            <w:gridSpan w:val="2"/>
          </w:tcPr>
          <w:p>
            <w:pPr>
              <w:ind w:left="470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216"/>
        </w:trPr>
        <w:tc>
          <w:tcPr>
            <w:tcW w:w="8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61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r>
      <w:tr>
        <w:trPr>
          <w:trHeight w:val="42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No Partner shall have the right to resign as a partner of the Partnership other than following the Transfer, redemption or surrender</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all Units owned by such Partner in accordance this Agreement.</w:t>
            </w:r>
          </w:p>
        </w:tc>
      </w:tr>
      <w:tr>
        <w:trPr>
          <w:trHeight w:val="48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Maximum number of partners </w:t>
            </w:r>
            <w:r>
              <w:rPr>
                <w:rFonts w:ascii="Times New Roman" w:cs="Times New Roman" w:eastAsia="Times New Roman" w:hAnsi="Times New Roman"/>
                <w:sz w:val="18"/>
                <w:szCs w:val="18"/>
                <w:color w:val="auto"/>
              </w:rPr>
              <w:t>The Partnership shall have no more than 20 partners.</w:t>
            </w:r>
          </w:p>
        </w:tc>
      </w:tr>
      <w:tr>
        <w:trPr>
          <w:trHeight w:val="46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2.13</w:t>
            </w: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Each Partner, on behalf of itself and its successors and assigns, hereby represents, warrants, and agrees for</w:t>
            </w:r>
          </w:p>
        </w:tc>
      </w:tr>
      <w:tr>
        <w:trPr>
          <w:trHeight w:val="216"/>
        </w:trPr>
        <w:tc>
          <w:tcPr>
            <w:tcW w:w="820" w:type="dxa"/>
            <w:vAlign w:val="bottom"/>
          </w:tcPr>
          <w:p>
            <w:pPr>
              <w:spacing w:after="0"/>
              <w:rPr>
                <w:sz w:val="18"/>
                <w:szCs w:val="18"/>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benefit of the other Partners and the Partnership that as of such Partner’s admittance to the Partnership (or as of the date hereof for any</w:t>
            </w:r>
          </w:p>
        </w:tc>
      </w:tr>
      <w:tr>
        <w:trPr>
          <w:trHeight w:val="234"/>
        </w:trPr>
        <w:tc>
          <w:tcPr>
            <w:tcW w:w="820" w:type="dxa"/>
            <w:vAlign w:val="bottom"/>
          </w:tcPr>
          <w:p>
            <w:pPr>
              <w:spacing w:after="0"/>
              <w:rPr>
                <w:sz w:val="20"/>
                <w:szCs w:val="20"/>
                <w:color w:val="auto"/>
              </w:rPr>
            </w:pPr>
          </w:p>
        </w:tc>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Partner as of the date hereof) and as of each subsequent date that such Partner acquires any additional Units that:</w:t>
            </w:r>
          </w:p>
        </w:tc>
      </w:tr>
    </w:tbl>
    <w:p>
      <w:pPr>
        <w:spacing w:after="0" w:line="250" w:lineRule="exact"/>
        <w:rPr>
          <w:sz w:val="20"/>
          <w:szCs w:val="20"/>
          <w:color w:val="auto"/>
        </w:rPr>
      </w:pPr>
    </w:p>
    <w:p>
      <w:pPr>
        <w:ind w:left="1500" w:right="240" w:hanging="674"/>
        <w:spacing w:after="0" w:line="267" w:lineRule="auto"/>
        <w:tabs>
          <w:tab w:leader="none" w:pos="1480" w:val="left"/>
        </w:tabs>
        <w:rPr>
          <w:sz w:val="20"/>
          <w:szCs w:val="20"/>
          <w:color w:val="auto"/>
        </w:rPr>
      </w:pPr>
      <w:r>
        <w:rPr>
          <w:rFonts w:ascii="Times New Roman" w:cs="Times New Roman" w:eastAsia="Times New Roman" w:hAnsi="Times New Roman"/>
          <w:sz w:val="18"/>
          <w:szCs w:val="18"/>
          <w:color w:val="auto"/>
        </w:rPr>
        <w:t>2.13.1</w:t>
      </w:r>
      <w:r>
        <w:rPr>
          <w:sz w:val="20"/>
          <w:szCs w:val="20"/>
          <w:color w:val="auto"/>
        </w:rPr>
        <w:tab/>
      </w:r>
      <w:r>
        <w:rPr>
          <w:rFonts w:ascii="Times New Roman" w:cs="Times New Roman" w:eastAsia="Times New Roman" w:hAnsi="Times New Roman"/>
          <w:sz w:val="18"/>
          <w:szCs w:val="18"/>
          <w:i w:val="1"/>
          <w:iCs w:val="1"/>
          <w:color w:val="auto"/>
        </w:rPr>
        <w:t xml:space="preserve">Organization; Authority </w:t>
      </w:r>
      <w:r>
        <w:rPr>
          <w:rFonts w:ascii="Times New Roman" w:cs="Times New Roman" w:eastAsia="Times New Roman" w:hAnsi="Times New Roman"/>
          <w:sz w:val="18"/>
          <w:szCs w:val="18"/>
          <w:color w:val="auto"/>
        </w:rPr>
        <w:t>To the extent it is not a natural person, (x) it is duly formed, validly existing and in good standing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under the Laws of the jurisdiction of its formation, and if required by Law is duly qualified to conduct business and is in good standing in the jurisdiction of its principal place of business (if not formed in such jurisdiction), and (y) has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70" w:name="page171"/>
    <w:bookmarkEnd w:id="170"/>
    <w:p>
      <w:pPr>
        <w:ind w:left="680"/>
        <w:spacing w:after="0" w:line="256" w:lineRule="auto"/>
        <w:rPr>
          <w:sz w:val="20"/>
          <w:szCs w:val="20"/>
          <w:color w:val="auto"/>
        </w:rPr>
      </w:pPr>
      <w:r>
        <w:rPr>
          <w:rFonts w:ascii="Times New Roman" w:cs="Times New Roman" w:eastAsia="Times New Roman" w:hAnsi="Times New Roman"/>
          <w:sz w:val="18"/>
          <w:szCs w:val="18"/>
          <w:color w:val="auto"/>
        </w:rPr>
        <w:t>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Partner have been duly taken. It has duly executed and delivered this Agreement, and this Agreement is enforceable against such Partner in accordance with its terms, subject to bankruptcy, moratorium, insolvency and other Laws generally affecting creditors’ rights and general principles of equity (whether applied in a proceeding in a court of law or equity).</w:t>
      </w:r>
    </w:p>
    <w:p>
      <w:pPr>
        <w:spacing w:after="0" w:line="239" w:lineRule="exact"/>
        <w:rPr>
          <w:sz w:val="20"/>
          <w:szCs w:val="20"/>
          <w:color w:val="auto"/>
        </w:rPr>
      </w:pPr>
    </w:p>
    <w:p>
      <w:pPr>
        <w:ind w:left="680" w:right="160" w:hanging="674"/>
        <w:spacing w:after="0" w:line="290" w:lineRule="auto"/>
        <w:tabs>
          <w:tab w:leader="none" w:pos="660" w:val="left"/>
        </w:tabs>
        <w:rPr>
          <w:sz w:val="20"/>
          <w:szCs w:val="20"/>
          <w:color w:val="auto"/>
        </w:rPr>
      </w:pPr>
      <w:r>
        <w:rPr>
          <w:rFonts w:ascii="Times New Roman" w:cs="Times New Roman" w:eastAsia="Times New Roman" w:hAnsi="Times New Roman"/>
          <w:sz w:val="18"/>
          <w:szCs w:val="18"/>
          <w:color w:val="auto"/>
        </w:rPr>
        <w:t>2.13.2</w:t>
      </w:r>
      <w:r>
        <w:rPr>
          <w:sz w:val="20"/>
          <w:szCs w:val="20"/>
          <w:color w:val="auto"/>
        </w:rPr>
        <w:tab/>
      </w:r>
      <w:r>
        <w:rPr>
          <w:rFonts w:ascii="Times New Roman" w:cs="Times New Roman" w:eastAsia="Times New Roman" w:hAnsi="Times New Roman"/>
          <w:sz w:val="17"/>
          <w:szCs w:val="17"/>
          <w:i w:val="1"/>
          <w:iCs w:val="1"/>
          <w:color w:val="auto"/>
        </w:rPr>
        <w:t xml:space="preserve">Non-Contravention </w:t>
      </w:r>
      <w:r>
        <w:rPr>
          <w:rFonts w:ascii="Times New Roman" w:cs="Times New Roman" w:eastAsia="Times New Roman" w:hAnsi="Times New Roman"/>
          <w:sz w:val="17"/>
          <w:szCs w:val="17"/>
          <w:color w:val="auto"/>
        </w:rPr>
        <w:t>Its authorization, execution, delivery, and performance of this Agreement does not breach or conflict with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default under (x) such Partner’s charter or other governing documents to the extent it is not a natural person, (y) any material obligation under any other material agreement to which that Partner is a party or by which it is bound or (z) applicable Law.</w:t>
      </w:r>
    </w:p>
    <w:p>
      <w:pPr>
        <w:spacing w:after="0" w:line="209" w:lineRule="exact"/>
        <w:rPr>
          <w:sz w:val="20"/>
          <w:szCs w:val="20"/>
          <w:color w:val="auto"/>
        </w:rPr>
      </w:pPr>
    </w:p>
    <w:p>
      <w:pPr>
        <w:ind w:left="680" w:right="2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2.13.3</w:t>
      </w:r>
      <w:r>
        <w:rPr>
          <w:sz w:val="20"/>
          <w:szCs w:val="20"/>
          <w:color w:val="auto"/>
        </w:rPr>
        <w:tab/>
      </w:r>
      <w:r>
        <w:rPr>
          <w:rFonts w:ascii="Times New Roman" w:cs="Times New Roman" w:eastAsia="Times New Roman" w:hAnsi="Times New Roman"/>
          <w:sz w:val="18"/>
          <w:szCs w:val="18"/>
          <w:i w:val="1"/>
          <w:iCs w:val="1"/>
          <w:color w:val="auto"/>
        </w:rPr>
        <w:t xml:space="preserve">Due Inquiry </w:t>
      </w:r>
      <w:r>
        <w:rPr>
          <w:rFonts w:ascii="Times New Roman" w:cs="Times New Roman" w:eastAsia="Times New Roman" w:hAnsi="Times New Roman"/>
          <w:sz w:val="18"/>
          <w:szCs w:val="18"/>
          <w:color w:val="auto"/>
        </w:rPr>
        <w:t>It has had, prior to the execution and delivery of this Agreement, the opportunity to ask questions of and receive answers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representatives of the Partnership concerning an investment in the Partnership, as well as the finances, operations, business and prospects of the Partnership, and the opportunity to obtain additional information to verify the accuracy of all information so obtained, and received all such information about the Partnership and the Units as it has requested.</w:t>
      </w:r>
    </w:p>
    <w:p>
      <w:pPr>
        <w:spacing w:after="0" w:line="234" w:lineRule="exact"/>
        <w:rPr>
          <w:sz w:val="20"/>
          <w:szCs w:val="20"/>
          <w:color w:val="auto"/>
        </w:rPr>
      </w:pPr>
    </w:p>
    <w:p>
      <w:pPr>
        <w:ind w:left="680" w:right="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color w:val="auto"/>
        </w:rPr>
        <w:t>2.13.4</w:t>
      </w:r>
      <w:r>
        <w:rPr>
          <w:sz w:val="20"/>
          <w:szCs w:val="20"/>
          <w:color w:val="auto"/>
        </w:rPr>
        <w:tab/>
      </w:r>
      <w:r>
        <w:rPr>
          <w:rFonts w:ascii="Times New Roman" w:cs="Times New Roman" w:eastAsia="Times New Roman" w:hAnsi="Times New Roman"/>
          <w:sz w:val="18"/>
          <w:szCs w:val="18"/>
          <w:i w:val="1"/>
          <w:iCs w:val="1"/>
          <w:color w:val="auto"/>
        </w:rPr>
        <w:t xml:space="preserve">Purpose of Investment </w:t>
      </w:r>
      <w:r>
        <w:rPr>
          <w:rFonts w:ascii="Times New Roman" w:cs="Times New Roman" w:eastAsia="Times New Roman" w:hAnsi="Times New Roman"/>
          <w:sz w:val="18"/>
          <w:szCs w:val="18"/>
          <w:color w:val="auto"/>
        </w:rPr>
        <w:t>It is acquiring and holding its Units solely for investment purposes, for its own account and not for the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151765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2.13.5</w:t>
      </w:r>
      <w:r>
        <w:rPr>
          <w:sz w:val="20"/>
          <w:szCs w:val="20"/>
          <w:color w:val="auto"/>
        </w:rPr>
        <w:tab/>
      </w:r>
      <w:r>
        <w:rPr>
          <w:rFonts w:ascii="Times New Roman" w:cs="Times New Roman" w:eastAsia="Times New Roman" w:hAnsi="Times New Roman"/>
          <w:sz w:val="17"/>
          <w:szCs w:val="17"/>
          <w:i w:val="1"/>
          <w:iCs w:val="1"/>
          <w:color w:val="auto"/>
        </w:rPr>
        <w:t xml:space="preserve">Transfer Restrictions </w:t>
      </w:r>
      <w:r>
        <w:rPr>
          <w:rFonts w:ascii="Times New Roman" w:cs="Times New Roman" w:eastAsia="Times New Roman" w:hAnsi="Times New Roman"/>
          <w:sz w:val="17"/>
          <w:szCs w:val="17"/>
          <w:color w:val="auto"/>
        </w:rPr>
        <w:t>It understands that the Units and the Class B Common Shares are each being Transferred in a transaction not</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involving a public offering within the meaning of the Securities Act, and the Units and Class B Common Shares will comprise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within the meaning of Rule 144(a)(3) under the Securities Act which shall not be sold, pledged, hypothecated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otherwise transferred except in accordance with the terms of this Agreement. It understands and agrees that each of the Units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Class B Common Shares received or retained by it as consideration under the Business Combination Agreement, including any Units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Class B Common Shares issued or delivered to it after the Closing pursuant to the Business Combination Agreement, may not be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Transferred during the Lock-Up Period except in accordance with the terms hereof. It agrees that, if in the future it decides to offer,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resell, pledge or otherwise Transfer any portion of its Units or Class B Common Shares, such Units and/or Class B Common Shares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may be offered, resold or otherwise Transferred only pursuant to an effective registration statement under the Securities Act or an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applicable exemption from registration and/or qualification under the Securities Act and applicable state securities Laws, and as a</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condition precedent to any such Transfer, it may be required to deliver to the Partnership an opinion of counsel satisfactory to the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Partnership, and agrees, absent registration or an exemption with respect to its Units, not to resell any such Units and/or Class B</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Common Shares. For the avoidance of doubt, no Partner may Transfer all or any portion of its Units or other interest in the Partnership</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beneficial interest therein), except as set forth in Section 10.</w:t>
      </w:r>
    </w:p>
    <w:p>
      <w:pPr>
        <w:spacing w:after="0" w:line="259" w:lineRule="exact"/>
        <w:rPr>
          <w:sz w:val="20"/>
          <w:szCs w:val="20"/>
          <w:color w:val="auto"/>
        </w:rPr>
      </w:pPr>
    </w:p>
    <w:p>
      <w:pPr>
        <w:ind w:left="680" w:right="160" w:hanging="674"/>
        <w:spacing w:after="0" w:line="257" w:lineRule="auto"/>
        <w:tabs>
          <w:tab w:leader="none" w:pos="660" w:val="left"/>
        </w:tabs>
        <w:rPr>
          <w:sz w:val="20"/>
          <w:szCs w:val="20"/>
          <w:color w:val="auto"/>
        </w:rPr>
      </w:pPr>
      <w:r>
        <w:rPr>
          <w:rFonts w:ascii="Times New Roman" w:cs="Times New Roman" w:eastAsia="Times New Roman" w:hAnsi="Times New Roman"/>
          <w:sz w:val="18"/>
          <w:szCs w:val="18"/>
          <w:color w:val="auto"/>
        </w:rPr>
        <w:t>2.13.6</w:t>
      </w:r>
      <w:r>
        <w:rPr>
          <w:sz w:val="20"/>
          <w:szCs w:val="20"/>
          <w:color w:val="auto"/>
        </w:rPr>
        <w:tab/>
      </w:r>
      <w:r>
        <w:rPr>
          <w:rFonts w:ascii="Times New Roman" w:cs="Times New Roman" w:eastAsia="Times New Roman" w:hAnsi="Times New Roman"/>
          <w:sz w:val="18"/>
          <w:szCs w:val="18"/>
          <w:i w:val="1"/>
          <w:iCs w:val="1"/>
          <w:color w:val="auto"/>
        </w:rPr>
        <w:t xml:space="preserve">Investor Status </w:t>
      </w:r>
      <w:r>
        <w:rPr>
          <w:rFonts w:ascii="Times New Roman" w:cs="Times New Roman" w:eastAsia="Times New Roman" w:hAnsi="Times New Roman"/>
          <w:sz w:val="18"/>
          <w:szCs w:val="18"/>
          <w:color w:val="auto"/>
        </w:rPr>
        <w:t>It (i) has adequate means of providing for its current needs and possible contingencies, is able to bear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of its investment for an indefinite period of time and has a sufficient net worth to sustain a loss of its entire investment in the Partnership in the event such loss should occur, (ii) is sophisticated in financial matters and has such knowledge and experience in financial and business matters as to be capable of evaluating the merits and risks of an investment in the Partnership, (iii) is, or is controlled by, an “accredited investor,” as that term is defined in Rule 501(a) of Regulation D, promulgated under the Securities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878840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140" w:top="1431" w:right="379" w:bottom="1440" w:gutter="0" w:footer="0" w:header="0"/>
        </w:sectPr>
      </w:pPr>
    </w:p>
    <w:bookmarkStart w:id="171" w:name="page172"/>
    <w:bookmarkEnd w:id="171"/>
    <w:p>
      <w:pPr>
        <w:ind w:left="1480"/>
        <w:spacing w:after="0" w:line="261" w:lineRule="auto"/>
        <w:rPr>
          <w:sz w:val="20"/>
          <w:szCs w:val="20"/>
          <w:color w:val="auto"/>
        </w:rPr>
      </w:pPr>
      <w:r>
        <w:rPr>
          <w:rFonts w:ascii="Times New Roman" w:cs="Times New Roman" w:eastAsia="Times New Roman" w:hAnsi="Times New Roman"/>
          <w:sz w:val="18"/>
          <w:szCs w:val="18"/>
          <w:color w:val="auto"/>
        </w:rPr>
        <w:t>acknowledges the issuance of Units under this Agreement is being made in reliance on a private placement exemption to “accredited investors”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232" w:lineRule="exact"/>
        <w:rPr>
          <w:sz w:val="20"/>
          <w:szCs w:val="20"/>
          <w:color w:val="auto"/>
        </w:rPr>
      </w:pPr>
    </w:p>
    <w:p>
      <w:pPr>
        <w:ind w:left="1480" w:right="40" w:hanging="674"/>
        <w:spacing w:after="0" w:line="257" w:lineRule="auto"/>
        <w:tabs>
          <w:tab w:leader="none" w:pos="1460" w:val="left"/>
        </w:tabs>
        <w:rPr>
          <w:sz w:val="20"/>
          <w:szCs w:val="20"/>
          <w:color w:val="auto"/>
        </w:rPr>
      </w:pPr>
      <w:r>
        <w:rPr>
          <w:rFonts w:ascii="Times New Roman" w:cs="Times New Roman" w:eastAsia="Times New Roman" w:hAnsi="Times New Roman"/>
          <w:sz w:val="18"/>
          <w:szCs w:val="18"/>
          <w:color w:val="auto"/>
        </w:rPr>
        <w:t>2.13.7</w:t>
      </w:r>
      <w:r>
        <w:rPr>
          <w:sz w:val="20"/>
          <w:szCs w:val="20"/>
          <w:color w:val="auto"/>
        </w:rPr>
        <w:tab/>
      </w:r>
      <w:r>
        <w:rPr>
          <w:rFonts w:ascii="Times New Roman" w:cs="Times New Roman" w:eastAsia="Times New Roman" w:hAnsi="Times New Roman"/>
          <w:sz w:val="18"/>
          <w:szCs w:val="18"/>
          <w:i w:val="1"/>
          <w:iCs w:val="1"/>
          <w:color w:val="auto"/>
        </w:rPr>
        <w:t xml:space="preserve">No Fraudulent Transfer </w:t>
      </w:r>
      <w:r>
        <w:rPr>
          <w:rFonts w:ascii="Times New Roman" w:cs="Times New Roman" w:eastAsia="Times New Roman" w:hAnsi="Times New Roman"/>
          <w:sz w:val="18"/>
          <w:szCs w:val="18"/>
          <w:color w:val="auto"/>
        </w:rPr>
        <w:t>The consummation of the transaction contemplated hereby will not render such Partner insolvent or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fraudulent conveyance or fraudulent transfer under any Applicable Law, such Partner has not made any general assignment for the benefit of creditors and no proceeding seeking (a) relief for such Partner under any bankruptcy or insolvency law, (b) the rearrangement or readjustment of such Partner debt, (c) the appointment of a receiver, custodian, liquidator or trustee to take possession of substantially all of the assets of such Partner, or (d) the liquidation of such Partner, has been commenced, is planned by such Partner or has been threatened by any other Person.</w:t>
      </w:r>
    </w:p>
    <w:p>
      <w:pPr>
        <w:spacing w:after="0" w:line="234" w:lineRule="exact"/>
        <w:rPr>
          <w:sz w:val="20"/>
          <w:szCs w:val="20"/>
          <w:color w:val="auto"/>
        </w:rPr>
      </w:pPr>
    </w:p>
    <w:p>
      <w:pPr>
        <w:ind w:left="800" w:right="4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color w:val="auto"/>
        </w:rPr>
        <w:t xml:space="preserve">Prior Partnership Agreement </w:t>
      </w:r>
      <w:r>
        <w:rPr>
          <w:rFonts w:ascii="Times New Roman" w:cs="Times New Roman" w:eastAsia="Times New Roman" w:hAnsi="Times New Roman"/>
          <w:sz w:val="18"/>
          <w:szCs w:val="18"/>
          <w:color w:val="auto"/>
        </w:rPr>
        <w:t>Each of the Partners agrees and acknowledges that this Agreement amends and restates the Existing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shall cease to be in effect upon this Agreement coming into effect. This Agreement shall come into effect on the Effective Date immediately prior to the Closing. The Post-Recapitalization Unit Issuance (if any) shall be treated as taking place immediately prior to the Closing. PubCo shall be admitted as a Limited Partner upon the Closing (and, for the avoidance of doubt, shall not be a Limited Partner at any time prior to the Closing).</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INTERESTS IN PARTNERSHIP; PARTNERS; FORM OF CAPITAL CONTRIBUTIONS;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b w:val="1"/>
          <w:bCs w:val="1"/>
          <w:color w:val="auto"/>
        </w:rPr>
        <w:t xml:space="preserve">Units </w:t>
      </w:r>
      <w:r>
        <w:rPr>
          <w:rFonts w:ascii="Times New Roman" w:cs="Times New Roman" w:eastAsia="Times New Roman" w:hAnsi="Times New Roman"/>
          <w:sz w:val="17"/>
          <w:szCs w:val="17"/>
          <w:color w:val="auto"/>
        </w:rPr>
        <w:t>The interests of Partners in the Partnership shall be represented by Units, in accordance with Section 9.</w:t>
      </w:r>
    </w:p>
    <w:p>
      <w:pPr>
        <w:spacing w:after="0" w:line="270" w:lineRule="exact"/>
        <w:rPr>
          <w:sz w:val="20"/>
          <w:szCs w:val="20"/>
          <w:color w:val="auto"/>
        </w:rPr>
      </w:pPr>
    </w:p>
    <w:p>
      <w:pPr>
        <w:ind w:left="800" w:right="80" w:hanging="796"/>
        <w:spacing w:after="0" w:line="262" w:lineRule="auto"/>
        <w:tabs>
          <w:tab w:leader="none" w:pos="7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Partners </w:t>
      </w:r>
      <w:r>
        <w:rPr>
          <w:rFonts w:ascii="Times New Roman" w:cs="Times New Roman" w:eastAsia="Times New Roman" w:hAnsi="Times New Roman"/>
          <w:sz w:val="18"/>
          <w:szCs w:val="18"/>
          <w:color w:val="auto"/>
        </w:rPr>
        <w:t>The respective names, addresses for notice number of Common Units and Capital Contributions made by the Partners are as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which are fully vested at the time of issuance.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shall be amended from time to time by the General Partner to reflect any changes of address, the admission of any substitute or additional Partners, any changes to the Common Units of any Partner or any changes to the information set forth thereon.</w:t>
      </w:r>
    </w:p>
    <w:p>
      <w:pPr>
        <w:spacing w:after="0" w:line="230" w:lineRule="exact"/>
        <w:rPr>
          <w:sz w:val="20"/>
          <w:szCs w:val="20"/>
          <w:color w:val="auto"/>
        </w:rPr>
      </w:pPr>
    </w:p>
    <w:p>
      <w:pPr>
        <w:ind w:left="800" w:right="20" w:hanging="796"/>
        <w:spacing w:after="0" w:line="254" w:lineRule="auto"/>
        <w:tabs>
          <w:tab w:leader="none" w:pos="7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Form of Capital Contributions </w:t>
      </w:r>
      <w:r>
        <w:rPr>
          <w:rFonts w:ascii="Times New Roman" w:cs="Times New Roman" w:eastAsia="Times New Roman" w:hAnsi="Times New Roman"/>
          <w:sz w:val="18"/>
          <w:szCs w:val="18"/>
          <w:color w:val="auto"/>
        </w:rPr>
        <w:t>Each Partner has made the Capital Contributions equal to the Equity Contribution and Advance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opposite each Partner’s name 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under the heading, “</w:t>
      </w:r>
      <w:r>
        <w:rPr>
          <w:rFonts w:ascii="Times New Roman" w:cs="Times New Roman" w:eastAsia="Times New Roman" w:hAnsi="Times New Roman"/>
          <w:sz w:val="18"/>
          <w:szCs w:val="18"/>
          <w:i w:val="1"/>
          <w:iCs w:val="1"/>
          <w:color w:val="auto"/>
        </w:rPr>
        <w:t>Capital Contribution</w:t>
      </w:r>
      <w:r>
        <w:rPr>
          <w:rFonts w:ascii="Times New Roman" w:cs="Times New Roman" w:eastAsia="Times New Roman" w:hAnsi="Times New Roman"/>
          <w:sz w:val="18"/>
          <w:szCs w:val="18"/>
          <w:color w:val="auto"/>
        </w:rPr>
        <w:t>”. Partners may make Capital Contributions (a) in full by way of an Equity Contribution or (b) partly by way of an Equity Contribution and partly by way of an Advance provided that at least 0.01% of the Capital Contribution shall be an Equity Contribution (with up to 99.99% being an Advance). No Limited Partner shall, while it remains a Limited Partner, be entitled directly or indirectly to draw out or receive back all or part of its Equity Contribution or Advances other than with the written agreement of the General Partner and the written consent of PubCo. The Partners intend to treat any Advances or Equity Contributions of a Partner to the Partnership as a contribution of property to the Partnership in exchange for an interest in the Partnership pursuant to Section 721 of the Code for U.S. federal income tax (or any similar provisions of applicable state or local tax Law) purposes and an equity contribution to the Partnership for Mexican tax purposes.</w:t>
      </w:r>
    </w:p>
    <w:p>
      <w:pPr>
        <w:spacing w:after="0" w:line="242" w:lineRule="exact"/>
        <w:rPr>
          <w:sz w:val="20"/>
          <w:szCs w:val="20"/>
          <w:color w:val="auto"/>
        </w:rPr>
      </w:pPr>
    </w:p>
    <w:p>
      <w:pPr>
        <w:ind w:left="800" w:right="340" w:hanging="796"/>
        <w:spacing w:after="0" w:line="268" w:lineRule="auto"/>
        <w:tabs>
          <w:tab w:leader="none" w:pos="7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 xml:space="preserve">No Additional Capital Contributions </w:t>
      </w:r>
      <w:r>
        <w:rPr>
          <w:rFonts w:ascii="Times New Roman" w:cs="Times New Roman" w:eastAsia="Times New Roman" w:hAnsi="Times New Roman"/>
          <w:sz w:val="18"/>
          <w:szCs w:val="18"/>
          <w:color w:val="auto"/>
        </w:rPr>
        <w:t>No Partner shall be required to make additional Capital Contributions to the Partnership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such Partner or permitted to make additional capital contributions to the Partnership without the consent of the General Partner, which may be granted or withheld in its sole discretion.</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OF THE PARTNERSHIP</w:t>
      </w:r>
    </w:p>
    <w:p>
      <w:pPr>
        <w:spacing w:after="0" w:line="9" w:lineRule="exact"/>
        <w:rPr>
          <w:sz w:val="20"/>
          <w:szCs w:val="20"/>
          <w:color w:val="auto"/>
        </w:rPr>
      </w:pPr>
    </w:p>
    <w:p>
      <w:pPr>
        <w:ind w:left="800" w:hanging="796"/>
        <w:spacing w:after="0" w:line="263" w:lineRule="auto"/>
        <w:tabs>
          <w:tab w:leader="none" w:pos="7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Authority of the General Partner </w:t>
      </w:r>
      <w:r>
        <w:rPr>
          <w:rFonts w:ascii="Times New Roman" w:cs="Times New Roman" w:eastAsia="Times New Roman" w:hAnsi="Times New Roman"/>
          <w:sz w:val="18"/>
          <w:szCs w:val="18"/>
          <w:color w:val="auto"/>
        </w:rPr>
        <w:t>Except as expressly set forth herein, the business, property and affairs of the Partnership shall be exclusively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operated and controlled by the General Partner, and the General Partner shall have, and is hereby granted, the full and complete power,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875665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discretion for, on behalf of and in the name of the Partnership, to take such actions as it may in its sole discretion deem necessary or advisable to</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carry out any and all of the objectives and purposes of the Partnership, subject only to the terms of this Agreement. The General Partner may</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from time to time delegate authority to Officers or to others to act on behalf of the Partnership.</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4.2</w:t>
            </w: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No Authority for the Limited Partners </w:t>
            </w:r>
            <w:r>
              <w:rPr>
                <w:rFonts w:ascii="Times New Roman" w:cs="Times New Roman" w:eastAsia="Times New Roman" w:hAnsi="Times New Roman"/>
                <w:sz w:val="18"/>
                <w:szCs w:val="18"/>
                <w:color w:val="auto"/>
              </w:rPr>
              <w:t>No Limited Partner, in his, her or its capacity as such, shall have any authority or right to act for or</w:t>
            </w:r>
          </w:p>
        </w:tc>
      </w:tr>
      <w:tr>
        <w:trPr>
          <w:trHeight w:val="229"/>
        </w:trPr>
        <w:tc>
          <w:tcPr>
            <w:tcW w:w="540" w:type="dxa"/>
            <w:vAlign w:val="bottom"/>
          </w:tcPr>
          <w:p>
            <w:pPr>
              <w:spacing w:after="0"/>
              <w:rPr>
                <w:sz w:val="19"/>
                <w:szCs w:val="19"/>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bind the Partnership or to participate in or have any control over Partnership business.</w:t>
            </w:r>
          </w:p>
        </w:tc>
      </w:tr>
      <w:tr>
        <w:trPr>
          <w:trHeight w:val="234"/>
        </w:trPr>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40" w:type="dxa"/>
            <w:vAlign w:val="bottom"/>
            <w:tcBorders>
              <w:bottom w:val="single" w:sz="8" w:color="808080"/>
            </w:tcBorders>
          </w:tcPr>
          <w:p>
            <w:pPr>
              <w:spacing w:after="0"/>
              <w:rPr>
                <w:sz w:val="18"/>
                <w:szCs w:val="18"/>
                <w:color w:val="auto"/>
              </w:rPr>
            </w:pPr>
          </w:p>
        </w:tc>
        <w:tc>
          <w:tcPr>
            <w:tcW w:w="10700" w:type="dxa"/>
            <w:vAlign w:val="bottom"/>
            <w:tcBorders>
              <w:bottom w:val="single" w:sz="8" w:color="808080"/>
            </w:tcBorders>
            <w:gridSpan w:val="2"/>
          </w:tcPr>
          <w:p>
            <w:pPr>
              <w:spacing w:after="0"/>
              <w:rPr>
                <w:sz w:val="18"/>
                <w:szCs w:val="18"/>
                <w:color w:val="auto"/>
              </w:rPr>
            </w:pPr>
          </w:p>
        </w:tc>
      </w:tr>
      <w:tr>
        <w:trPr>
          <w:trHeight w:val="421"/>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4.3</w:t>
            </w: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Duties of the General Partner </w:t>
            </w:r>
            <w:r>
              <w:rPr>
                <w:rFonts w:ascii="Times New Roman" w:cs="Times New Roman" w:eastAsia="Times New Roman" w:hAnsi="Times New Roman"/>
                <w:sz w:val="18"/>
                <w:szCs w:val="18"/>
                <w:color w:val="auto"/>
              </w:rPr>
              <w:t>The General Partner shall exercise reasonable care and act in good faith in the best interests of the Partnership</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the performance of its duties and exercise of its powers hereunder and shall have regard to and, as necessary, comply with such matters as a</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prudent general partner would have regard to and comply with (having regard to trends and developments in the sectors in which the</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Partnership is operating) in the proper discharge of its duties including, without limitation, compliance with legislation applicable to the</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of its duties and exercise of its powers as General Partner as provided for herein.</w:t>
            </w:r>
          </w:p>
        </w:tc>
      </w:tr>
      <w:tr>
        <w:trPr>
          <w:trHeight w:val="468"/>
        </w:trPr>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4.4</w:t>
            </w: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Authorisation of the General Partner </w:t>
            </w:r>
            <w:r>
              <w:rPr>
                <w:rFonts w:ascii="Times New Roman" w:cs="Times New Roman" w:eastAsia="Times New Roman" w:hAnsi="Times New Roman"/>
                <w:sz w:val="18"/>
                <w:szCs w:val="18"/>
                <w:color w:val="auto"/>
              </w:rPr>
              <w:t>Without limiting the generality of the foregoing, but subject to any situations in which the approval of</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Limited Partners or PubCo is specifically required by this Agreement, (x) the General Partner shall have discretion in determining whether</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 issue Equity Interests of the Partnership, the number of Equity Interests of the Partnership to be issued at any particular time, the purchase</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price for any Equity Interests of the Partnership issued, and all other terms and conditions governing the issuance of Equity Interests of the</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Partnership; provided that notwithstanding anything to the contrary herein, no Equity Interests ranking senior to the Common Units held by</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PubCo (including with respect to voting, liquidation and distribution rights) shall be authorized or issued without the prior written consent of</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PubCo; and (y) the General Partner (with the prior written consent of PubCo) may enter into, approve, and consummate any Liquidity Event or</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extraordinary or business combination or divestiture transaction, and execute and deliver on behalf of the Partnership or the Partners any</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agreement, document and instrument in connection therewith (including amendments, if any, to this Agreement or adoptions of new constituent</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documents) without the approval or consent of any other Partner. The General Partner shall operate the Partnership and its Subsidiaries in</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accordance in all material respects with an annual budget, business plan and financial forecasts for the Partnership and its Subsidiaries for each</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fiscal year. Without prejudice to the generality of the foregoing, the General Partner shall have full power and authority, on behalf of the</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Partnership and so as to bind the Partnership thereby, and the Limited Partners expressly authorise the General Partner:</w:t>
            </w:r>
          </w:p>
        </w:tc>
      </w:tr>
      <w:tr>
        <w:trPr>
          <w:trHeight w:val="486"/>
        </w:trPr>
        <w:tc>
          <w:tcPr>
            <w:tcW w:w="54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4.4.1</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develop and prepare a business plan each year which will set forth the operating goals and plans for the Partnership;</w:t>
            </w:r>
          </w:p>
        </w:tc>
      </w:tr>
      <w:tr>
        <w:trPr>
          <w:trHeight w:val="486"/>
        </w:trPr>
        <w:tc>
          <w:tcPr>
            <w:tcW w:w="54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4.4.2</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deal with the entire legal and/or beneficial interest in all or any part of the Partnership Assets;</w:t>
            </w:r>
          </w:p>
        </w:tc>
      </w:tr>
      <w:tr>
        <w:trPr>
          <w:trHeight w:val="468"/>
        </w:trPr>
        <w:tc>
          <w:tcPr>
            <w:tcW w:w="54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4.4.3</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to carry out the objectives of the Business including, where necessary or desirable for the purpose of doing so, to identify, evaluate and</w:t>
            </w:r>
          </w:p>
        </w:tc>
      </w:tr>
      <w:tr>
        <w:trPr>
          <w:trHeight w:val="216"/>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negotiate opportunities for the acquisition, holding and realisation of assets or for the purchase, holding or sale of shares, ownership</w:t>
            </w:r>
          </w:p>
        </w:tc>
      </w:tr>
      <w:tr>
        <w:trPr>
          <w:trHeight w:val="216"/>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 or other equity of bodies corporate or partnerships holding assets (directly or indirectly) or for the purchase or holding or</w:t>
            </w:r>
          </w:p>
        </w:tc>
      </w:tr>
      <w:tr>
        <w:trPr>
          <w:trHeight w:val="216"/>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debt, to prepare and approve any agreements or other documents required to allow the Partnership to acquire such assets</w:t>
            </w:r>
          </w:p>
        </w:tc>
      </w:tr>
      <w:tr>
        <w:trPr>
          <w:trHeight w:val="216"/>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to (or to agree to) purchase, sell, alone or together with others, assets or shares, ownership interests or other equity or capital in</w:t>
            </w:r>
          </w:p>
        </w:tc>
      </w:tr>
      <w:tr>
        <w:trPr>
          <w:trHeight w:val="216"/>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bodies corporate or partnerships holding assets and to either maximise the value of such assets and to enter into agreements or other</w:t>
            </w:r>
          </w:p>
        </w:tc>
      </w:tr>
      <w:tr>
        <w:trPr>
          <w:trHeight w:val="234"/>
        </w:trPr>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documents on behalf of the Partnership accordingly (in each case whether personally or through an attorney or other agent);</w:t>
            </w:r>
          </w:p>
        </w:tc>
      </w:tr>
      <w:tr>
        <w:trPr>
          <w:trHeight w:val="468"/>
        </w:trPr>
        <w:tc>
          <w:tcPr>
            <w:tcW w:w="54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4.4.4</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exercise all rights conferred upon the Partnership under the terms of any agreement or document entered into by the Partnership and</w:t>
            </w:r>
          </w:p>
        </w:tc>
      </w:tr>
      <w:tr>
        <w:trPr>
          <w:trHeight w:val="229"/>
        </w:trPr>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generally to take any action the General Partner considers appropriate for the protection of Partnership Assets;</w:t>
            </w:r>
          </w:p>
        </w:tc>
      </w:tr>
      <w:tr>
        <w:trPr>
          <w:trHeight w:val="234"/>
        </w:trPr>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r>
      <w:tr>
        <w:trPr>
          <w:trHeight w:val="1620"/>
        </w:trPr>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73" w:name="page174"/>
    <w:bookmarkEnd w:id="173"/>
    <w:p>
      <w:pPr>
        <w:ind w:left="820"/>
        <w:spacing w:after="0"/>
        <w:tabs>
          <w:tab w:leader="none" w:pos="1480" w:val="left"/>
        </w:tabs>
        <w:rPr>
          <w:sz w:val="20"/>
          <w:szCs w:val="20"/>
          <w:color w:val="auto"/>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7"/>
          <w:szCs w:val="17"/>
          <w:color w:val="auto"/>
        </w:rPr>
        <w:t>to commence, conduct, settle or defend litigation that pertains to the Partnership or to any of the Partnership Assets;</w:t>
      </w:r>
    </w:p>
    <w:p>
      <w:pPr>
        <w:spacing w:after="0" w:line="279" w:lineRule="exact"/>
        <w:rPr>
          <w:sz w:val="20"/>
          <w:szCs w:val="20"/>
          <w:color w:val="auto"/>
        </w:rPr>
      </w:pPr>
    </w:p>
    <w:p>
      <w:pPr>
        <w:ind w:left="1500" w:right="20" w:hanging="674"/>
        <w:spacing w:after="0" w:line="256" w:lineRule="auto"/>
        <w:tabs>
          <w:tab w:leader="none" w:pos="1480" w:val="left"/>
        </w:tabs>
        <w:rPr>
          <w:sz w:val="20"/>
          <w:szCs w:val="20"/>
          <w:color w:val="auto"/>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8"/>
          <w:szCs w:val="18"/>
          <w:color w:val="auto"/>
        </w:rPr>
        <w:t>to maintain records and books of account of and in the name of the Partnership at the Partnership’s or its own principal place of business or at the principal place of business of the General Partner and to allow any Partner holding at least 5% of the Common Percentage Interest (excluding, for purposes of this calculation, Common Units then owned by the PubCo (if any) or any Subsidiary of PubCo (if any)) and its representatives access thereto at any reasonable time, subject to giving 3 (three) days written notice in advance, for the purpose of inspecting same. In any event, upon request by the Partners or within 10 (ten) days before any proposed change, the General Partner must notify the Partners of the place of maintenance of the books and records of the Partnership;</w:t>
      </w:r>
    </w:p>
    <w:p>
      <w:pPr>
        <w:spacing w:after="0" w:line="241" w:lineRule="exact"/>
        <w:rPr>
          <w:sz w:val="20"/>
          <w:szCs w:val="20"/>
          <w:color w:val="auto"/>
        </w:rPr>
      </w:pPr>
    </w:p>
    <w:p>
      <w:pPr>
        <w:ind w:left="820"/>
        <w:spacing w:after="0"/>
        <w:tabs>
          <w:tab w:leader="none" w:pos="1480" w:val="left"/>
        </w:tabs>
        <w:rPr>
          <w:sz w:val="20"/>
          <w:szCs w:val="20"/>
          <w:color w:val="auto"/>
        </w:rPr>
      </w:pPr>
      <w:r>
        <w:rPr>
          <w:rFonts w:ascii="Times New Roman" w:cs="Times New Roman" w:eastAsia="Times New Roman" w:hAnsi="Times New Roman"/>
          <w:sz w:val="18"/>
          <w:szCs w:val="18"/>
          <w:color w:val="auto"/>
        </w:rPr>
        <w:t>4.4.7</w:t>
      </w:r>
      <w:r>
        <w:rPr>
          <w:sz w:val="20"/>
          <w:szCs w:val="20"/>
          <w:color w:val="auto"/>
        </w:rPr>
        <w:tab/>
      </w:r>
      <w:r>
        <w:rPr>
          <w:rFonts w:ascii="Times New Roman" w:cs="Times New Roman" w:eastAsia="Times New Roman" w:hAnsi="Times New Roman"/>
          <w:sz w:val="17"/>
          <w:szCs w:val="17"/>
          <w:color w:val="auto"/>
        </w:rPr>
        <w:t>to make distributions to the Partners in accordance with the terms of this Agreement;</w:t>
      </w:r>
    </w:p>
    <w:p>
      <w:pPr>
        <w:spacing w:after="0" w:line="279" w:lineRule="exact"/>
        <w:rPr>
          <w:sz w:val="20"/>
          <w:szCs w:val="20"/>
          <w:color w:val="auto"/>
        </w:rPr>
      </w:pPr>
    </w:p>
    <w:p>
      <w:pPr>
        <w:ind w:left="1500" w:right="40" w:hanging="674"/>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4.4.8</w:t>
      </w:r>
      <w:r>
        <w:rPr>
          <w:sz w:val="20"/>
          <w:szCs w:val="20"/>
          <w:color w:val="auto"/>
        </w:rPr>
        <w:tab/>
      </w:r>
      <w:r>
        <w:rPr>
          <w:rFonts w:ascii="Times New Roman" w:cs="Times New Roman" w:eastAsia="Times New Roman" w:hAnsi="Times New Roman"/>
          <w:sz w:val="18"/>
          <w:szCs w:val="18"/>
          <w:color w:val="auto"/>
        </w:rPr>
        <w:t xml:space="preserve">to engage independent agents, lawyers, accountants, custodians, paying and collecting agents and financial and other advisers and consultants as it may deem necessary or advisable in relation to the affairs of the Partnership to perform or assist in the performance of all or any of the activities set forth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right"/>
        <w:ind w:left="820" w:right="340"/>
        <w:spacing w:after="0" w:line="282" w:lineRule="auto"/>
        <w:rPr>
          <w:sz w:val="20"/>
          <w:szCs w:val="20"/>
          <w:color w:val="auto"/>
        </w:rPr>
      </w:pPr>
      <w:r>
        <w:rPr>
          <w:rFonts w:ascii="Times New Roman" w:cs="Times New Roman" w:eastAsia="Times New Roman" w:hAnsi="Times New Roman"/>
          <w:sz w:val="18"/>
          <w:szCs w:val="18"/>
          <w:color w:val="auto"/>
        </w:rPr>
        <w:t>4.4.9    to register and publish all such notices, statements or other instruments as may be required pursuant to the Act to be registered and published in relation to the establishment of the Partnership and in relation to any changes occurring in relation to the Partnership;</w:t>
      </w:r>
    </w:p>
    <w:p>
      <w:pPr>
        <w:spacing w:after="0" w:line="216" w:lineRule="exact"/>
        <w:rPr>
          <w:sz w:val="20"/>
          <w:szCs w:val="20"/>
          <w:color w:val="auto"/>
        </w:rPr>
      </w:pPr>
    </w:p>
    <w:p>
      <w:pPr>
        <w:ind w:left="820"/>
        <w:spacing w:after="0"/>
        <w:tabs>
          <w:tab w:leader="none" w:pos="1480" w:val="left"/>
        </w:tabs>
        <w:rPr>
          <w:sz w:val="20"/>
          <w:szCs w:val="20"/>
          <w:color w:val="auto"/>
        </w:rPr>
      </w:pPr>
      <w:r>
        <w:rPr>
          <w:rFonts w:ascii="Times New Roman" w:cs="Times New Roman" w:eastAsia="Times New Roman" w:hAnsi="Times New Roman"/>
          <w:sz w:val="18"/>
          <w:szCs w:val="18"/>
          <w:color w:val="auto"/>
        </w:rPr>
        <w:t>4.4.10</w:t>
      </w:r>
      <w:r>
        <w:rPr>
          <w:sz w:val="20"/>
          <w:szCs w:val="20"/>
          <w:color w:val="auto"/>
        </w:rPr>
        <w:tab/>
      </w:r>
      <w:r>
        <w:rPr>
          <w:rFonts w:ascii="Times New Roman" w:cs="Times New Roman" w:eastAsia="Times New Roman" w:hAnsi="Times New Roman"/>
          <w:sz w:val="17"/>
          <w:szCs w:val="17"/>
          <w:color w:val="auto"/>
        </w:rPr>
        <w:t>to open bank accounts in the name of the Partnership and to place funds not immediately required for the purposes of the Business;</w:t>
      </w:r>
    </w:p>
    <w:p>
      <w:pPr>
        <w:spacing w:after="0" w:line="279" w:lineRule="exact"/>
        <w:rPr>
          <w:sz w:val="20"/>
          <w:szCs w:val="20"/>
          <w:color w:val="auto"/>
        </w:rPr>
      </w:pPr>
    </w:p>
    <w:p>
      <w:pPr>
        <w:ind w:left="1500" w:right="320" w:hanging="674"/>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4.4.11</w:t>
        <w:tab/>
        <w:t>to lend or borrow money, to assume or guarantee, or otherwise contract for, indebtedness and other liabilities, to issue evidences of indebtedness and to incur any other obligations;</w:t>
      </w:r>
    </w:p>
    <w:p>
      <w:pPr>
        <w:spacing w:after="0" w:line="216" w:lineRule="exact"/>
        <w:rPr>
          <w:sz w:val="20"/>
          <w:szCs w:val="20"/>
          <w:color w:val="auto"/>
        </w:rPr>
      </w:pPr>
    </w:p>
    <w:p>
      <w:pPr>
        <w:ind w:left="820"/>
        <w:spacing w:after="0"/>
        <w:tabs>
          <w:tab w:leader="none" w:pos="1480" w:val="left"/>
        </w:tabs>
        <w:rPr>
          <w:sz w:val="20"/>
          <w:szCs w:val="20"/>
          <w:color w:val="auto"/>
        </w:rPr>
      </w:pPr>
      <w:r>
        <w:rPr>
          <w:rFonts w:ascii="Times New Roman" w:cs="Times New Roman" w:eastAsia="Times New Roman" w:hAnsi="Times New Roman"/>
          <w:sz w:val="18"/>
          <w:szCs w:val="18"/>
          <w:color w:val="auto"/>
        </w:rPr>
        <w:t>4.4.12</w:t>
      </w:r>
      <w:r>
        <w:rPr>
          <w:sz w:val="20"/>
          <w:szCs w:val="20"/>
          <w:color w:val="auto"/>
        </w:rPr>
        <w:tab/>
      </w:r>
      <w:r>
        <w:rPr>
          <w:rFonts w:ascii="Times New Roman" w:cs="Times New Roman" w:eastAsia="Times New Roman" w:hAnsi="Times New Roman"/>
          <w:sz w:val="17"/>
          <w:szCs w:val="17"/>
          <w:color w:val="auto"/>
        </w:rPr>
        <w:t>to establish and enforce limits of authority and internal controls with respect to all personnel and functions;</w:t>
      </w:r>
    </w:p>
    <w:p>
      <w:pPr>
        <w:spacing w:after="0" w:line="279" w:lineRule="exact"/>
        <w:rPr>
          <w:sz w:val="20"/>
          <w:szCs w:val="20"/>
          <w:color w:val="auto"/>
        </w:rPr>
      </w:pPr>
    </w:p>
    <w:p>
      <w:pPr>
        <w:jc w:val="both"/>
        <w:ind w:left="1500" w:right="140" w:hanging="674"/>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4.4.13</w:t>
        <w:tab/>
        <w:t>to sign any written resolutions and to attend, speak and vote at any shareholder meetings of any company or companies in which the Partnership may hold shares or otherwise to act as attorney or proxy in respect of any stocks, shares or other investments now held or which may hereafter be acquired by the Partnership or in any company whether solely or jointly with any other person or persons;</w:t>
      </w:r>
    </w:p>
    <w:p>
      <w:pPr>
        <w:spacing w:after="0" w:line="230" w:lineRule="exact"/>
        <w:rPr>
          <w:sz w:val="20"/>
          <w:szCs w:val="20"/>
          <w:color w:val="auto"/>
        </w:rPr>
      </w:pPr>
    </w:p>
    <w:p>
      <w:pPr>
        <w:ind w:left="820"/>
        <w:spacing w:after="0"/>
        <w:tabs>
          <w:tab w:leader="none" w:pos="1480" w:val="left"/>
        </w:tabs>
        <w:rPr>
          <w:sz w:val="20"/>
          <w:szCs w:val="20"/>
          <w:color w:val="auto"/>
        </w:rPr>
      </w:pPr>
      <w:r>
        <w:rPr>
          <w:rFonts w:ascii="Times New Roman" w:cs="Times New Roman" w:eastAsia="Times New Roman" w:hAnsi="Times New Roman"/>
          <w:sz w:val="18"/>
          <w:szCs w:val="18"/>
          <w:color w:val="auto"/>
        </w:rPr>
        <w:t>4.4.14</w:t>
      </w:r>
      <w:r>
        <w:rPr>
          <w:sz w:val="20"/>
          <w:szCs w:val="20"/>
          <w:color w:val="auto"/>
        </w:rPr>
        <w:tab/>
      </w:r>
      <w:r>
        <w:rPr>
          <w:rFonts w:ascii="Times New Roman" w:cs="Times New Roman" w:eastAsia="Times New Roman" w:hAnsi="Times New Roman"/>
          <w:sz w:val="17"/>
          <w:szCs w:val="17"/>
          <w:color w:val="auto"/>
        </w:rPr>
        <w:t>to sign, seal and deliver all resolutions and agreements concerning any holding of shares or any interest in any company;</w:t>
      </w:r>
    </w:p>
    <w:p>
      <w:pPr>
        <w:spacing w:after="0" w:line="279" w:lineRule="exact"/>
        <w:rPr>
          <w:sz w:val="20"/>
          <w:szCs w:val="20"/>
          <w:color w:val="auto"/>
        </w:rPr>
      </w:pPr>
    </w:p>
    <w:p>
      <w:pPr>
        <w:ind w:left="1500" w:right="260" w:hanging="674"/>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4.4.15</w:t>
        <w:tab/>
        <w:t>to execute, deliver and file any other certificates (and any amendments and/or restatements thereof) necessary for the Partnership to qualify to do business in a jurisdiction in which the Partnership may wish to conduct business;</w:t>
      </w:r>
    </w:p>
    <w:p>
      <w:pPr>
        <w:spacing w:after="0" w:line="216" w:lineRule="exact"/>
        <w:rPr>
          <w:sz w:val="20"/>
          <w:szCs w:val="20"/>
          <w:color w:val="auto"/>
        </w:rPr>
      </w:pPr>
    </w:p>
    <w:p>
      <w:pPr>
        <w:ind w:left="1500" w:right="220" w:hanging="674"/>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4.4.16</w:t>
        <w:tab/>
        <w:t>to do all or any other acts as are required of the General Partner by this Agreement or as are necessary or desirable in the reasonable opinion of the General Partner in furtherance of the foregoing powers and consistent within the terms of this Agreement.</w:t>
      </w: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without the consent of any Partner being required, the General Partner is hereby authorized to execute, deliver and perform (x) the Tax Receivable Agreement; and (y) any amendment and any agreement, document or other instrument contemplated thereby or related thereto. The General Partner is hereby authorized to enter into the documents described in the preceding sentence on behalf of the Partnership and the Partners, but such authorization shall not be deemed a restriction on the power of the General Partner (or any Officer or director of the General Partner) to enter into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74" w:name="page175"/>
    <w:bookmarkEnd w:id="174"/>
    <w:p>
      <w:pPr>
        <w:ind w:right="100"/>
        <w:spacing w:after="0" w:line="282" w:lineRule="auto"/>
        <w:rPr>
          <w:sz w:val="20"/>
          <w:szCs w:val="20"/>
          <w:color w:val="auto"/>
        </w:rPr>
      </w:pPr>
      <w:r>
        <w:rPr>
          <w:rFonts w:ascii="Times New Roman" w:cs="Times New Roman" w:eastAsia="Times New Roman" w:hAnsi="Times New Roman"/>
          <w:sz w:val="18"/>
          <w:szCs w:val="18"/>
          <w:color w:val="auto"/>
        </w:rPr>
        <w:t>documents on behalf of the Partnership. Nothing set forth in this Agreement shall reduce or restrict the rights of any Person set forth in the Tax Receivable Agreement, subject to the terms and conditions thereof.</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Partnership shall not enter into any contract, transaction or arrangement with any Partner or any Connected person of a Partner, without PubCo’s prior written consent (other than contracts and dealings solely among the Partnership and its Subsidiaries).</w:t>
      </w:r>
    </w:p>
    <w:p>
      <w:pPr>
        <w:ind w:left="820" w:right="8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Maintaining the limited liability of the Limited Partners</w:t>
      </w:r>
      <w:r>
        <w:rPr>
          <w:rFonts w:ascii="Times New Roman" w:cs="Times New Roman" w:eastAsia="Times New Roman" w:hAnsi="Times New Roman"/>
          <w:sz w:val="18"/>
          <w:szCs w:val="18"/>
          <w:color w:val="auto"/>
        </w:rPr>
        <w:t>. The General Partner shall do all things and discharge all duties or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imposed on a general partner by the Act and in particular so as to ensure, so far as it is able, that the liability of each Limited Partner is and remains limited as provided in the Act. If, for any reason, a Limited Partner is adjudicated to have lost its limited liability status or privileges as a limited partner under the Act by reason of taking part in the management of the Partnership business or otherwise, the General Partner and each other Limited Partner agrees and undertakes not to bring any claim itself or to support any claim by any other person that such Limited Partner should be liable for the debts or obligations of the Partnership beyond the amount it would otherwise be liable for under section 4 of the Act if it had retained such limited liability status and privileges.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Salary or fees</w:t>
            </w:r>
            <w:r>
              <w:rPr>
                <w:rFonts w:ascii="Times New Roman" w:cs="Times New Roman" w:eastAsia="Times New Roman" w:hAnsi="Times New Roman"/>
                <w:sz w:val="18"/>
                <w:szCs w:val="18"/>
                <w:color w:val="auto"/>
              </w:rPr>
              <w:t>. No salary or fees will be paid to the General Partner for the performance of its duties under this Agreement.</w:t>
            </w:r>
          </w:p>
        </w:tc>
      </w:tr>
      <w:tr>
        <w:trPr>
          <w:trHeight w:val="46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Legal and Accounting Services </w:t>
            </w:r>
            <w:r>
              <w:rPr>
                <w:rFonts w:ascii="Times New Roman" w:cs="Times New Roman" w:eastAsia="Times New Roman" w:hAnsi="Times New Roman"/>
                <w:sz w:val="18"/>
                <w:szCs w:val="18"/>
                <w:color w:val="auto"/>
              </w:rPr>
              <w:t>The General Partner may obtain legal and accounting services on behalf of the Partnership to the extent</w:t>
            </w:r>
          </w:p>
        </w:tc>
      </w:tr>
      <w:tr>
        <w:trPr>
          <w:trHeight w:val="234"/>
        </w:trPr>
        <w:tc>
          <w:tcPr>
            <w:tcW w:w="600" w:type="dxa"/>
            <w:vAlign w:val="bottom"/>
          </w:tcPr>
          <w:p>
            <w:pPr>
              <w:spacing w:after="0"/>
              <w:rPr>
                <w:sz w:val="20"/>
                <w:szCs w:val="20"/>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reasonably necessary for the conduct of the Partnership’s business.</w:t>
            </w:r>
          </w:p>
        </w:tc>
      </w:tr>
      <w:tr>
        <w:trPr>
          <w:trHeight w:val="639"/>
        </w:trPr>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0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rPr>
              <w:t>SECTION 5</w:t>
            </w:r>
          </w:p>
        </w:tc>
      </w:tr>
      <w:tr>
        <w:trPr>
          <w:trHeight w:val="229"/>
        </w:trPr>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0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LIMITED PARTNERS</w:t>
            </w:r>
          </w:p>
        </w:tc>
      </w:tr>
      <w:tr>
        <w:trPr>
          <w:trHeight w:val="23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Prohibition on management </w:t>
            </w:r>
            <w:r>
              <w:rPr>
                <w:rFonts w:ascii="Times New Roman" w:cs="Times New Roman" w:eastAsia="Times New Roman" w:hAnsi="Times New Roman"/>
                <w:sz w:val="18"/>
                <w:szCs w:val="18"/>
                <w:color w:val="auto"/>
              </w:rPr>
              <w:t>The Limited Partners shall not:</w:t>
            </w:r>
          </w:p>
        </w:tc>
      </w:tr>
      <w:tr>
        <w:trPr>
          <w:trHeight w:val="486"/>
        </w:trPr>
        <w:tc>
          <w:tcPr>
            <w:tcW w:w="60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5.1.1</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 any part in the management of the Partnership or its Business or affairs;</w:t>
            </w:r>
          </w:p>
        </w:tc>
      </w:tr>
      <w:tr>
        <w:trPr>
          <w:trHeight w:val="486"/>
        </w:trPr>
        <w:tc>
          <w:tcPr>
            <w:tcW w:w="60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have any right or authority to act for the Partnership; or</w:t>
            </w:r>
          </w:p>
        </w:tc>
      </w:tr>
      <w:tr>
        <w:trPr>
          <w:trHeight w:val="486"/>
        </w:trPr>
        <w:tc>
          <w:tcPr>
            <w:tcW w:w="60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5.1.3</w:t>
            </w:r>
          </w:p>
        </w:tc>
        <w:tc>
          <w:tcPr>
            <w:tcW w:w="9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 any part in or in any way interfere with the conduct or management of the Partnership.</w:t>
            </w:r>
          </w:p>
        </w:tc>
      </w:tr>
      <w:tr>
        <w:trPr>
          <w:trHeight w:val="46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Prohibition on acting on behalf of the Partnership </w:t>
            </w:r>
            <w:r>
              <w:rPr>
                <w:rFonts w:ascii="Times New Roman" w:cs="Times New Roman" w:eastAsia="Times New Roman" w:hAnsi="Times New Roman"/>
                <w:sz w:val="18"/>
                <w:szCs w:val="18"/>
                <w:color w:val="auto"/>
              </w:rPr>
              <w:t>The Limited Partners shall have no power or authority to act on behalf of the Partnership</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 to bind the Partnership in any way. The conduct, control and management of the Partnership shall be vested exclusively in the General</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Partner. No Limited Partner shall participate in or have any control over the management of the business of the Partnership. Except as expressly</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provided herein, the Units do not confer any rights upon the Limited Partners to participate in the affairs of the Partnership described in this</w:t>
            </w:r>
          </w:p>
        </w:tc>
      </w:tr>
      <w:tr>
        <w:trPr>
          <w:trHeight w:val="230"/>
        </w:trPr>
        <w:tc>
          <w:tcPr>
            <w:tcW w:w="600" w:type="dxa"/>
            <w:vAlign w:val="bottom"/>
          </w:tcPr>
          <w:p>
            <w:pPr>
              <w:spacing w:after="0"/>
              <w:rPr>
                <w:sz w:val="19"/>
                <w:szCs w:val="19"/>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w:t>
            </w:r>
          </w:p>
        </w:tc>
      </w:tr>
      <w:tr>
        <w:trPr>
          <w:trHeight w:val="234"/>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9900" w:type="dxa"/>
            <w:vAlign w:val="bottom"/>
            <w:tcBorders>
              <w:bottom w:val="single" w:sz="8" w:color="808080"/>
            </w:tcBorders>
          </w:tcPr>
          <w:p>
            <w:pPr>
              <w:spacing w:after="0"/>
              <w:rPr>
                <w:sz w:val="18"/>
                <w:szCs w:val="18"/>
                <w:color w:val="auto"/>
              </w:rPr>
            </w:pPr>
          </w:p>
        </w:tc>
      </w:tr>
      <w:tr>
        <w:trPr>
          <w:trHeight w:val="403"/>
        </w:trPr>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0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rPr>
              <w:t>SECTION 6</w:t>
            </w:r>
          </w:p>
        </w:tc>
      </w:tr>
      <w:tr>
        <w:trPr>
          <w:trHeight w:val="230"/>
        </w:trPr>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0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DISTRIBUTIONS AND ALLOCATIONS</w:t>
            </w:r>
          </w:p>
        </w:tc>
      </w:tr>
      <w:tr>
        <w:trPr>
          <w:trHeight w:val="23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Distributions</w:t>
            </w:r>
          </w:p>
        </w:tc>
      </w:tr>
      <w:tr>
        <w:trPr>
          <w:trHeight w:val="46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6.1.1</w:t>
            </w: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The General Partner may, subject to (i) any restrictions contained in the financing agreements to which the Partnership</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 any its Subsidiaries is a party, (ii) having Available Cash, and (iii) any other restrictions set forth in this Agreement, make Distributions at</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time and from time to time. If any assets of the Partnership are to be distributed in kind, they shall be distributed on the basis of their Fair</w:t>
            </w:r>
          </w:p>
        </w:tc>
      </w:tr>
      <w:tr>
        <w:trPr>
          <w:trHeight w:val="234"/>
        </w:trPr>
        <w:tc>
          <w:tcPr>
            <w:tcW w:w="600" w:type="dxa"/>
            <w:vAlign w:val="bottom"/>
          </w:tcPr>
          <w:p>
            <w:pPr>
              <w:spacing w:after="0"/>
              <w:rPr>
                <w:sz w:val="20"/>
                <w:szCs w:val="20"/>
                <w:color w:val="auto"/>
              </w:rPr>
            </w:pPr>
          </w:p>
        </w:tc>
        <w:tc>
          <w:tcPr>
            <w:tcW w:w="10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Market Value. The Partners’ Capital Accounts shall be appropriately adjusted before any such distribution to reflect the increases or decreases to</w:t>
            </w:r>
          </w:p>
        </w:tc>
      </w:tr>
    </w:tbl>
    <w:p>
      <w:pPr>
        <w:ind w:left="820" w:right="220"/>
        <w:spacing w:after="0" w:line="253" w:lineRule="auto"/>
        <w:rPr>
          <w:sz w:val="20"/>
          <w:szCs w:val="20"/>
          <w:color w:val="auto"/>
        </w:rPr>
      </w:pPr>
      <w:r>
        <w:rPr>
          <w:rFonts w:ascii="Times New Roman" w:cs="Times New Roman" w:eastAsia="Times New Roman" w:hAnsi="Times New Roman"/>
          <w:sz w:val="18"/>
          <w:szCs w:val="18"/>
          <w:color w:val="auto"/>
        </w:rPr>
        <w:t>the Capital Accounts which would have occurred if the property distributed in kind had been sold for its Fair Market Value by the Partnership prior to the distributions. Notwithstanding any other provision of this Agreement to the contrary, no Distribution, Tax Distribution or other payment in respect of Units shall be required to be made to any Partner if, and to the extent that, such Distribution, Tax Distribution or other payment in respect of Units would not be permitted under the Act or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ind w:left="820" w:right="200" w:hanging="796"/>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i w:val="1"/>
          <w:iCs w:val="1"/>
          <w:color w:val="auto"/>
        </w:rPr>
        <w:t xml:space="preserve">Operating Distributions. </w:t>
      </w:r>
      <w:r>
        <w:rPr>
          <w:rFonts w:ascii="Times New Roman" w:cs="Times New Roman" w:eastAsia="Times New Roman" w:hAnsi="Times New Roman"/>
          <w:sz w:val="18"/>
          <w:szCs w:val="18"/>
          <w:color w:val="auto"/>
        </w:rPr>
        <w:t>The General Partner, in its sole discretion, may authorize Distributions (to the extent of Available Cash)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to the Partners at any time and from time to time. All Distributions by the Partnership (other than those made in connection with a Liquidity Event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made or allocated to holders of Participating Units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Participating Units held by each such holder.</w:t>
      </w:r>
    </w:p>
    <w:p>
      <w:pPr>
        <w:spacing w:after="0" w:line="232" w:lineRule="exact"/>
        <w:rPr>
          <w:sz w:val="20"/>
          <w:szCs w:val="20"/>
          <w:color w:val="auto"/>
        </w:rPr>
      </w:pPr>
    </w:p>
    <w:p>
      <w:pPr>
        <w:jc w:val="both"/>
        <w:ind w:left="820" w:right="200" w:hanging="796"/>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i w:val="1"/>
          <w:iCs w:val="1"/>
          <w:color w:val="auto"/>
        </w:rPr>
        <w:t>Restricted Common Unit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Restricted Common Unit shall be entitled to receive any Distributions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unless and until a Vesting Event has occurred with respect to such Restricted Common Unit (and then only with respect to periods following such Vesting Event). Notwithstanding anything to the contrary herein, Restricted Common Units shall not be entitled to any “catch up” distributions in respect of periods prior to such Vesting Event.</w:t>
      </w:r>
    </w:p>
    <w:p>
      <w:pPr>
        <w:spacing w:after="0" w:line="232"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i w:val="1"/>
          <w:iCs w:val="1"/>
          <w:color w:val="auto"/>
        </w:rPr>
        <w:t>Tax Distributions.</w:t>
      </w:r>
    </w:p>
    <w:p>
      <w:pPr>
        <w:spacing w:after="0" w:line="133" w:lineRule="exact"/>
        <w:rPr>
          <w:sz w:val="20"/>
          <w:szCs w:val="20"/>
          <w:color w:val="auto"/>
        </w:rPr>
      </w:pPr>
    </w:p>
    <w:p>
      <w:pPr>
        <w:ind w:right="40" w:firstLine="8"/>
        <w:spacing w:after="0" w:line="267" w:lineRule="auto"/>
        <w:tabs>
          <w:tab w:leader="none" w:pos="2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Partner’s Required Tax Distribution</w:t>
      </w:r>
      <w:r>
        <w:rPr>
          <w:rFonts w:ascii="Times New Roman" w:cs="Times New Roman" w:eastAsia="Times New Roman" w:hAnsi="Times New Roman"/>
          <w:sz w:val="17"/>
          <w:szCs w:val="17"/>
          <w:color w:val="auto"/>
        </w:rPr>
        <w:t xml:space="preserve"> With respect to each Partner, the Partnership shall calculate the excess of (x)(A) the Income Amount allocated or allocable to such Partner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Partner pursuant to </w:t>
      </w:r>
      <w:r>
        <w:rPr>
          <w:rFonts w:ascii="Times New Roman" w:cs="Times New Roman" w:eastAsia="Times New Roman" w:hAnsi="Times New Roman"/>
          <w:sz w:val="17"/>
          <w:szCs w:val="17"/>
          <w:u w:val="single" w:color="auto"/>
          <w:color w:val="auto"/>
        </w:rPr>
        <w:t>Section 6.1.2, Section 6.1.3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Times New Roman" w:cs="Times New Roman" w:eastAsia="Times New Roman" w:hAnsi="Times New Roman"/>
          <w:sz w:val="17"/>
          <w:szCs w:val="17"/>
          <w:b w:val="1"/>
          <w:bCs w:val="1"/>
          <w:color w:val="auto"/>
        </w:rPr>
        <w:t>Partner’s Required Tax Distribution</w:t>
      </w:r>
      <w:r>
        <w:rPr>
          <w:rFonts w:ascii="Times New Roman" w:cs="Times New Roman" w:eastAsia="Times New Roman" w:hAnsi="Times New Roman"/>
          <w:sz w:val="17"/>
          <w:szCs w:val="17"/>
          <w:color w:val="auto"/>
        </w:rPr>
        <w:t xml:space="preserve">”); provided, however, that the General Partner may make adjustments in its reasonable discretion to reflect transactions occurring during the taxable year; provided, further, that if the amount of a Tax Distribution actually made with respect to a Tax Estimation Period is greater than or less than any such Partner’s Required Tax Distribution that would have been made under this </w:t>
      </w:r>
      <w:r>
        <w:rPr>
          <w:rFonts w:ascii="Times New Roman" w:cs="Times New Roman" w:eastAsia="Times New Roman" w:hAnsi="Times New Roman"/>
          <w:sz w:val="17"/>
          <w:szCs w:val="17"/>
          <w:u w:val="single" w:color="auto"/>
          <w:color w:val="auto"/>
        </w:rPr>
        <w:t>Section 6.1.4(a)</w:t>
      </w:r>
      <w:r>
        <w:rPr>
          <w:rFonts w:ascii="Times New Roman" w:cs="Times New Roman" w:eastAsia="Times New Roman" w:hAnsi="Times New Roman"/>
          <w:sz w:val="17"/>
          <w:szCs w:val="17"/>
          <w:color w:val="auto"/>
        </w:rPr>
        <w:t xml:space="preserve"> for such period based on subsequent tax information and assuming no limitations based on prohibitions under applicable Law, Available Cash, or insolvency (such limitations, the “</w:t>
      </w:r>
      <w:r>
        <w:rPr>
          <w:rFonts w:ascii="Times New Roman" w:cs="Times New Roman" w:eastAsia="Times New Roman" w:hAnsi="Times New Roman"/>
          <w:sz w:val="17"/>
          <w:szCs w:val="17"/>
          <w:b w:val="1"/>
          <w:bCs w:val="1"/>
          <w:color w:val="auto"/>
        </w:rPr>
        <w:t>Liquidity Limitations</w:t>
      </w:r>
      <w:r>
        <w:rPr>
          <w:rFonts w:ascii="Times New Roman" w:cs="Times New Roman" w:eastAsia="Times New Roman" w:hAnsi="Times New Roman"/>
          <w:sz w:val="17"/>
          <w:szCs w:val="17"/>
          <w:color w:val="auto"/>
        </w:rPr>
        <w:t>”) (e.g., because the estimated Tax Distribution for a Tax Estimation Period was greater than or less than the amount calculated based on actual taxable income for such Tax Estimation Period or because such Tax</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Distribution would have rendered the Partnership insolvent), then, for subsequent Tax Estimation Periods, the General Partner shall, subject to the Liquidity Limitations, cause the Partnership to adjust the next Partner’s Required Tax Distribution downward (but not below zero) or upward (but the resulting Tax Distribution shall in all cases remain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each Partner’s Common Percentage Interest) to reflect such excess or shortfall; provided, further, with respect to PubCo and its wholly owned Subsidiaries, the Partner’s Required Tax Distribution for any Tax Estimation Period shall be an amount sufficient for PubCo and its wholly owned Subsidiaries to receive a Distribution pursuant to Section 6.1.1 and this Section 6.1.4 sufficient to enable PubCo and its wholly owned Subsidiaries to meet (i) their U.S. federal, state and local and non-U.S. tax obligations and (ii) their obligations under the Tax Receivable Agreement for such Tax Estimation Period (but the resulting Tax Distribution shall in all cases remain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rata in accordance with each Partner’s Common Percentage Interest). For purposes of this Agreement, the “</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xml:space="preserve">” for a Tax Estimation Period shall equal, with respect to any Partner, the net taxable income (or, if applicable, gross taxable income, except to the extent offset by items of loss thereof) of the Partnership allocated or allocable to such Partner for such Tax Estimation Period (excluding any compensation paid to a Partner but taking into account any corrective allocations made pursuant to </w:t>
      </w:r>
      <w:r>
        <w:rPr>
          <w:rFonts w:ascii="Times New Roman" w:cs="Times New Roman" w:eastAsia="Times New Roman" w:hAnsi="Times New Roman"/>
          <w:sz w:val="18"/>
          <w:szCs w:val="18"/>
          <w:u w:val="single" w:color="auto"/>
          <w:color w:val="auto"/>
        </w:rPr>
        <w:t>Section 7.4.10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7.4.12</w:t>
      </w:r>
      <w:r>
        <w:rPr>
          <w:rFonts w:ascii="Times New Roman" w:cs="Times New Roman" w:eastAsia="Times New Roman" w:hAnsi="Times New Roman"/>
          <w:sz w:val="18"/>
          <w:szCs w:val="18"/>
          <w:color w:val="auto"/>
        </w:rPr>
        <w:t>). For purposes of computing the Income Amount, the taxable income shall be determined by including (i) any special adjustments of tax items required as a result of any election under Section 754 of the Code, including adjustments required by Sections 734 and 743 of the Code, and (ii) adjustments to taxable income in respect of Section 704(c) of the Code (including “</w:t>
      </w:r>
      <w:r>
        <w:rPr>
          <w:rFonts w:ascii="Times New Roman" w:cs="Times New Roman" w:eastAsia="Times New Roman" w:hAnsi="Times New Roman"/>
          <w:sz w:val="18"/>
          <w:szCs w:val="18"/>
          <w:b w:val="1"/>
          <w:bCs w:val="1"/>
          <w:color w:val="auto"/>
        </w:rPr>
        <w:t>reverse Section 704(c)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allocations</w:t>
      </w:r>
      <w:r>
        <w:rPr>
          <w:rFonts w:ascii="Times New Roman" w:cs="Times New Roman" w:eastAsia="Times New Roman" w:hAnsi="Times New Roman"/>
          <w:sz w:val="18"/>
          <w:szCs w:val="18"/>
          <w:color w:val="auto"/>
        </w:rPr>
        <w:t>”). For the avoidance of doubt, taxable income will include any amounts required to be included in taxable income by a Partner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by the Partnership of an entity classified as a: (i) “passive foreign investment company” within the meaning of Section 1297 of the Code (including by reason of a “qualifying electing fund” election or a mark-to-market election) or (ii) “controlled foreign corporation” within the meaning of Section 957 of the Code in which a Partner (or any of its direct or indirect owners) could be a “United States shareholder” for U.S. federal income tax purposes.</w:t>
      </w:r>
    </w:p>
    <w:p>
      <w:pPr>
        <w:spacing w:after="0" w:line="84" w:lineRule="exact"/>
        <w:rPr>
          <w:sz w:val="20"/>
          <w:szCs w:val="20"/>
          <w:color w:val="auto"/>
        </w:rPr>
      </w:pPr>
    </w:p>
    <w:p>
      <w:pPr>
        <w:ind w:right="240" w:firstLine="8"/>
        <w:spacing w:after="0" w:line="266"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Tax Distributions</w:t>
      </w:r>
      <w:r>
        <w:rPr>
          <w:rFonts w:ascii="Times New Roman" w:cs="Times New Roman" w:eastAsia="Times New Roman" w:hAnsi="Times New Roman"/>
          <w:sz w:val="18"/>
          <w:szCs w:val="18"/>
          <w:color w:val="auto"/>
        </w:rPr>
        <w:t xml:space="preserve"> At least five (5) days before the quarterly due date for payment of estimated tax payments by corporations or individuals (whichever is earlier) on a calendar year under the Code, the Partnership shall distribute (to the extent of Available Cash and unless prohibited by applicable Law or by any restrictions applicable to tax distributions contained in the Partnership’s or its Subsidiaries’ then applicable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76" w:name="page177"/>
    <w:bookmarkEnd w:id="176"/>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financing agreements by which the Partnership or its Subsidiaries are bound) to the Partners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Common Percentage Interest), an aggregate amount of cash sufficient to provide each such Partner with a Distribution at least equal to such Partner’s Required Tax Distribution (with amounts distributed pursuant to this Section 6.1.4, “</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xml:space="preserve">”). Notwithstanding anything to the contrary contained in this Agreement, (i) the General Partner shall make, in its reasonable discretion, equitable adjustments (downward (but not below zero) or upward) to the Partners’ Required Tax Distributions (but the resulting Tax Distribution shall in all cases remain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each Partner’s Common Percentage Interest) to take into account increases or decreases in the number of Common Units held by each Partner during the relevant period (including as a result of conversion of any Restricted Common Units into Common Units in connection with the occurrence of a Vesting Event); provided that, no such adjustments shall be made that would have a material adverse effect on the Continuing Partners without the Continuing Partner Representative’s prior written consent (which consent shall not be unreasonably withheld, conditioned, or delayed), and (ii) no Tax Distributions (or downward (but not below zero) or upward adjustment to any Tax Distributions) shall be made other than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proportion to the Partners’ respective number of Common Units). Any Tax Distributions shall be treated in all respects as advances against future Distributions pursuant to Section 6.1.2 and Section 6.2 and shall be treated for all purposes of this Agreement as having been paid pursuant to Section 6.1.2 or Section 6.2, as applicable.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40" w:firstLine="8"/>
        <w:spacing w:after="0" w:line="255" w:lineRule="auto"/>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Tax Distributions for Covered Transactions</w:t>
      </w:r>
      <w:r>
        <w:rPr>
          <w:rFonts w:ascii="Times New Roman" w:cs="Times New Roman" w:eastAsia="Times New Roman" w:hAnsi="Times New Roman"/>
          <w:sz w:val="18"/>
          <w:szCs w:val="18"/>
          <w:color w:val="auto"/>
        </w:rPr>
        <w:t xml:space="preserve"> Notwithstanding anything to the contrary herein, no Tax Distributions will be required to be made with respect to items arising with respect to any Covered Transaction, provided that any unpaid Tax Distributions with respect to any Tax Estimation Period, or portion thereof, ending before a Covered Transaction shall continue to be required to be paid prior to any Distributions being made under Section 6.1.2 and Section 6.2.</w:t>
      </w:r>
    </w:p>
    <w:p>
      <w:pPr>
        <w:spacing w:after="0" w:line="2" w:lineRule="exact"/>
        <w:rPr>
          <w:rFonts w:ascii="Times New Roman" w:cs="Times New Roman" w:eastAsia="Times New Roman" w:hAnsi="Times New Roman"/>
          <w:sz w:val="18"/>
          <w:szCs w:val="18"/>
          <w:color w:val="auto"/>
        </w:rPr>
      </w:pPr>
    </w:p>
    <w:p>
      <w:pPr>
        <w:ind w:left="82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b w:val="1"/>
          <w:bCs w:val="1"/>
          <w:color w:val="auto"/>
        </w:rPr>
        <w:t xml:space="preserve">Liquidation Distribution </w:t>
      </w:r>
      <w:r>
        <w:rPr>
          <w:rFonts w:ascii="Times New Roman" w:cs="Times New Roman" w:eastAsia="Times New Roman" w:hAnsi="Times New Roman"/>
          <w:sz w:val="18"/>
          <w:szCs w:val="18"/>
          <w:color w:val="auto"/>
        </w:rPr>
        <w:t>All Distributions by the Partnership, and all proceeds (whether received by the Partnership or directly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 in connection with dissolution of the Partnership shall be made or allocated among the holders of Participating Units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Participating Units held by each such holder.</w:t>
      </w:r>
    </w:p>
    <w:p>
      <w:pPr>
        <w:spacing w:after="0" w:line="229" w:lineRule="exact"/>
        <w:rPr>
          <w:sz w:val="20"/>
          <w:szCs w:val="20"/>
          <w:color w:val="auto"/>
        </w:rPr>
      </w:pPr>
    </w:p>
    <w:p>
      <w:pPr>
        <w:ind w:left="820" w:right="140" w:hanging="796"/>
        <w:spacing w:after="0" w:line="286" w:lineRule="auto"/>
        <w:tabs>
          <w:tab w:leader="none" w:pos="8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Limitations on Distribution </w:t>
      </w:r>
      <w:r>
        <w:rPr>
          <w:rFonts w:ascii="Times New Roman" w:cs="Times New Roman" w:eastAsia="Times New Roman" w:hAnsi="Times New Roman"/>
          <w:sz w:val="18"/>
          <w:szCs w:val="18"/>
          <w:color w:val="auto"/>
        </w:rPr>
        <w:t>Notwithstanding any provision to the contrary contained in this Agreement, the General Partner shall not make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to any Partner if such Distribution would violate the Act or other applicable Law.</w:t>
      </w:r>
    </w:p>
    <w:p>
      <w:pPr>
        <w:spacing w:after="0" w:line="209" w:lineRule="exact"/>
        <w:rPr>
          <w:sz w:val="20"/>
          <w:szCs w:val="20"/>
          <w:color w:val="auto"/>
        </w:rPr>
      </w:pPr>
    </w:p>
    <w:p>
      <w:pPr>
        <w:ind w:left="820" w:right="100" w:hanging="796"/>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 xml:space="preserve">Use of Distribution Funds by PubCo </w:t>
      </w:r>
      <w:r>
        <w:rPr>
          <w:rFonts w:ascii="Times New Roman" w:cs="Times New Roman" w:eastAsia="Times New Roman" w:hAnsi="Times New Roman"/>
          <w:sz w:val="18"/>
          <w:szCs w:val="18"/>
          <w:color w:val="auto"/>
        </w:rPr>
        <w:t>PubCo shall use Distributions received from the Partnership for payment of taxes,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Receivable Agreement, liabilities or expenses, to loan funds to the Partnership in accordance with this Agreement, for the payment of dividends to its shareholders or for other general corporate purposes as determined in the sole discretion of the PubCo; provided that, PubCo may not use such Distributions to acquire any Units, except as otherwise provided in Section 9.5.</w:t>
      </w:r>
    </w:p>
    <w:p>
      <w:pPr>
        <w:spacing w:after="0" w:line="230" w:lineRule="exact"/>
        <w:rPr>
          <w:sz w:val="20"/>
          <w:szCs w:val="20"/>
          <w:color w:val="auto"/>
        </w:rPr>
      </w:pPr>
    </w:p>
    <w:p>
      <w:pPr>
        <w:ind w:left="820" w:right="80" w:hanging="796"/>
        <w:spacing w:after="0" w:line="257" w:lineRule="auto"/>
        <w:tabs>
          <w:tab w:leader="none" w:pos="8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color w:val="auto"/>
        </w:rPr>
        <w:t xml:space="preserve">Distributions to the General Partner </w:t>
      </w:r>
      <w:r>
        <w:rPr>
          <w:rFonts w:ascii="Times New Roman" w:cs="Times New Roman" w:eastAsia="Times New Roman" w:hAnsi="Times New Roman"/>
          <w:sz w:val="18"/>
          <w:szCs w:val="18"/>
          <w:color w:val="auto"/>
        </w:rPr>
        <w:t>Notwithstanding any other provision of this Agreement, the General Partner shall be allocated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a 0.000001% share of profits and losses of the Partnership, up to a maximum allocated profit or loss of $10 per year, and the aggregate of its reasonable vouched expenses. The Available Cash available for distribution to the Limited Partners shall be determined after reserving an amount of Available Cash equal to any profits so allocated to the General Partner (after taking into account any allocated losses), which may be distributed by the Partnership to the General Partner any time after 180 days following the end of each Fiscal Year. Other than as specified in this Section 6.5 the General Partner shall have no entitlement to participate in any Distribution.</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 ACCOUNTS; TAX ALLOCATIONS; TAX MATTERS</w:t>
      </w:r>
    </w:p>
    <w:p>
      <w:pPr>
        <w:spacing w:after="0" w:line="9" w:lineRule="exact"/>
        <w:rPr>
          <w:sz w:val="20"/>
          <w:szCs w:val="20"/>
          <w:color w:val="auto"/>
        </w:rPr>
      </w:pPr>
    </w:p>
    <w:p>
      <w:pPr>
        <w:ind w:left="820" w:right="140" w:hanging="796"/>
        <w:spacing w:after="0" w:line="276" w:lineRule="auto"/>
        <w:tabs>
          <w:tab w:leader="none" w:pos="8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Capital Contributions Made Prior to the Effective Date </w:t>
      </w:r>
      <w:r>
        <w:rPr>
          <w:rFonts w:ascii="Times New Roman" w:cs="Times New Roman" w:eastAsia="Times New Roman" w:hAnsi="Times New Roman"/>
          <w:sz w:val="18"/>
          <w:szCs w:val="18"/>
          <w:color w:val="auto"/>
        </w:rPr>
        <w:t>The Continuing Partners have made, prior to the date hereof, Capital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exchange, the Continuing Partners have been allocated the number of Common Units as specified in Schedule 1 hereto.</w:t>
      </w:r>
    </w:p>
    <w:p>
      <w:pPr>
        <w:spacing w:after="0" w:line="217"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Capital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7" w:name="page178"/>
    <w:bookmarkEnd w:id="177"/>
    <w:p>
      <w:pPr>
        <w:ind w:left="800" w:right="8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i w:val="1"/>
          <w:iCs w:val="1"/>
          <w:color w:val="auto"/>
        </w:rPr>
        <w:t xml:space="preserve">Partner Capital Accounts </w:t>
      </w:r>
      <w:r>
        <w:rPr>
          <w:rFonts w:ascii="Times New Roman" w:cs="Times New Roman" w:eastAsia="Times New Roman" w:hAnsi="Times New Roman"/>
          <w:sz w:val="18"/>
          <w:szCs w:val="18"/>
          <w:color w:val="auto"/>
        </w:rPr>
        <w:t>A separate capital account (a “</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shall be established and maintained for each Partner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provisions of Treasury Regulations Section 1.704-1(b)(2)(iv) and this Section 7.2.1. The Partnership may adjust the Capital Accounts of its Partners to reflect revaluations of the property of any Subsidiary of the Partnership that is treated as a partnership (or entity disregarded from a partnership) for U.S. federal income tax purposes. The Capital Account of each Partner shall be credited with such</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00"/>
        <w:spacing w:after="0" w:line="253" w:lineRule="auto"/>
        <w:rPr>
          <w:sz w:val="20"/>
          <w:szCs w:val="20"/>
          <w:color w:val="auto"/>
        </w:rPr>
      </w:pPr>
      <w:r>
        <w:rPr>
          <w:rFonts w:ascii="Times New Roman" w:cs="Times New Roman" w:eastAsia="Times New Roman" w:hAnsi="Times New Roman"/>
          <w:sz w:val="18"/>
          <w:szCs w:val="18"/>
          <w:color w:val="auto"/>
        </w:rPr>
        <w:t>Partner’s Capital Contributions, if any, all Profits allocated to such Partner pursuant to Section 7.3 and any items of income or gain which are specially allocated pursuant to Section 7.4; and shall be debited with all Losses allocated to such Partner pursuant to Section 7.3, any items of loss or deduction of the Partnership specially allocated to such Partner pursuant to Section 7.4, and all cash and the Carrying Value of any property (net of liabilities assumed by such Partner and the liabilities to which such property is subject) distributed by the Partnership to such Partner.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 The General Partner shall also (i) make any adjustments that are necessary or appropriate in accordance with Treasury Regulations Section 1.704-1(b)(2)(iv)(q) and (ii) make any appropriate modifications for unanticipated events that might otherwise cause this Agreement not to comply with Treasury Regulations Section 1.704-1(b), provided that, to the extent that any such adjustment is inconsistent with any other provisions of this Agreement and would have a disproportionate (compared to PubCo) and material adverse effect on any Partner, such adjustment shall require the consent of such Partner. For Mexican tax purposes, the applicable rules shall be article 4-A, and related provisions of the Mexican income tax law.</w:t>
      </w:r>
    </w:p>
    <w:p>
      <w:pPr>
        <w:spacing w:after="0" w:line="241" w:lineRule="exact"/>
        <w:rPr>
          <w:sz w:val="20"/>
          <w:szCs w:val="20"/>
          <w:color w:val="auto"/>
        </w:rPr>
      </w:pPr>
    </w:p>
    <w:p>
      <w:pPr>
        <w:jc w:val="both"/>
        <w:ind w:left="800" w:right="100" w:hanging="796"/>
        <w:spacing w:after="0" w:line="266" w:lineRule="auto"/>
        <w:tabs>
          <w:tab w:leader="none" w:pos="7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u w:val="single" w:color="auto"/>
          <w:color w:val="auto"/>
        </w:rPr>
        <w:t xml:space="preserve">Loans to the Partnership </w:t>
      </w:r>
      <w:r>
        <w:rPr>
          <w:rFonts w:ascii="Times New Roman" w:cs="Times New Roman" w:eastAsia="Times New Roman" w:hAnsi="Times New Roman"/>
          <w:sz w:val="18"/>
          <w:szCs w:val="18"/>
          <w:color w:val="auto"/>
        </w:rPr>
        <w:t>If a Partner advances or lends any funds to the Partnership (other than, for the avoidance of doubt, any Advance made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part of a Capital Contribution), the amount of any such loan shall not increase the Partner’s Capital Account or affect in any way his, her or its share, as a Partner, in the profits, losses or distributions of the Partnership, but shall be a debt due from the Partnership.</w:t>
      </w:r>
    </w:p>
    <w:p>
      <w:pPr>
        <w:spacing w:after="0" w:line="226" w:lineRule="exact"/>
        <w:rPr>
          <w:sz w:val="20"/>
          <w:szCs w:val="20"/>
          <w:color w:val="auto"/>
        </w:rPr>
      </w:pPr>
    </w:p>
    <w:p>
      <w:pPr>
        <w:jc w:val="both"/>
        <w:ind w:left="800" w:right="20" w:hanging="796"/>
        <w:spacing w:after="0" w:line="269" w:lineRule="auto"/>
        <w:tabs>
          <w:tab w:leader="none" w:pos="7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 xml:space="preserve">Allocations of Profits and Losses </w:t>
      </w:r>
      <w:r>
        <w:rPr>
          <w:rFonts w:ascii="Times New Roman" w:cs="Times New Roman" w:eastAsia="Times New Roman" w:hAnsi="Times New Roman"/>
          <w:sz w:val="17"/>
          <w:szCs w:val="17"/>
          <w:color w:val="auto"/>
        </w:rPr>
        <w:t>Except as otherwise provided in this Agreement, Profits and Losses (and, to the extent necessary, individual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items of income, gain or loss or deduction of the Partnership) shall be allocated in a manner such that the Capital Account of each Partner after giving effect to the special allocations set forth in Section 7.4 is, as nearly as possible, equal (proportionately) to (i) the Distributions that would be made pursuant to Section 6.2 if the Partnership were dissolved, its affairs wound up and its assets sold for cash equal to their Carrying Value, all Partnership liabilities were satisfied in cash in accordance with their terms (limited with respect to each nonrecourse liability to the Carrying Value of the assets securing such liability) and all remaining or resulting cash was distributed to the Partners, minus (ii) such Partner’s share of Partnership Minimum Gain and Partnership Nonrecourse Debt Minimum Gain, computed immediately prior to the hypothetical sale of assets.</w:t>
      </w:r>
    </w:p>
    <w:p>
      <w:pPr>
        <w:spacing w:after="0" w:line="1" w:lineRule="exact"/>
        <w:rPr>
          <w:sz w:val="20"/>
          <w:szCs w:val="20"/>
          <w:color w:val="auto"/>
        </w:rPr>
      </w:pPr>
    </w:p>
    <w:p>
      <w:pPr>
        <w:ind w:left="800" w:right="720"/>
        <w:spacing w:after="0" w:line="260" w:lineRule="auto"/>
        <w:rPr>
          <w:sz w:val="20"/>
          <w:szCs w:val="20"/>
          <w:color w:val="auto"/>
        </w:rPr>
      </w:pPr>
      <w:r>
        <w:rPr>
          <w:rFonts w:ascii="Times New Roman" w:cs="Times New Roman" w:eastAsia="Times New Roman" w:hAnsi="Times New Roman"/>
          <w:sz w:val="18"/>
          <w:szCs w:val="18"/>
          <w:color w:val="auto"/>
        </w:rPr>
        <w:t>Notwithstanding the foregoing, the General Partner shall make such adjustments to Capital Accounts as it determines in its reasonable discretion to be appropriate to ensure allocations are made in accordance with a Partner’s interest in the Partnership.</w:t>
      </w:r>
    </w:p>
    <w:p>
      <w:pPr>
        <w:spacing w:after="0" w:line="2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Special Allocations </w:t>
      </w:r>
      <w:r>
        <w:rPr>
          <w:rFonts w:ascii="Times New Roman" w:cs="Times New Roman" w:eastAsia="Times New Roman" w:hAnsi="Times New Roman"/>
          <w:sz w:val="18"/>
          <w:szCs w:val="18"/>
          <w:color w:val="auto"/>
        </w:rPr>
        <w:t>Notwithstanding any other provisions in this Section 7:</w:t>
      </w:r>
    </w:p>
    <w:p>
      <w:pPr>
        <w:spacing w:after="0" w:line="281" w:lineRule="exact"/>
        <w:rPr>
          <w:sz w:val="20"/>
          <w:szCs w:val="20"/>
          <w:color w:val="auto"/>
        </w:rPr>
      </w:pPr>
    </w:p>
    <w:p>
      <w:pPr>
        <w:ind w:left="800" w:right="20" w:hanging="796"/>
        <w:spacing w:after="0" w:line="253" w:lineRule="auto"/>
        <w:tabs>
          <w:tab w:leader="none" w:pos="78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i w:val="1"/>
          <w:iCs w:val="1"/>
          <w:color w:val="auto"/>
        </w:rPr>
        <w:t>Minimum Gain Chargeback</w:t>
      </w:r>
      <w:r>
        <w:rPr>
          <w:rFonts w:ascii="Times New Roman" w:cs="Times New Roman" w:eastAsia="Times New Roman" w:hAnsi="Times New Roman"/>
          <w:sz w:val="18"/>
          <w:szCs w:val="18"/>
          <w:color w:val="auto"/>
        </w:rPr>
        <w:t>. If there is a net decrease in Partnership Minimum Gain (determined in accordance with the principles of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Section 1.704-2(d))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 1.704-2(g). The items to be so allocated shall be determined in accordance with Treasury Regulations Sections 1.704-2(f)(6) and 1.704-2(j)(2). This Section 7.4.1 is intended to comply with the minimum gain chargeback requirements in Treasury Regulations Section 1.704-2(f) shall be interpreted consistently therewith, including that no chargeback shall be required to the extent of the exceptions provided therein.</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1184910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27" w:right="379" w:bottom="1440" w:gutter="0" w:footer="0" w:header="0"/>
        </w:sectPr>
      </w:pPr>
    </w:p>
    <w:bookmarkStart w:id="178" w:name="page179"/>
    <w:bookmarkEnd w:id="178"/>
    <w:p>
      <w:pPr>
        <w:ind w:left="800" w:right="6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8"/>
          <w:szCs w:val="18"/>
          <w:i w:val="1"/>
          <w:iCs w:val="1"/>
          <w:color w:val="auto"/>
        </w:rPr>
        <w:t>Nonrecourse Debt Minimum Gain Chargeback</w:t>
      </w:r>
      <w:r>
        <w:rPr>
          <w:rFonts w:ascii="Times New Roman" w:cs="Times New Roman" w:eastAsia="Times New Roman" w:hAnsi="Times New Roman"/>
          <w:sz w:val="18"/>
          <w:szCs w:val="18"/>
          <w:color w:val="auto"/>
        </w:rPr>
        <w:t>. If there is a net decrease in Partner Nonrecourse Debt Minimum Gain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principles of Treasury Regulations Section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 1.704-2(i)(5). The items to be so allocated shall be determined in accordance with Treasury Regulations Sections 1.704-2(i)(4) and 1.704-2(j)(2). This Section 7.4.2 is intended to comply with the minimum gain chargeback requirements in such Treasury Regulations Section 1.704-2(i)(4) and shall be interpreted consistently therewith, including that no chargeback shall be required to the extent of the exceptions provided therein.</w:t>
      </w:r>
    </w:p>
    <w:p>
      <w:pPr>
        <w:spacing w:after="0" w:line="237" w:lineRule="exact"/>
        <w:rPr>
          <w:sz w:val="20"/>
          <w:szCs w:val="20"/>
          <w:color w:val="auto"/>
        </w:rPr>
      </w:pPr>
    </w:p>
    <w:p>
      <w:pPr>
        <w:ind w:left="800" w:right="2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i w:val="1"/>
          <w:iCs w:val="1"/>
          <w:color w:val="auto"/>
        </w:rPr>
        <w:t>Qualified Income Offset</w:t>
      </w:r>
      <w:r>
        <w:rPr>
          <w:rFonts w:ascii="Times New Roman" w:cs="Times New Roman" w:eastAsia="Times New Roman" w:hAnsi="Times New Roman"/>
          <w:sz w:val="18"/>
          <w:szCs w:val="18"/>
          <w:color w:val="auto"/>
        </w:rPr>
        <w:t>. If any Partner unexpectedly receives any adjustments, allocations, or distributions described in Treasury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provided that, an allocation pursuant to this Section 7.4.3 shall be made only to the extent that a Partner would have a deficit Adjusted Capital Account Balance in excess of such sum after all other allocations provided for in this Section 7 have been tentatively made as if this Section 7.4.3 were not in this Agreement. This Section 7.4.3 is intended to comply with the “qualified income offset” requirement of the Code and shall be interpreted consistently therewith.</w:t>
      </w:r>
    </w:p>
    <w:p>
      <w:pPr>
        <w:spacing w:after="0" w:line="237"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Times New Roman" w:cs="Times New Roman" w:eastAsia="Times New Roman" w:hAnsi="Times New Roman"/>
          <w:sz w:val="18"/>
          <w:szCs w:val="18"/>
          <w:i w:val="1"/>
          <w:iCs w:val="1"/>
          <w:color w:val="auto"/>
        </w:rPr>
        <w:t>Gross Income Allocation</w:t>
      </w:r>
      <w:r>
        <w:rPr>
          <w:rFonts w:ascii="Times New Roman" w:cs="Times New Roman" w:eastAsia="Times New Roman" w:hAnsi="Times New Roman"/>
          <w:sz w:val="18"/>
          <w:szCs w:val="18"/>
          <w:color w:val="auto"/>
        </w:rPr>
        <w:t>. If any Partner has a deficit Capital Account at the end of any Fiscal Year which is in excess of the sum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such 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provided that, an allocation pursuant to this Section 7.4.4 shall be made only if and to the extent that a Partner would have a deficit Capital Account in excess of such sum after all other allocations provided for in this Section 7 have been tentatively made as if Section 7.4.3 and this Section 7.4.4 were not in this Agreement.</w:t>
      </w:r>
    </w:p>
    <w:p>
      <w:pPr>
        <w:spacing w:after="0" w:line="237" w:lineRule="exact"/>
        <w:rPr>
          <w:sz w:val="20"/>
          <w:szCs w:val="20"/>
          <w:color w:val="auto"/>
        </w:rPr>
      </w:pPr>
    </w:p>
    <w:p>
      <w:pPr>
        <w:ind w:left="800" w:right="800" w:hanging="796"/>
        <w:spacing w:after="0" w:line="284" w:lineRule="auto"/>
        <w:tabs>
          <w:tab w:leader="none" w:pos="780" w:val="left"/>
        </w:tabs>
        <w:rPr>
          <w:sz w:val="20"/>
          <w:szCs w:val="20"/>
          <w:color w:val="auto"/>
        </w:rPr>
      </w:pPr>
      <w:r>
        <w:rPr>
          <w:rFonts w:ascii="Times New Roman" w:cs="Times New Roman" w:eastAsia="Times New Roman" w:hAnsi="Times New Roman"/>
          <w:sz w:val="18"/>
          <w:szCs w:val="18"/>
          <w:color w:val="auto"/>
        </w:rPr>
        <w:t>7.4.5</w:t>
      </w:r>
      <w:r>
        <w:rPr>
          <w:sz w:val="20"/>
          <w:szCs w:val="20"/>
          <w:color w:val="auto"/>
        </w:rPr>
        <w:tab/>
      </w:r>
      <w:r>
        <w:rPr>
          <w:rFonts w:ascii="Times New Roman" w:cs="Times New Roman" w:eastAsia="Times New Roman" w:hAnsi="Times New Roman"/>
          <w:sz w:val="18"/>
          <w:szCs w:val="18"/>
          <w:i w:val="1"/>
          <w:iCs w:val="1"/>
          <w:color w:val="auto"/>
        </w:rPr>
        <w:t>Nonrecourse Deductions</w:t>
      </w:r>
      <w:r>
        <w:rPr>
          <w:rFonts w:ascii="Times New Roman" w:cs="Times New Roman" w:eastAsia="Times New Roman" w:hAnsi="Times New Roman"/>
          <w:sz w:val="18"/>
          <w:szCs w:val="18"/>
          <w:color w:val="auto"/>
        </w:rPr>
        <w:t>. Nonrecourse Deductions for any taxable period shall be allocated to the Partners holding Common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their respective Common Percentage Interest.</w:t>
      </w:r>
    </w:p>
    <w:p>
      <w:pPr>
        <w:spacing w:after="0" w:line="212" w:lineRule="exact"/>
        <w:rPr>
          <w:sz w:val="20"/>
          <w:szCs w:val="20"/>
          <w:color w:val="auto"/>
        </w:rPr>
      </w:pPr>
    </w:p>
    <w:p>
      <w:pPr>
        <w:ind w:left="800" w:right="240" w:hanging="796"/>
        <w:spacing w:after="0" w:line="267" w:lineRule="auto"/>
        <w:tabs>
          <w:tab w:leader="none" w:pos="780" w:val="left"/>
        </w:tabs>
        <w:rPr>
          <w:sz w:val="20"/>
          <w:szCs w:val="20"/>
          <w:color w:val="auto"/>
        </w:rPr>
      </w:pPr>
      <w:r>
        <w:rPr>
          <w:rFonts w:ascii="Times New Roman" w:cs="Times New Roman" w:eastAsia="Times New Roman" w:hAnsi="Times New Roman"/>
          <w:sz w:val="18"/>
          <w:szCs w:val="18"/>
          <w:color w:val="auto"/>
        </w:rPr>
        <w:t>7.4.6</w:t>
      </w:r>
      <w:r>
        <w:rPr>
          <w:sz w:val="20"/>
          <w:szCs w:val="20"/>
          <w:color w:val="auto"/>
        </w:rPr>
        <w:tab/>
      </w:r>
      <w:r>
        <w:rPr>
          <w:rFonts w:ascii="Times New Roman" w:cs="Times New Roman" w:eastAsia="Times New Roman" w:hAnsi="Times New Roman"/>
          <w:sz w:val="18"/>
          <w:szCs w:val="18"/>
          <w:i w:val="1"/>
          <w:iCs w:val="1"/>
          <w:color w:val="auto"/>
        </w:rPr>
        <w:t>Partner Nonrecourse Deductions</w:t>
      </w:r>
      <w:r>
        <w:rPr>
          <w:rFonts w:ascii="Times New Roman" w:cs="Times New Roman" w:eastAsia="Times New Roman" w:hAnsi="Times New Roman"/>
          <w:sz w:val="18"/>
          <w:szCs w:val="18"/>
          <w:color w:val="auto"/>
        </w:rPr>
        <w:t>. Partner Nonrecourse Deductions for any taxable period shall be allocated to the Partner who bears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risk of loss with respect to the liability to which such Partner Nonrecourse Deductions are attributable in accordance with Treasury Regulations Section 1.704-2(i)(1).</w:t>
      </w:r>
    </w:p>
    <w:p>
      <w:pPr>
        <w:spacing w:after="0" w:line="227" w:lineRule="exact"/>
        <w:rPr>
          <w:sz w:val="20"/>
          <w:szCs w:val="20"/>
          <w:color w:val="auto"/>
        </w:rPr>
      </w:pPr>
    </w:p>
    <w:p>
      <w:pPr>
        <w:ind w:left="800" w:right="12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7.4.7</w:t>
      </w:r>
      <w:r>
        <w:rPr>
          <w:sz w:val="20"/>
          <w:szCs w:val="20"/>
          <w:color w:val="auto"/>
        </w:rPr>
        <w:tab/>
      </w:r>
      <w:r>
        <w:rPr>
          <w:rFonts w:ascii="Times New Roman" w:cs="Times New Roman" w:eastAsia="Times New Roman" w:hAnsi="Times New Roman"/>
          <w:sz w:val="18"/>
          <w:szCs w:val="18"/>
          <w:i w:val="1"/>
          <w:iCs w:val="1"/>
          <w:color w:val="auto"/>
        </w:rPr>
        <w:t xml:space="preserve">Section 754 Adjustments. </w:t>
      </w:r>
      <w:r>
        <w:rPr>
          <w:rFonts w:ascii="Times New Roman" w:cs="Times New Roman" w:eastAsia="Times New Roman" w:hAnsi="Times New Roman"/>
          <w:sz w:val="18"/>
          <w:szCs w:val="18"/>
          <w:color w:val="auto"/>
        </w:rPr>
        <w:t>To the extent an adjustment to the adjusted tax basis of any Partnership Asset, pursuant to Code Section 734(b)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743(b) is required, pursuant to Treasury Regulations Section 1.704-1(b)(2)(iv)(m)(2) or Section 1.704-1(b)(2)(iv)(m)(4), to be taken into account in determining Capital Accounts as the result of a Distribution to a Partner in complete liquidation of such Partner’s interest in the Partnership, the amount of such adjustment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800" w:right="340"/>
        <w:spacing w:after="0" w:line="261" w:lineRule="auto"/>
        <w:rPr>
          <w:sz w:val="20"/>
          <w:szCs w:val="20"/>
          <w:color w:val="auto"/>
        </w:rPr>
      </w:pPr>
      <w:r>
        <w:rPr>
          <w:rFonts w:ascii="Times New Roman" w:cs="Times New Roman" w:eastAsia="Times New Roman" w:hAnsi="Times New Roman"/>
          <w:sz w:val="18"/>
          <w:szCs w:val="18"/>
          <w:color w:val="auto"/>
        </w:rPr>
        <w:t>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Treasury Regulations Section 1.704-1(b)(2)(iv)(m)(2) applies, or to the Partner to whom such Distribution was made in the event Treasury Regulations Section 1.704-1(b)(2)(iv)(m)(4) applies.</w:t>
      </w:r>
    </w:p>
    <w:p>
      <w:pPr>
        <w:spacing w:after="0" w:line="232" w:lineRule="exact"/>
        <w:rPr>
          <w:sz w:val="20"/>
          <w:szCs w:val="20"/>
          <w:color w:val="auto"/>
        </w:rPr>
      </w:pPr>
    </w:p>
    <w:p>
      <w:pPr>
        <w:ind w:left="800" w:hanging="79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7.4.8</w:t>
      </w:r>
      <w:r>
        <w:rPr>
          <w:sz w:val="20"/>
          <w:szCs w:val="20"/>
          <w:color w:val="auto"/>
        </w:rPr>
        <w:tab/>
      </w:r>
      <w:r>
        <w:rPr>
          <w:rFonts w:ascii="Times New Roman" w:cs="Times New Roman" w:eastAsia="Times New Roman" w:hAnsi="Times New Roman"/>
          <w:sz w:val="18"/>
          <w:szCs w:val="18"/>
          <w:i w:val="1"/>
          <w:iCs w:val="1"/>
          <w:color w:val="auto"/>
        </w:rPr>
        <w:t>Ameliorative Allocations</w:t>
      </w:r>
      <w:r>
        <w:rPr>
          <w:rFonts w:ascii="Times New Roman" w:cs="Times New Roman" w:eastAsia="Times New Roman" w:hAnsi="Times New Roman"/>
          <w:sz w:val="18"/>
          <w:szCs w:val="18"/>
          <w:color w:val="auto"/>
        </w:rPr>
        <w:t>. Any special allocations of income or gain pursuant to Sections 7.4.1, 7.4.2, 7.4.3 or 7.4.4 hereof shall be taken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in computing subsequent allocations pursuant to Section 7.3 and this Section 7.4.8, so that the net amount of any items so allocated and all other items allocated to each Partner shall, to the extent possible, be equal to the net amount that would have been allocated to each Partner if such allocations pursuant to Sections 7.4.1, 7.4.2, 7.4.3 or 7.4.4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1014095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9" w:right="359" w:bottom="1440" w:gutter="0" w:footer="0" w:header="0"/>
        </w:sectPr>
      </w:pPr>
    </w:p>
    <w:bookmarkStart w:id="179" w:name="page180"/>
    <w:bookmarkEnd w:id="179"/>
    <w:p>
      <w:pPr>
        <w:ind w:left="820" w:right="20" w:hanging="796"/>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7.4.9</w:t>
      </w:r>
      <w:r>
        <w:rPr>
          <w:sz w:val="20"/>
          <w:szCs w:val="20"/>
          <w:color w:val="auto"/>
        </w:rPr>
        <w:tab/>
      </w:r>
      <w:r>
        <w:rPr>
          <w:rFonts w:ascii="Times New Roman" w:cs="Times New Roman" w:eastAsia="Times New Roman" w:hAnsi="Times New Roman"/>
          <w:sz w:val="18"/>
          <w:szCs w:val="18"/>
          <w:i w:val="1"/>
          <w:iCs w:val="1"/>
          <w:color w:val="auto"/>
        </w:rPr>
        <w:t>Allocations Relating to Taxable Issuance of Partnership Units</w:t>
      </w:r>
      <w:r>
        <w:rPr>
          <w:rFonts w:ascii="Times New Roman" w:cs="Times New Roman" w:eastAsia="Times New Roman" w:hAnsi="Times New Roman"/>
          <w:sz w:val="18"/>
          <w:szCs w:val="18"/>
          <w:color w:val="auto"/>
        </w:rPr>
        <w:t>. Any income, gain, loss, or deduction realized as a direct or indirect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Units by the Partnership to a Partner (the “</w:t>
      </w:r>
      <w:r>
        <w:rPr>
          <w:rFonts w:ascii="Times New Roman" w:cs="Times New Roman" w:eastAsia="Times New Roman" w:hAnsi="Times New Roman"/>
          <w:sz w:val="18"/>
          <w:szCs w:val="18"/>
          <w:b w:val="1"/>
          <w:bCs w:val="1"/>
          <w:color w:val="auto"/>
        </w:rPr>
        <w:t>Issuance Items</w:t>
      </w:r>
      <w:r>
        <w:rPr>
          <w:rFonts w:ascii="Times New Roman" w:cs="Times New Roman" w:eastAsia="Times New Roman" w:hAnsi="Times New Roman"/>
          <w:sz w:val="18"/>
          <w:szCs w:val="18"/>
          <w:color w:val="auto"/>
        </w:rPr>
        <w:t>”)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 The forfeiture allocations described in Proposed Regulations Section 1.704-1(b)(4)(xii)(C) (2005), and the allocations to which they relate, shall be treated as Issuance Items.</w:t>
      </w:r>
    </w:p>
    <w:p>
      <w:pPr>
        <w:spacing w:after="0" w:line="237" w:lineRule="exact"/>
        <w:rPr>
          <w:sz w:val="20"/>
          <w:szCs w:val="20"/>
          <w:color w:val="auto"/>
        </w:rPr>
      </w:pPr>
    </w:p>
    <w:p>
      <w:pPr>
        <w:ind w:left="82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7.4.10</w:t>
      </w:r>
      <w:r>
        <w:rPr>
          <w:sz w:val="20"/>
          <w:szCs w:val="20"/>
          <w:color w:val="auto"/>
        </w:rPr>
        <w:tab/>
      </w:r>
      <w:r>
        <w:rPr>
          <w:rFonts w:ascii="Times New Roman" w:cs="Times New Roman" w:eastAsia="Times New Roman" w:hAnsi="Times New Roman"/>
          <w:sz w:val="17"/>
          <w:szCs w:val="17"/>
          <w:i w:val="1"/>
          <w:iCs w:val="1"/>
          <w:color w:val="auto"/>
        </w:rPr>
        <w:t>Restricted Common Units</w:t>
      </w:r>
      <w:r>
        <w:rPr>
          <w:rFonts w:ascii="Times New Roman" w:cs="Times New Roman" w:eastAsia="Times New Roman" w:hAnsi="Times New Roman"/>
          <w:sz w:val="17"/>
          <w:szCs w:val="17"/>
          <w:color w:val="auto"/>
        </w:rPr>
        <w:t>. Notwithstanding anything to the contrary contained in this Agreement, (1) no allocation (of Profits or Losses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shall be made in respect of any Restricted Common Units in determining Capital Accounts unless and until such Restricted Common Units are converted into Common Units upon the occurrence of a Vesting Event and (2) in the event the Carrying Value is adjusted pursuant to clause (g) of the definition of Carrying Value, any Profits or Losses resulting from such adjustment shall, in the manner reasonably determined by the General Partner, be allocated among the Partners (including the Partners who held the Restricted Common Units giving rise to such adjustment) such that the Capital Account balance relating to each Common Unit (including such Restricted Common Units that have been converted into Common Units) is equal in amount immediately after making such allocation in accordance with principles similar to those set forth in Treasury Regulations Section 1.704-1(b)(2)(iv)(s). In connection with and following the occurrence of each Vesting Event, Tolerantia, LLC may require that the Partnership either (A) allow it or its Affiliate to subscribe for and purchase $10,000 worth of Common Units from the Partnership (or a larger amount with the consent of the General Partner) rounded down to the nearest Common Unit for cash consideration priced using the 5 Day VWAP (at which time Carrying Value shall be adjusted pursuant to clause (a) of the definition of Carrying Value); or (B) redeem Tolerantia, LLC of $10,000 worth of its Common Units (or a larger amount with the consent of the General Partner) rounded down to the nearest Common Unit for cash consideration priced using 5 Day VWAP (at which time Carrying Value shall be adjusted pursuant to clause</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 of the definition of Carrying Value).</w:t>
      </w:r>
    </w:p>
    <w:p>
      <w:pPr>
        <w:spacing w:after="0" w:line="259" w:lineRule="exact"/>
        <w:rPr>
          <w:sz w:val="20"/>
          <w:szCs w:val="20"/>
          <w:color w:val="auto"/>
        </w:rPr>
      </w:pPr>
    </w:p>
    <w:p>
      <w:pPr>
        <w:ind w:left="820" w:right="540" w:hanging="796"/>
        <w:spacing w:after="0" w:line="284" w:lineRule="auto"/>
        <w:tabs>
          <w:tab w:leader="none" w:pos="800" w:val="left"/>
        </w:tabs>
        <w:rPr>
          <w:sz w:val="20"/>
          <w:szCs w:val="20"/>
          <w:color w:val="auto"/>
        </w:rPr>
      </w:pPr>
      <w:r>
        <w:rPr>
          <w:rFonts w:ascii="Times New Roman" w:cs="Times New Roman" w:eastAsia="Times New Roman" w:hAnsi="Times New Roman"/>
          <w:sz w:val="18"/>
          <w:szCs w:val="18"/>
          <w:color w:val="auto"/>
        </w:rPr>
        <w:t>7.4.11</w:t>
      </w:r>
      <w:r>
        <w:rPr>
          <w:sz w:val="20"/>
          <w:szCs w:val="20"/>
          <w:color w:val="auto"/>
        </w:rPr>
        <w:tab/>
      </w:r>
      <w:r>
        <w:rPr>
          <w:rFonts w:ascii="Times New Roman" w:cs="Times New Roman" w:eastAsia="Times New Roman" w:hAnsi="Times New Roman"/>
          <w:sz w:val="18"/>
          <w:szCs w:val="18"/>
          <w:i w:val="1"/>
          <w:iCs w:val="1"/>
          <w:color w:val="auto"/>
        </w:rPr>
        <w:t>Forfeiture Allocation</w:t>
      </w:r>
      <w:r>
        <w:rPr>
          <w:rFonts w:ascii="Times New Roman" w:cs="Times New Roman" w:eastAsia="Times New Roman" w:hAnsi="Times New Roman"/>
          <w:sz w:val="18"/>
          <w:szCs w:val="18"/>
          <w:color w:val="auto"/>
        </w:rPr>
        <w:t>. In the event that the Units of any Partner are forfeited, then for the fiscal year of such forfeiture or other period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General Partner):</w:t>
      </w:r>
    </w:p>
    <w:p>
      <w:pPr>
        <w:spacing w:after="0" w:line="66" w:lineRule="exact"/>
        <w:rPr>
          <w:sz w:val="20"/>
          <w:szCs w:val="20"/>
          <w:color w:val="auto"/>
        </w:rPr>
      </w:pPr>
    </w:p>
    <w:p>
      <w:pPr>
        <w:jc w:val="both"/>
        <w:ind w:right="300" w:firstLine="8"/>
        <w:spacing w:after="0" w:line="257" w:lineRule="auto"/>
        <w:tabs>
          <w:tab w:leader="none" w:pos="2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income, gain, loss, and deduction shall be excluded from the calculation of Profits and Losses and shall be specially allocated to the Partner whose Units have been forfeited so as to cause such Partner’s Capital Account to equal such Partner’s Distribution entitlements under Section 6.1 after giving effect to the adjustment in the Partner’s Common Percentage Interest resulting from the applicable forfeiture;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firstLine="8"/>
        <w:spacing w:after="0" w:line="261"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elect to apply another allocation or Capital Account adjustment method to a Unit forfeiture as it reasonably deems appropriate in lieu of the method set forth in Section 7.4.11(i).</w:t>
      </w:r>
    </w:p>
    <w:p>
      <w:pPr>
        <w:ind w:left="820" w:right="18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7.4.12</w:t>
      </w:r>
      <w:r>
        <w:rPr>
          <w:rFonts w:ascii="Times New Roman" w:cs="Times New Roman" w:eastAsia="Times New Roman" w:hAnsi="Times New Roman"/>
          <w:sz w:val="18"/>
          <w:szCs w:val="18"/>
          <w:i w:val="1"/>
          <w:iCs w:val="1"/>
          <w:color w:val="auto"/>
        </w:rPr>
        <w:t>Non-compensatory Options</w:t>
      </w:r>
      <w:r>
        <w:rPr>
          <w:rFonts w:ascii="Times New Roman" w:cs="Times New Roman" w:eastAsia="Times New Roman" w:hAnsi="Times New Roman"/>
          <w:sz w:val="18"/>
          <w:szCs w:val="18"/>
          <w:color w:val="auto"/>
        </w:rPr>
        <w:t>. If, as a result of an exercise of a non-compensatory option to acquire an interest in the Partnership, a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reallocation is required under Treasury Regulations Section 1.704-1(b)(2)(iv)(s)(3), the Partnership shall make corrective allocations pursuant to Treasury Regulations Section 1.704-1(b)(4)(x).</w:t>
      </w:r>
    </w:p>
    <w:p>
      <w:pPr>
        <w:spacing w:after="0" w:line="229" w:lineRule="exact"/>
        <w:rPr>
          <w:sz w:val="20"/>
          <w:szCs w:val="20"/>
          <w:color w:val="auto"/>
        </w:rPr>
      </w:pPr>
    </w:p>
    <w:p>
      <w:pPr>
        <w:ind w:left="820" w:hanging="796"/>
        <w:spacing w:after="0" w:line="269" w:lineRule="auto"/>
        <w:tabs>
          <w:tab w:leader="none" w:pos="8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 xml:space="preserve">Tax Allocations </w:t>
      </w:r>
      <w:r>
        <w:rPr>
          <w:rFonts w:ascii="Times New Roman" w:cs="Times New Roman" w:eastAsia="Times New Roman" w:hAnsi="Times New Roman"/>
          <w:sz w:val="17"/>
          <w:szCs w:val="17"/>
          <w:color w:val="auto"/>
        </w:rPr>
        <w:t>For U.S. federal income tax purposes, each item of income, gain, loss and deduction of the Partnership shall be allocated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among the Partners in the same manner as the corresponding items of Profits and Losses and specially allocated items are allocated for Capital Account purposes; provided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General Partner and permitted by the Code and Treasury Regulations; provided that, except as otherwise provided in this Section 7.5, the prior written consent of the Requisite Continuing Partners shall be required for use of any method other than the traditional method (without curative allocations) described in Treasury Regulation Section</w:t>
      </w:r>
    </w:p>
    <w:p>
      <w:pPr>
        <w:spacing w:after="0" w:line="1" w:lineRule="exact"/>
        <w:rPr>
          <w:sz w:val="20"/>
          <w:szCs w:val="20"/>
          <w:color w:val="auto"/>
        </w:rPr>
      </w:pPr>
    </w:p>
    <w:p>
      <w:pPr>
        <w:ind w:left="820" w:right="100"/>
        <w:spacing w:after="0" w:line="253" w:lineRule="auto"/>
        <w:rPr>
          <w:sz w:val="20"/>
          <w:szCs w:val="20"/>
          <w:color w:val="auto"/>
        </w:rPr>
      </w:pPr>
      <w:r>
        <w:rPr>
          <w:rFonts w:ascii="Times New Roman" w:cs="Times New Roman" w:eastAsia="Times New Roman" w:hAnsi="Times New Roman"/>
          <w:sz w:val="18"/>
          <w:szCs w:val="18"/>
          <w:color w:val="auto"/>
        </w:rPr>
        <w:t>1.704-3(b)) so as to take account of the difference between Carrying Value and adjusted basis of such asset; provided, further, that with respect to the reverse Section 704(c) allocations resulting from the adjustment that occurred immediately prior to the investment by PubCo in connection with the Existing Partnership Agreement and the subsequent purchase of interests in the Partnership by PubCo pursuant to the Business Combination Agreement, the Partnership shall adopt the “remedial allocation method” described in Treasury Regulation Section 1.704-3(d) (unless otherwise consented to by PubCo), for making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9" w:right="379" w:bottom="1440" w:gutter="0" w:footer="0" w:header="0"/>
        </w:sectPr>
      </w:pPr>
    </w:p>
    <w:bookmarkStart w:id="180" w:name="page181"/>
    <w:bookmarkEnd w:id="180"/>
    <w:p>
      <w:pPr>
        <w:ind w:left="820" w:right="220"/>
        <w:spacing w:after="0" w:line="261" w:lineRule="auto"/>
        <w:rPr>
          <w:sz w:val="20"/>
          <w:szCs w:val="20"/>
          <w:color w:val="auto"/>
        </w:rPr>
      </w:pPr>
      <w:r>
        <w:rPr>
          <w:rFonts w:ascii="Times New Roman" w:cs="Times New Roman" w:eastAsia="Times New Roman" w:hAnsi="Times New Roman"/>
          <w:sz w:val="18"/>
          <w:szCs w:val="18"/>
          <w:color w:val="auto"/>
        </w:rPr>
        <w:t>allocations. Notwithstanding the foregoing, the General Partner shall make such allocations for tax purposes as it determines in its reasonable discretion, subject to, for so long as the Continuing Partners collectively own at least 10% of the Units, the prior written consent, not to be unreasonably withheld, conditioned or delayed, of the Requisite Continuing Partners, to be appropriate to ensure allocations are made in accordance with a Partner’s interest in the Partnership.</w:t>
      </w:r>
    </w:p>
    <w:p>
      <w:pPr>
        <w:spacing w:after="0" w:line="230" w:lineRule="exact"/>
        <w:rPr>
          <w:sz w:val="20"/>
          <w:szCs w:val="20"/>
          <w:color w:val="auto"/>
        </w:rPr>
      </w:pPr>
    </w:p>
    <w:p>
      <w:pPr>
        <w:ind w:left="820" w:hanging="796"/>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 xml:space="preserve">Tax Advances </w:t>
      </w:r>
      <w:r>
        <w:rPr>
          <w:rFonts w:ascii="Times New Roman" w:cs="Times New Roman" w:eastAsia="Times New Roman" w:hAnsi="Times New Roman"/>
          <w:sz w:val="18"/>
          <w:szCs w:val="18"/>
          <w:color w:val="auto"/>
        </w:rPr>
        <w:t>If the Partnership or any other Person in which the Partnership holds an interest is required by Law to withhold or to make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on behalf of or with respect to any Partner, or the Partnership is subjected to tax itself (including any amounts withheld from amounts directly or indirectly payable to the Partnership or to any other Person in which the Partnership holds an interest) by reason of the status of any Partner as such or that is specifically attributable to a Partner (including U.S. federal, state, or local or non-U.S. withholding, personal property, unincorporated business or other taxes, the amount of any taxes arising under the Partnership Audit Provisions, the amount of any taxes imposed under Code Section 1446(f), and any interest, penalties, additions to tax, and expenses related to any such amounts)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the General Partner may cause the Partnership to withhold such amounts and cause the Partnership to make such tax payments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required. All Tax Advances made on behalf of a Partner shall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For all purposes of this Agreement, such Partner shall be</w:t>
      </w: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8"/>
          <w:szCs w:val="18"/>
          <w:color w:val="auto"/>
        </w:rPr>
        <w:t>treated as having received the amount of the Distribution that is equal to the Tax Advance. Each Partner hereby agrees to indemnify and hold harmless the Partnership and the other Partners from and against any liability (including any liability for taxes, penalties, additions to tax or interest other than any penalties, additions to tax or interest imposed as a result of the Partnership’s failure to withhold or make a tax payment on behalf of such Partner which withholding or payment is required pursuant to applicable Law) with respect to income attributable to or Distributions or other payments to such Partner. For the avoidance of doubt, any income taxes, penalties, additions to tax and interest payable by the Partnership or any fiscally transparent entity in which the Partnership owns an interest shall be treated as specifically attributable to the Partners and shall be allocated among the Partners such that the burden of (or any diminution in distributable proceeds resulting from) any such amounts is borne by those Partners to whom such amounts are specifically attributable (whether as a result of their status, actions, inactions or otherwise, including pursuant to an allocation made under Section 7.7), in each case as reasonably determined by the General Partner. For the avoidance of doubt, any taxes, penalties, and interest payable under the Partnership Audit Provisions by the Partnership or any fiscally transparent entity in which the Partnership owns an interest shall be treated as specifically attributable to the Partners of the Partnership, and the General Partner shall use commercially reasonable efforts to allocate the burden of (or any diminution in distributable proceeds resulting from) any such taxes, penalties or interest to those Partners to whom such amounts are specifically attributable (whether as a result of their status, actions, inactions or otherwise), as reasonably determined by the General Partner.</w:t>
      </w:r>
    </w:p>
    <w:p>
      <w:pPr>
        <w:spacing w:after="0" w:line="247"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Partnership Representative</w:t>
      </w:r>
    </w:p>
    <w:p>
      <w:pPr>
        <w:spacing w:after="0" w:line="135" w:lineRule="exact"/>
        <w:rPr>
          <w:sz w:val="20"/>
          <w:szCs w:val="20"/>
          <w:color w:val="auto"/>
        </w:rPr>
      </w:pPr>
    </w:p>
    <w:p>
      <w:pPr>
        <w:ind w:right="40" w:firstLine="8"/>
        <w:spacing w:after="0" w:line="254" w:lineRule="auto"/>
        <w:tabs>
          <w:tab w:leader="none" w:pos="2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Partner as Partnership Representative</w:t>
      </w:r>
      <w:r>
        <w:rPr>
          <w:rFonts w:ascii="Times New Roman" w:cs="Times New Roman" w:eastAsia="Times New Roman" w:hAnsi="Times New Roman"/>
          <w:sz w:val="18"/>
          <w:szCs w:val="18"/>
          <w:color w:val="auto"/>
        </w:rPr>
        <w:t xml:space="preserve"> The General Partner is hereby designated as the “partnership representative” as that term is defined in Partnership Audit Provisions for taxable years of the Partnership beginning with the taxable year including the Effective Date. In addition, the General Partner is hereby authorized to designate or remove any other Person as the Partnership Representative. For each Fiscal Year in which the Partnership Representative is an entity, the Partnership Representative shall appoint an individual identified by the Partnership Representative for such Fiscal Year to act on its behalf (the “</w:t>
      </w:r>
      <w:r>
        <w:rPr>
          <w:rFonts w:ascii="Times New Roman" w:cs="Times New Roman" w:eastAsia="Times New Roman" w:hAnsi="Times New Roman"/>
          <w:sz w:val="18"/>
          <w:szCs w:val="18"/>
          <w:b w:val="1"/>
          <w:bCs w:val="1"/>
          <w:color w:val="auto"/>
        </w:rPr>
        <w:t>Designated Individual</w:t>
      </w:r>
      <w:r>
        <w:rPr>
          <w:rFonts w:ascii="Times New Roman" w:cs="Times New Roman" w:eastAsia="Times New Roman" w:hAnsi="Times New Roman"/>
          <w:sz w:val="18"/>
          <w:szCs w:val="18"/>
          <w:color w:val="auto"/>
        </w:rPr>
        <w:t>”) in accordance with the applicable regulations or analogous provisions of state or local Law. Each Partner hereby expressly consents to such designations and agrees to take, and that the General Partner is authorized to take (or cause the Partnership to take), such other actions as may be necessary or advisable pursuant to Treasury Regulations or other IRS or Treasury guidance or state or local Law to cause such designations or evidence such Partner’s consent to such designations.</w:t>
      </w:r>
    </w:p>
    <w:p>
      <w:pPr>
        <w:spacing w:after="0" w:line="83" w:lineRule="exact"/>
        <w:rPr>
          <w:rFonts w:ascii="Times New Roman" w:cs="Times New Roman" w:eastAsia="Times New Roman" w:hAnsi="Times New Roman"/>
          <w:sz w:val="18"/>
          <w:szCs w:val="18"/>
          <w:color w:val="auto"/>
        </w:rPr>
      </w:pPr>
    </w:p>
    <w:p>
      <w:pPr>
        <w:jc w:val="both"/>
        <w:ind w:right="180" w:firstLine="8"/>
        <w:spacing w:after="0" w:line="261"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Partnership Representative</w:t>
      </w:r>
      <w:r>
        <w:rPr>
          <w:rFonts w:ascii="Times New Roman" w:cs="Times New Roman" w:eastAsia="Times New Roman" w:hAnsi="Times New Roman"/>
          <w:sz w:val="18"/>
          <w:szCs w:val="18"/>
          <w:color w:val="auto"/>
        </w:rPr>
        <w:t xml:space="preserve"> Subject to this Section 7.7, the Partnership Representative shall have the sole authority to act on behalf of the Partnership in connection with, make all relevant decisions regarding application of, and to exercise the rights and powers provided for in the Partnership Audit Provisions, including making any elections under the Partnership Audit Provisions or any decisions to settle, compromise, challenge, litigate or otherwise alter the defense of any action, audit or examination before the IRS or any other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81" w:name="page182"/>
    <w:bookmarkEnd w:id="181"/>
    <w:p>
      <w:pPr>
        <w:spacing w:after="0" w:line="82" w:lineRule="exact"/>
        <w:rPr>
          <w:sz w:val="20"/>
          <w:szCs w:val="20"/>
          <w:color w:val="auto"/>
        </w:rPr>
      </w:pPr>
    </w:p>
    <w:p>
      <w:pPr>
        <w:jc w:val="center"/>
        <w:ind w:right="300"/>
        <w:spacing w:after="0" w:line="286" w:lineRule="auto"/>
        <w:rPr>
          <w:sz w:val="20"/>
          <w:szCs w:val="20"/>
          <w:color w:val="auto"/>
        </w:rPr>
      </w:pPr>
      <w:r>
        <w:rPr>
          <w:rFonts w:ascii="Times New Roman" w:cs="Times New Roman" w:eastAsia="Times New Roman" w:hAnsi="Times New Roman"/>
          <w:sz w:val="18"/>
          <w:szCs w:val="18"/>
          <w:color w:val="auto"/>
        </w:rPr>
        <w:t>authority (each, an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and to expend Partnership funds for professional services and other expenses reasonably incurred in connection therewith.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0"/>
          <w:szCs w:val="20"/>
          <w:color w:val="auto"/>
        </w:rPr>
      </w:pPr>
    </w:p>
    <w:p>
      <w:pPr>
        <w:ind w:firstLine="8"/>
        <w:spacing w:after="0" w:line="252" w:lineRule="auto"/>
        <w:tabs>
          <w:tab w:leader="none" w:pos="2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Audits</w:t>
      </w:r>
      <w:r>
        <w:rPr>
          <w:rFonts w:ascii="Times New Roman" w:cs="Times New Roman" w:eastAsia="Times New Roman" w:hAnsi="Times New Roman"/>
          <w:sz w:val="18"/>
          <w:szCs w:val="18"/>
          <w:color w:val="auto"/>
        </w:rPr>
        <w:t xml:space="preserve"> Without limiting the foregoing, the Partnership Representative shall give prompt written notice to the Continuing Partner Representative of the commencement of any Audit of the Partnership or any of its Subsidiaries the resolution of which would reasonably be expected to have a disproportionate (compared to PubCo) and material adverse effect on the Continuing Partners (a “</w:t>
      </w:r>
      <w:r>
        <w:rPr>
          <w:rFonts w:ascii="Times New Roman" w:cs="Times New Roman" w:eastAsia="Times New Roman" w:hAnsi="Times New Roman"/>
          <w:sz w:val="18"/>
          <w:szCs w:val="18"/>
          <w:b w:val="1"/>
          <w:bCs w:val="1"/>
          <w:color w:val="auto"/>
        </w:rPr>
        <w:t>Specified Audit</w:t>
      </w:r>
      <w:r>
        <w:rPr>
          <w:rFonts w:ascii="Times New Roman" w:cs="Times New Roman" w:eastAsia="Times New Roman" w:hAnsi="Times New Roman"/>
          <w:sz w:val="18"/>
          <w:szCs w:val="18"/>
          <w:color w:val="auto"/>
        </w:rPr>
        <w:t>”). The Partnership Representative shall (i) keep the Continuing Partner Representative reasonably informed of the material developments and status of any such Specified Audit, (ii) permit the Continuing Partner Representative (or its designee) to participate (including using separate counsel), in each case at the Continuing Partner’ sole cost and expense, in any such Specified Audit, and (iii) promptly notify the Continuing Partner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Partnership shall promptly provide the Continuing Partner Representative with copies of all material correspondence between the Partnership Representative or the Partnership (as applicable) and any governmental entity in connection with such Specified Audit and shall give the Continuing Partner Representative a reasonable opportunity to review and comment on any material correspondence, submission (including settlement or compromise offers) or filing in connection with any such Specified Audit. Additionally, the Partnership Representative shall not (and the Partnership shall not (and shall not authorize the Partnership Representative to)) settle, compromise or abandon any Specified Audit in a manner that would reasonably be expected to have a disproportionate (compared to PubCo) and material adverse effect on the Continuing Partners without the Requisite Continuing Partners’ prior written consent (which consent shall not be unreasonably withheld, delayed or conditioned). The Partnership Representative shall obtain the prior written consent of the Requisite Continuing Partners (which consent shall not be unreasonably withheld, delayed or conditioned) before (i) making an election under Section 6226(a) of the Code (or any analogous provision of state, local or non-U.S. Law) or (ii) taking any material action under the Partnership Audit Provisions that would reasonably be expected to have a disproportionate (compared to PubCo) and material adverse effect on the Continuing Partners, in the case of clauses (i) and (ii); provided that, no consent from the Requisite Continuing Partners is required in order to make an election under Section 6226(a) of the Code with respect to taxable periods that began on or before the Effective Time.</w:t>
      </w:r>
    </w:p>
    <w:p>
      <w:pPr>
        <w:spacing w:after="0" w:line="81" w:lineRule="exact"/>
        <w:rPr>
          <w:rFonts w:ascii="Times New Roman" w:cs="Times New Roman" w:eastAsia="Times New Roman" w:hAnsi="Times New Roman"/>
          <w:sz w:val="18"/>
          <w:szCs w:val="18"/>
          <w:color w:val="auto"/>
        </w:rPr>
      </w:pPr>
    </w:p>
    <w:p>
      <w:pPr>
        <w:ind w:right="140" w:firstLine="8"/>
        <w:spacing w:after="0" w:line="252"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Partnership Representative</w:t>
      </w:r>
      <w:r>
        <w:rPr>
          <w:rFonts w:ascii="Times New Roman" w:cs="Times New Roman" w:eastAsia="Times New Roman" w:hAnsi="Times New Roman"/>
          <w:sz w:val="18"/>
          <w:szCs w:val="18"/>
          <w:color w:val="auto"/>
        </w:rPr>
        <w:t xml:space="preserve"> 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clauses (i) and (ii) of the final sentence of this Section 7.7(d)),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Section 7.7 absent (i) willful breach of any provision of this Section 7.7 or (ii) bad faith, fraud, gross negligence or wilful misconduct on the part of the Partnership Representative or Designated Individual, as applicable.</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40" w:firstLine="8"/>
        <w:spacing w:after="0" w:line="255" w:lineRule="auto"/>
        <w:tabs>
          <w:tab w:leader="none" w:pos="2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Adherence to Business Combination Agreement</w:t>
      </w:r>
      <w:r>
        <w:rPr>
          <w:rFonts w:ascii="Times New Roman" w:cs="Times New Roman" w:eastAsia="Times New Roman" w:hAnsi="Times New Roman"/>
          <w:sz w:val="18"/>
          <w:szCs w:val="18"/>
          <w:color w:val="auto"/>
        </w:rPr>
        <w:t xml:space="preserve"> The Partnership, the Partnership Representative, and the Partners expressly agree to be bound by the terms of Section 7.6 of the Business Combination Agreement. Notwithstanding anything to the contrary contained in this Agreement, in the event of any conflict between Section 7.6 of the Business Combination Agreement and this Agreement, Section 7.6 of the Business Combination Agreement shall control.</w:t>
      </w:r>
    </w:p>
    <w:p>
      <w:pPr>
        <w:spacing w:after="0" w:line="2" w:lineRule="exact"/>
        <w:rPr>
          <w:rFonts w:ascii="Times New Roman" w:cs="Times New Roman" w:eastAsia="Times New Roman" w:hAnsi="Times New Roman"/>
          <w:sz w:val="18"/>
          <w:szCs w:val="18"/>
          <w:color w:val="auto"/>
        </w:rPr>
      </w:pPr>
    </w:p>
    <w:p>
      <w:pPr>
        <w:ind w:left="820" w:right="20" w:hanging="79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8"/>
          <w:szCs w:val="18"/>
          <w:b w:val="1"/>
          <w:bCs w:val="1"/>
          <w:color w:val="auto"/>
        </w:rPr>
        <w:t xml:space="preserve">Other Allocation Provisions </w:t>
      </w:r>
      <w:r>
        <w:rPr>
          <w:rFonts w:ascii="Times New Roman" w:cs="Times New Roman" w:eastAsia="Times New Roman" w:hAnsi="Times New Roman"/>
          <w:sz w:val="18"/>
          <w:szCs w:val="18"/>
          <w:color w:val="auto"/>
        </w:rPr>
        <w:t>Certain of the foregoing provisions and the other provisions of this Agreement relating to the maintenance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Accounts are intended to comply with Treasury Regulations Section 1.704-1(b) and shall be interpreted and applied in a manner consistent with such regulations. In addition to amendments effected in accordance with Section 14.12 or otherwise in accordance with this Agreement, Sections 7.2, 7.3 and 7.4 may also, so long as any such amendment does not materially change the relative economic interests of the Partners, be amended at any time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General Partner if necessary, in the opinion of tax counsel to the Partnership, to comply with such regulations or any applicable Law.</w:t>
      </w:r>
    </w:p>
    <w:p>
      <w:pPr>
        <w:spacing w:after="0" w:line="275" w:lineRule="exact"/>
        <w:rPr>
          <w:sz w:val="20"/>
          <w:szCs w:val="20"/>
          <w:color w:val="auto"/>
        </w:rPr>
      </w:pPr>
    </w:p>
    <w:p>
      <w:pPr>
        <w:jc w:val="both"/>
        <w:ind w:left="800" w:right="200" w:hanging="796"/>
        <w:spacing w:after="0" w:line="268" w:lineRule="auto"/>
        <w:tabs>
          <w:tab w:leader="none" w:pos="78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Sections 7.6 and 7.7 shall be interpreted to apply to Partners and former Partners and shall survive the Transfer of a Partner’s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termination, dissolution, liquidation and winding up of the Partnership and, for this purpose to the extent not prohibited by applicable Law, the Partnership shall be treated as continuing in existence.</w:t>
      </w:r>
    </w:p>
    <w:p>
      <w:pPr>
        <w:spacing w:after="0" w:line="225" w:lineRule="exact"/>
        <w:rPr>
          <w:sz w:val="20"/>
          <w:szCs w:val="20"/>
          <w:color w:val="auto"/>
        </w:rPr>
      </w:pPr>
    </w:p>
    <w:p>
      <w:pPr>
        <w:ind w:left="800" w:hanging="796"/>
        <w:spacing w:after="0" w:line="286" w:lineRule="auto"/>
        <w:tabs>
          <w:tab w:leader="none" w:pos="78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b w:val="1"/>
          <w:bCs w:val="1"/>
          <w:color w:val="auto"/>
        </w:rPr>
        <w:t xml:space="preserve">Mexican Income Tax Law </w:t>
      </w:r>
      <w:r>
        <w:rPr>
          <w:rFonts w:ascii="Times New Roman" w:cs="Times New Roman" w:eastAsia="Times New Roman" w:hAnsi="Times New Roman"/>
          <w:sz w:val="18"/>
          <w:szCs w:val="18"/>
          <w:color w:val="auto"/>
        </w:rPr>
        <w:t>With respect to Sections 7.4.1 to 7.4.6 (inclusive), 7.4.9, 7.4.11 and 7.5, for Mexican tax purposes, Mexican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law shall apply to any Partner that is resident in Mexico for tax purposes.</w:t>
      </w:r>
    </w:p>
    <w:p>
      <w:pPr>
        <w:spacing w:after="0" w:line="209" w:lineRule="exact"/>
        <w:rPr>
          <w:sz w:val="20"/>
          <w:szCs w:val="20"/>
          <w:color w:val="auto"/>
        </w:rPr>
      </w:pPr>
    </w:p>
    <w:p>
      <w:pPr>
        <w:ind w:left="800" w:right="300" w:hanging="796"/>
        <w:spacing w:after="0" w:line="259" w:lineRule="auto"/>
        <w:tabs>
          <w:tab w:leader="none" w:pos="78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b w:val="1"/>
          <w:bCs w:val="1"/>
          <w:color w:val="auto"/>
        </w:rPr>
        <w:t xml:space="preserve">Business Combination Agreement Holder Representative Matters </w:t>
      </w:r>
      <w:r>
        <w:rPr>
          <w:rFonts w:ascii="Times New Roman" w:cs="Times New Roman" w:eastAsia="Times New Roman" w:hAnsi="Times New Roman"/>
          <w:sz w:val="18"/>
          <w:szCs w:val="18"/>
          <w:color w:val="auto"/>
        </w:rPr>
        <w:t>Section 7.6(f) of the Business Combination Agreement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into this Agreement and, without limiting the generality of the foregoing, each Existing Company Unitholder and Closing Company Unitholder hereby acknowledges and agrees that amounts otherwise payable to such Existing Company Unitholder or Closing Company Unitholder hereunder may instead be remitted to the Holder Representative (as defined in the Business Combination Agreement) in the circumstances, and at the times and in the amounts, set forth in such section of the Business Combination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OF ACCOUNT, ACCOUNTING REPORTS, TAX RETURNS, FISCAL YEAR, BANKING</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Books, Records and Reports; Information Rights.</w:t>
      </w:r>
    </w:p>
    <w:p>
      <w:pPr>
        <w:spacing w:after="0" w:line="272" w:lineRule="exact"/>
        <w:rPr>
          <w:sz w:val="20"/>
          <w:szCs w:val="20"/>
          <w:color w:val="auto"/>
        </w:rPr>
      </w:pPr>
    </w:p>
    <w:p>
      <w:pPr>
        <w:ind w:left="800" w:right="60" w:hanging="796"/>
        <w:spacing w:after="0" w:line="253" w:lineRule="auto"/>
        <w:tabs>
          <w:tab w:leader="none" w:pos="78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i w:val="1"/>
          <w:iCs w:val="1"/>
          <w:color w:val="auto"/>
        </w:rPr>
        <w:t xml:space="preserve">Maintenance of books and records </w:t>
      </w:r>
      <w:r>
        <w:rPr>
          <w:rFonts w:ascii="Times New Roman" w:cs="Times New Roman" w:eastAsia="Times New Roman" w:hAnsi="Times New Roman"/>
          <w:sz w:val="18"/>
          <w:szCs w:val="18"/>
          <w:color w:val="auto"/>
        </w:rPr>
        <w:t>At all times during the continuance of the Partnership, the Partnership shall prepare and maintain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books of account for the Partnership in accordance with GAAP. The Partnership shall keep correct and complete books and records of its accounts and transactions and minutes of the proceedings of its Partners. The books and records of the Partnership may be in written form or in any other form which can be converted within a reasonable time into written form for visual inspection. Minutes shall be recorded in written form, but may be maintained in the form of a reproduction. The books and records of the Partnership maintained by the General Partner and shall be available for examination by any Partner, or its duly-authorized representatives, during regular business hours, upon ten (10) Business Days’ written notice to the General Partner, for any purpose reasonably related to the Partner’s ownership interest in the Partnership.</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00" w:right="20" w:hanging="79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i w:val="1"/>
          <w:iCs w:val="1"/>
          <w:color w:val="auto"/>
        </w:rPr>
        <w:t xml:space="preserve">Limited Partner Right to Agreement </w:t>
      </w:r>
      <w:r>
        <w:rPr>
          <w:rFonts w:ascii="Times New Roman" w:cs="Times New Roman" w:eastAsia="Times New Roman" w:hAnsi="Times New Roman"/>
          <w:sz w:val="18"/>
          <w:szCs w:val="18"/>
          <w:color w:val="auto"/>
        </w:rPr>
        <w:t>Each Limited Partner shall have the right to receive, for a purpose reasonably related to such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interest as a Partner in the Partnership, upon reasonable written demand stating the purpose of such demand and at such Partner’s own expense, a copy of the Certificate and this Agreement and all amendments thereto, together with a copy of the executed copies of all powers of attorney pursuant to which the Certificate and this Agreement and all amendments thereto have been executed.</w:t>
      </w:r>
    </w:p>
    <w:p>
      <w:pPr>
        <w:spacing w:after="0" w:line="232" w:lineRule="exact"/>
        <w:rPr>
          <w:sz w:val="20"/>
          <w:szCs w:val="20"/>
          <w:color w:val="auto"/>
        </w:rPr>
      </w:pPr>
    </w:p>
    <w:p>
      <w:pPr>
        <w:ind w:left="800" w:right="60" w:hanging="796"/>
        <w:spacing w:after="0" w:line="254" w:lineRule="auto"/>
        <w:tabs>
          <w:tab w:leader="none" w:pos="7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Tax returns and tax information </w:t>
      </w:r>
      <w:r>
        <w:rPr>
          <w:rFonts w:ascii="Times New Roman" w:cs="Times New Roman" w:eastAsia="Times New Roman" w:hAnsi="Times New Roman"/>
          <w:sz w:val="18"/>
          <w:szCs w:val="18"/>
          <w:color w:val="auto"/>
        </w:rPr>
        <w:t>The General Partner shall cause to be prepared and filed all necessary U.S. federal, state, local and non-U.S.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returns for the Partnership, including making any tax elections. At the Partnership’s expense, the General Partner, within 120 days of the close of the Fiscal Year, shall use commercially reasonable efforts to furnish to each Partner that was a Partner during such Fiscal Year a Schedule K-1 and such other tax information reasonably required for U.S. federal, state and local income tax reporting purposes. The Partnership shall use commercially reasonable efforts to provide to each Person that was a Partner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March 1st of such Fiscal Year, with an estimate of the taxable income, gains, deductions, losses and other items of such Person to be reflected on the Schedule K-1 of such Person for the prior Fiscal Year (it being understood such estimated information is subject to change based on the final Schedule K-1 made available by the Partnership). The Partnership also shall provide the Partner with such other information as may be reasonably requested for purposes of allowing the Partners to prepare and file their own tax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880110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31" w:right="399" w:bottom="1440" w:gutter="0" w:footer="0" w:header="0"/>
        </w:sectPr>
      </w:pPr>
    </w:p>
    <w:bookmarkStart w:id="183" w:name="page184"/>
    <w:bookmarkEnd w:id="183"/>
    <w:p>
      <w:pPr>
        <w:ind w:left="8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costs or expenses with respect to the foregoing shall be borne by the requesting Partner.</w:t>
      </w:r>
    </w:p>
    <w:p>
      <w:pPr>
        <w:spacing w:after="0" w:line="277" w:lineRule="exact"/>
        <w:rPr>
          <w:sz w:val="20"/>
          <w:szCs w:val="20"/>
          <w:color w:val="auto"/>
        </w:rPr>
      </w:pPr>
    </w:p>
    <w:p>
      <w:pPr>
        <w:ind w:left="820" w:hanging="796"/>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Tax Elections</w:t>
      </w:r>
      <w:r>
        <w:rPr>
          <w:rFonts w:ascii="Times New Roman" w:cs="Times New Roman" w:eastAsia="Times New Roman" w:hAnsi="Times New Roman"/>
          <w:sz w:val="18"/>
          <w:szCs w:val="18"/>
          <w:color w:val="auto"/>
        </w:rPr>
        <w:t>. The General Partner shall make the following elections on the appropriate tax returns and shall not rescind them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Requisite Continuing Partners (provided that, the election described in clause (ii) below cannot be rescinded without the prior written consent of all the Partners):</w:t>
      </w:r>
    </w:p>
    <w:p>
      <w:pPr>
        <w:spacing w:after="0" w:line="229" w:lineRule="exact"/>
        <w:rPr>
          <w:sz w:val="20"/>
          <w:szCs w:val="20"/>
          <w:color w:val="auto"/>
        </w:rPr>
      </w:pPr>
    </w:p>
    <w:p>
      <w:pPr>
        <w:ind w:left="1500" w:right="600" w:hanging="682"/>
        <w:spacing w:after="0" w:line="282"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 appropriate U.S. federal income tax method of accounting and to keep the Partnership’s books and records on such income-tax method;</w:t>
      </w:r>
    </w:p>
    <w:p>
      <w:pPr>
        <w:spacing w:after="0" w:line="215" w:lineRule="exact"/>
        <w:rPr>
          <w:rFonts w:ascii="Times New Roman" w:cs="Times New Roman" w:eastAsia="Times New Roman" w:hAnsi="Times New Roman"/>
          <w:sz w:val="18"/>
          <w:szCs w:val="18"/>
          <w:color w:val="auto"/>
        </w:rPr>
      </w:pPr>
    </w:p>
    <w:p>
      <w:pPr>
        <w:ind w:left="1500" w:hanging="682"/>
        <w:spacing w:after="0" w:line="258"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in effect (and to cause each direct or indirect Subsidiary that is treated as a partnership for U.S. federal income tax purposes and over 50% owned and controlled by the Partnership to have in effect, to the extent eligible to do so) an election, pursuant to Section 754 of the Code (and any similar election for state or local tax purposes), to adjust the tax basis of Partnership properties, for the taxable year of the Partnership that includes the Effective Date and each subsequent taxable year in which an Exchange Transaction occurs; and</w:t>
      </w:r>
    </w:p>
    <w:p>
      <w:pPr>
        <w:spacing w:after="0" w:line="237" w:lineRule="exact"/>
        <w:rPr>
          <w:rFonts w:ascii="Times New Roman" w:cs="Times New Roman" w:eastAsia="Times New Roman" w:hAnsi="Times New Roman"/>
          <w:sz w:val="18"/>
          <w:szCs w:val="18"/>
          <w:color w:val="auto"/>
        </w:rPr>
      </w:pPr>
    </w:p>
    <w:p>
      <w:pPr>
        <w:ind w:left="1500" w:right="120" w:hanging="682"/>
        <w:spacing w:after="0" w:line="269" w:lineRule="auto"/>
        <w:tabs>
          <w:tab w:leader="none" w:pos="15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available election that the General Partner deems appropriate; provided that, for so long as the Continuing Partners collectively own at least 10% of the Units, the General Partner shall consult in good faith with the Continuing Partner Representative with respect to any material tax election with respect to the Partnership that could reasonably be expected to have a disproportionate (as compared to PubCo) and material adverse effect on the Continuing Partners, and not make such election without the Requisite Continuing Partners’ prior written consent (which consent shall not be unreasonably withheld, delayed or conditioned).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Partner may make an election for the Partnership to be excluded from the application of the provisions of subchapter K of chapter 1 of subtitle A of the Code or any similar provisions of applicable state Law, and no provision of this Agreement shall be construed to sanction or approve such an election.</w:t>
      </w: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72" w:lineRule="exact"/>
        <w:rPr>
          <w:sz w:val="20"/>
          <w:szCs w:val="20"/>
          <w:color w:val="auto"/>
        </w:rPr>
      </w:pPr>
    </w:p>
    <w:p>
      <w:pPr>
        <w:ind w:left="820" w:hanging="796"/>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8.4.1</w:t>
      </w:r>
      <w:r>
        <w:rPr>
          <w:sz w:val="20"/>
          <w:szCs w:val="20"/>
          <w:color w:val="auto"/>
        </w:rPr>
        <w:tab/>
      </w:r>
      <w:r>
        <w:rPr>
          <w:rFonts w:ascii="Times New Roman" w:cs="Times New Roman" w:eastAsia="Times New Roman" w:hAnsi="Times New Roman"/>
          <w:sz w:val="18"/>
          <w:szCs w:val="18"/>
          <w:i w:val="1"/>
          <w:iCs w:val="1"/>
          <w:color w:val="auto"/>
        </w:rPr>
        <w:t xml:space="preserve">Confidential Information </w:t>
      </w:r>
      <w:r>
        <w:rPr>
          <w:rFonts w:ascii="Times New Roman" w:cs="Times New Roman" w:eastAsia="Times New Roman" w:hAnsi="Times New Roman"/>
          <w:sz w:val="18"/>
          <w:szCs w:val="18"/>
          <w:color w:val="auto"/>
        </w:rPr>
        <w:t>Each of the Partners (other than PubCo) agrees to hold the Partner’s Confidential Information in confidence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disclose or use such information except as otherwise authorized separately in writing by the General Partner.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as used herein includes all non-public information concerning the Partnership or its Subsidiaries including, but not limited to, ideas, financial product structuring, business strategies, innovations and materials, all aspects of the Partnership’s business plan, proposed operation and products, corporate structure, financial and organizational information, analyses, proposed partners, software code and system and product designs, employees and their identities, equity ownership, the methods and means by which the Partnership plans to conduct its business, all trade secrets, trademarks, tradenames and all intellectual property associated with the Partnership’s business. With respect to each Partner, Confidential Information does not include information or material that: (i) before or after it has been disclosed to such Partner by the Partnership, becomes part of public knowledge, not as a result of any action or inaction of such Partner in violation of this Agreement; (ii) is approved for release by written authorization of the Chief Executive Officer, Chief Financial Officer or General Counsel of the Partnership or of PubCo, or any other officer designated by the General Partner and PubCo; (iii) is disclosed to such Partner or their representatives by a third party not, to the knowledge of such Partner, in violation of any obligation of confidentiality owed to the Partnership, PubCo or any of their respective Subsidiaries with respect to such information; or (iv) is or becomes independently developed by such Partner or their respective representatives without use of or reference to the Confidential Information.</w:t>
      </w:r>
    </w:p>
    <w:p>
      <w:pPr>
        <w:spacing w:after="0" w:line="239" w:lineRule="exact"/>
        <w:rPr>
          <w:sz w:val="20"/>
          <w:szCs w:val="20"/>
          <w:color w:val="auto"/>
        </w:rPr>
      </w:pPr>
    </w:p>
    <w:p>
      <w:pPr>
        <w:ind w:left="820" w:right="160" w:hanging="796"/>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8.4.2</w:t>
      </w:r>
      <w:r>
        <w:rPr>
          <w:sz w:val="20"/>
          <w:szCs w:val="20"/>
          <w:color w:val="auto"/>
        </w:rPr>
        <w:tab/>
      </w:r>
      <w:r>
        <w:rPr>
          <w:rFonts w:ascii="Times New Roman" w:cs="Times New Roman" w:eastAsia="Times New Roman" w:hAnsi="Times New Roman"/>
          <w:sz w:val="18"/>
          <w:szCs w:val="18"/>
          <w:i w:val="1"/>
          <w:iCs w:val="1"/>
          <w:color w:val="auto"/>
        </w:rPr>
        <w:t xml:space="preserve">Limited Right to Disclose Confidential Information </w:t>
      </w:r>
      <w:r>
        <w:rPr>
          <w:rFonts w:ascii="Times New Roman" w:cs="Times New Roman" w:eastAsia="Times New Roman" w:hAnsi="Times New Roman"/>
          <w:sz w:val="18"/>
          <w:szCs w:val="18"/>
          <w:color w:val="auto"/>
        </w:rPr>
        <w:t>Solely to the extent it is reasonably necessary or appropriate to fulfil its obligations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 its rights under this Agreement, each of the Partners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Partner is required to keep the Confidential Information confidential;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Partner shall remain liable with respect to any breach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any such Subsidiaries, Affiliates,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9" w:right="379" w:bottom="1440" w:gutter="0" w:footer="0" w:header="0"/>
        </w:sectPr>
      </w:pPr>
    </w:p>
    <w:bookmarkStart w:id="184" w:name="page185"/>
    <w:bookmarkEnd w:id="184"/>
    <w:p>
      <w:pPr>
        <w:ind w:left="820" w:right="700"/>
        <w:spacing w:after="0" w:line="282" w:lineRule="auto"/>
        <w:rPr>
          <w:sz w:val="20"/>
          <w:szCs w:val="20"/>
          <w:color w:val="auto"/>
        </w:rPr>
      </w:pPr>
      <w:r>
        <w:rPr>
          <w:rFonts w:ascii="Times New Roman" w:cs="Times New Roman" w:eastAsia="Times New Roman" w:hAnsi="Times New Roman"/>
          <w:sz w:val="18"/>
          <w:szCs w:val="18"/>
          <w:color w:val="auto"/>
        </w:rPr>
        <w:t xml:space="preserve">directors, officers, employees, counsel, advisers, consultants, outside contractors and other agents (as if such Persons were party to this Agreement for purposes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8.4.3</w:t>
      </w:r>
      <w:r>
        <w:rPr>
          <w:sz w:val="20"/>
          <w:szCs w:val="20"/>
          <w:color w:val="auto"/>
        </w:rPr>
        <w:tab/>
      </w:r>
      <w:r>
        <w:rPr>
          <w:rFonts w:ascii="Times New Roman" w:cs="Times New Roman" w:eastAsia="Times New Roman" w:hAnsi="Times New Roman"/>
          <w:sz w:val="17"/>
          <w:szCs w:val="17"/>
          <w:i w:val="1"/>
          <w:iCs w:val="1"/>
          <w:color w:val="auto"/>
        </w:rPr>
        <w:t xml:space="preserve">Further Right to Disclose Confidential Information </w:t>
      </w:r>
      <w:r>
        <w:rPr>
          <w:rFonts w:ascii="Times New Roman" w:cs="Times New Roman" w:eastAsia="Times New Roman" w:hAnsi="Times New Roman"/>
          <w:sz w:val="17"/>
          <w:szCs w:val="17"/>
          <w:color w:val="auto"/>
        </w:rPr>
        <w:t>Notwithstanding anything herein to the contrary, each of the Partners may disclose</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Confidential Information:</w:t>
      </w:r>
    </w:p>
    <w:p>
      <w:pPr>
        <w:spacing w:after="0" w:line="112" w:lineRule="exact"/>
        <w:rPr>
          <w:sz w:val="20"/>
          <w:szCs w:val="20"/>
          <w:color w:val="auto"/>
        </w:rPr>
      </w:pPr>
    </w:p>
    <w:p>
      <w:pPr>
        <w:ind w:right="20" w:firstLine="8"/>
        <w:spacing w:after="0" w:line="282"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Partner is required by Law (by oral questions, interrogatories, request for information or documents, subpoena, civil investigative demand or similar process) to disclose any of the Confidential Information,</w:t>
      </w:r>
    </w:p>
    <w:p>
      <w:pPr>
        <w:spacing w:after="0" w:line="53" w:lineRule="exact"/>
        <w:rPr>
          <w:rFonts w:ascii="Times New Roman" w:cs="Times New Roman" w:eastAsia="Times New Roman" w:hAnsi="Times New Roman"/>
          <w:sz w:val="18"/>
          <w:szCs w:val="18"/>
          <w:color w:val="auto"/>
        </w:rPr>
      </w:pPr>
    </w:p>
    <w:p>
      <w:pPr>
        <w:ind w:right="180" w:firstLine="8"/>
        <w:spacing w:after="0" w:line="257"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reporting to its stockholders and direct and indirect equity holders (each of whom are bound by customary confidentiality obligations) the performance of the Partnership and its Subsidiaries and for purposes of including applicable information in its financial statements to the extent required by applicable Law or applicable accounting standards; 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80" w:firstLine="8"/>
        <w:spacing w:after="0" w:line="255"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prospective purchaser of the equity or assets of a Partner, or the Common Units held by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such Partner determines in good faith that such prospective purchaser would be a Permitted Transferee), or a prospective merger partner of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Persons will be informed by such Partner of the confidential nature of such information and shall agree in writing to keep such information confidential in accordance with the contents of this Agreement and (ii) each Partner will be liable for any breaches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by any such Persons (as if such Persons were party to this Agreement for purposes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ind w:left="820" w:right="40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w:t>
      </w:r>
      <w:r>
        <w:rPr>
          <w:rFonts w:ascii="Times New Roman" w:cs="Times New Roman" w:eastAsia="Times New Roman" w:hAnsi="Times New Roman"/>
          <w:sz w:val="18"/>
          <w:szCs w:val="18"/>
          <w:i w:val="1"/>
          <w:iCs w:val="1"/>
          <w:color w:val="auto"/>
        </w:rPr>
        <w:t xml:space="preserve">PubCo’s Use of Confidential Information </w:t>
      </w:r>
      <w:r>
        <w:rPr>
          <w:rFonts w:ascii="Times New Roman" w:cs="Times New Roman" w:eastAsia="Times New Roman" w:hAnsi="Times New Roman"/>
          <w:sz w:val="18"/>
          <w:szCs w:val="18"/>
          <w:color w:val="auto"/>
        </w:rPr>
        <w:t>Notwithstanding any of the foregoing, nothing in this Section 8.4 will restrict in any manner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of PubCo to comply with its disclosure obligations under Law, and the extent to which any Confidential Information is necessary or desirable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-311150</wp:posOffset>
            </wp:positionV>
            <wp:extent cx="17145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Units</w:t>
      </w:r>
    </w:p>
    <w:p>
      <w:pPr>
        <w:spacing w:after="0" w:line="272" w:lineRule="exact"/>
        <w:rPr>
          <w:sz w:val="20"/>
          <w:szCs w:val="20"/>
          <w:color w:val="auto"/>
        </w:rPr>
      </w:pPr>
    </w:p>
    <w:p>
      <w:pPr>
        <w:jc w:val="both"/>
        <w:ind w:left="820" w:right="6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i w:val="1"/>
          <w:iCs w:val="1"/>
          <w:color w:val="auto"/>
        </w:rPr>
        <w:t xml:space="preserve">Units in the Partnership </w:t>
      </w:r>
      <w:r>
        <w:rPr>
          <w:rFonts w:ascii="Times New Roman" w:cs="Times New Roman" w:eastAsia="Times New Roman" w:hAnsi="Times New Roman"/>
          <w:sz w:val="18"/>
          <w:szCs w:val="18"/>
          <w:color w:val="auto"/>
        </w:rPr>
        <w:t>Interests in the Partnership shall be represented by Units. At the execution of this Agreement, the Units are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only Common Units, which includes the Restricted Common Units, comprised of Series 1 RCUs, Series 2 RCUs, Series 3 RCUs, and PMEL RCUs.</w:t>
      </w:r>
    </w:p>
    <w:p>
      <w:pPr>
        <w:spacing w:after="0" w:line="81" w:lineRule="exact"/>
        <w:rPr>
          <w:sz w:val="20"/>
          <w:szCs w:val="20"/>
          <w:color w:val="auto"/>
        </w:rPr>
      </w:pPr>
    </w:p>
    <w:p>
      <w:pPr>
        <w:ind w:firstLine="8"/>
        <w:spacing w:after="0" w:line="254" w:lineRule="auto"/>
        <w:tabs>
          <w:tab w:leader="none" w:pos="2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Common Units</w:t>
      </w:r>
      <w:r>
        <w:rPr>
          <w:rFonts w:ascii="Times New Roman" w:cs="Times New Roman" w:eastAsia="Times New Roman" w:hAnsi="Times New Roman"/>
          <w:sz w:val="18"/>
          <w:szCs w:val="18"/>
          <w:color w:val="auto"/>
        </w:rPr>
        <w:t xml:space="preserve"> In connection with the transactions contemplated by the Business Combination Agreement, (a) each Partner that is an Earnout Participant (as defined in the Business Combination Agreement) shall be issued Series 1 RCUs, Series 2 RCUs and Series 3 RCUs, and (b) certain PMEL Post-Combination Unitholders shall be issued the PMEL RCUs. All such Restricted Common Units shall be outstanding as of the Effective Time. Immediately following the Effective Time, no fractional Restricted Common Unit will remain outstanding and any fractional Restricted Common Unit held by a Partner shall be rounded down to the nearest whole number. For the avoidance of doubt, the terms contained in a PMEL Award Agreement, including with respect to vesting and forfeiture, shall be read for all relevant purposes hereunder as if they were grants of the corresponding number of PMEL RCUs into which the PMEL Interests were substituted by virtue of the Business Combination Agreement and the General Partner shall have the authority to reasonably interpret the provisions of any PMEL Award Agreements in accordance with the foregoing principle for all purposes of this Agreement.</w:t>
      </w:r>
    </w:p>
    <w:p>
      <w:pPr>
        <w:spacing w:after="0" w:line="83" w:lineRule="exact"/>
        <w:rPr>
          <w:rFonts w:ascii="Times New Roman" w:cs="Times New Roman" w:eastAsia="Times New Roman" w:hAnsi="Times New Roman"/>
          <w:sz w:val="18"/>
          <w:szCs w:val="18"/>
          <w:color w:val="auto"/>
        </w:rPr>
      </w:pPr>
    </w:p>
    <w:p>
      <w:pPr>
        <w:ind w:firstLine="8"/>
        <w:spacing w:after="0" w:line="257"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Restricted Common Units</w:t>
      </w:r>
      <w:r>
        <w:rPr>
          <w:rFonts w:ascii="Times New Roman" w:cs="Times New Roman" w:eastAsia="Times New Roman" w:hAnsi="Times New Roman"/>
          <w:sz w:val="18"/>
          <w:szCs w:val="18"/>
          <w:color w:val="auto"/>
        </w:rPr>
        <w:t xml:space="preserve"> Immediately after giving effect to the transactions contemplated by the Business Combination Agreement, each Partner holds the number of Common Units and the number of Series 1 RCUs, Series 2 RCUs, Series 3 RCUs, and PMEL RCUs set forth opposite such Partner’s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1" w:lineRule="exact"/>
        <w:rPr>
          <w:rFonts w:ascii="Times New Roman" w:cs="Times New Roman" w:eastAsia="Times New Roman" w:hAnsi="Times New Roman"/>
          <w:sz w:val="18"/>
          <w:szCs w:val="18"/>
          <w:color w:val="auto"/>
        </w:rPr>
      </w:pPr>
    </w:p>
    <w:p>
      <w:pPr>
        <w:ind w:left="820" w:hanging="79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w:t>
      </w:r>
      <w:r>
        <w:rPr>
          <w:rFonts w:ascii="Times New Roman" w:cs="Times New Roman" w:eastAsia="Times New Roman" w:hAnsi="Times New Roman"/>
          <w:sz w:val="18"/>
          <w:szCs w:val="18"/>
          <w:i w:val="1"/>
          <w:iCs w:val="1"/>
          <w:color w:val="auto"/>
        </w:rPr>
        <w:t xml:space="preserve">Further Issuances </w:t>
      </w:r>
      <w:r>
        <w:rPr>
          <w:rFonts w:ascii="Times New Roman" w:cs="Times New Roman" w:eastAsia="Times New Roman" w:hAnsi="Times New Roman"/>
          <w:sz w:val="18"/>
          <w:szCs w:val="18"/>
          <w:color w:val="auto"/>
        </w:rPr>
        <w:t>Subject to Section 9.5, the General Partner in its sole discretion may establish and issue, from time to time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procedures as the General Partner shall determine from time to time, additional Units, in one or more classes or series of Units, or other Partnership securities, at such price, and with such designations, preferences and relative, participating, optional or other special rights, powers and duties (which may be senior to existing Units, classes and series of Units or other Partnership securities), as shall be determined by the General Partner without the approval of any Partner, including:</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85" w:name="page186"/>
    <w:bookmarkEnd w:id="185"/>
    <w:p>
      <w:pPr>
        <w:spacing w:after="0" w:line="194"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such Units to share in Profits and Losses or items thereof;</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such Units to share in Partnership Distributions;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Units upon dissolution and winding up of the Partnership;</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terms and conditions upon which, the Partnership may or shall be required to redeem such Units (including sinking fund provisions);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Units are issued with the privilege of conversion or exchange and, if so, the terms and conditions of such conversion or exchange;</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such Units will be issued, evidenced by certificates and assigned or transferred;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for determining the Common Percentage Interest as to such Units;</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issuance of such Units (including the amount and form of consideration, if any, to be received by the Partnership in respect thereof, the General Partner being expressly authorized, in its sole discretion, to cause the Partnership to issue such Units for less than Fair Market Value); and</w:t>
      </w:r>
    </w:p>
    <w:p>
      <w:pPr>
        <w:spacing w:after="0" w:line="67" w:lineRule="exact"/>
        <w:rPr>
          <w:rFonts w:ascii="Times New Roman" w:cs="Times New Roman" w:eastAsia="Times New Roman" w:hAnsi="Times New Roman"/>
          <w:sz w:val="18"/>
          <w:szCs w:val="18"/>
          <w:color w:val="auto"/>
        </w:rPr>
      </w:pPr>
    </w:p>
    <w:p>
      <w:pPr>
        <w:ind w:right="320" w:firstLine="8"/>
        <w:spacing w:after="0" w:line="282" w:lineRule="auto"/>
        <w:tabs>
          <w:tab w:leader="none" w:pos="2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holder of such Units to vote on Partnership matters, including matters relating to the relative designations, preferences, rights, powers and duties of such Units;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provided that notwithstanding anything to the contrary in this Agreement, no Partnership securities ranking senior to the Common Units held by PubCo (including with respect to voting, liquidation and distribution rights) shall be authorized or issued without PubCo’s prior written consent.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Agreement (except as set forth in the immediately preceding proviso), the General Partner in its sole discretion, without the approval of any other Partner, is authorized to:</w:t>
      </w:r>
    </w:p>
    <w:p>
      <w:pPr>
        <w:spacing w:after="0" w:line="54" w:lineRule="exact"/>
        <w:rPr>
          <w:sz w:val="20"/>
          <w:szCs w:val="20"/>
          <w:color w:val="auto"/>
        </w:rPr>
      </w:pPr>
    </w:p>
    <w:p>
      <w:pPr>
        <w:ind w:right="160" w:firstLine="8"/>
        <w:spacing w:after="0" w:line="276" w:lineRule="auto"/>
        <w:tabs>
          <w:tab w:leader="none" w:pos="24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Units or other Partnership securities of any newly established class or any existing class to Partners or other Persons who may acquire an interest in the Partnership, including Equity Interests which constitute a “profits interest” to Persons within the meaning of IRS Revenue Procedures 93-27 and</w:t>
      </w:r>
    </w:p>
    <w:p>
      <w:pPr>
        <w:ind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2001-43 and IRS Notice 2005-43 and which will be issued with the intention that under current interpretations of the Code the recipient will not realize income upon the issuance of such Equity Interests, and that neither the Partnership nor any Partner is entitled to any deduction either immediately or through depreciation or amortization as a result of the issuance of such Equity Interest;</w:t>
      </w:r>
    </w:p>
    <w:p>
      <w:pPr>
        <w:spacing w:after="0" w:line="77" w:lineRule="exact"/>
        <w:rPr>
          <w:rFonts w:ascii="Times New Roman" w:cs="Times New Roman" w:eastAsia="Times New Roman" w:hAnsi="Times New Roman"/>
          <w:sz w:val="17"/>
          <w:szCs w:val="17"/>
          <w:color w:val="auto"/>
        </w:rPr>
      </w:pPr>
    </w:p>
    <w:p>
      <w:pPr>
        <w:ind w:firstLine="8"/>
        <w:spacing w:after="0" w:line="261"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Agreement to reflect the creation of any such new class, the issuance of Units or other Partnership securities of such class, and the admission of any Person as a Partner which has received Units or other Partnership securities; and</w:t>
      </w: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60" w:hanging="252"/>
        <w:spacing w:after="0"/>
        <w:tabs>
          <w:tab w:leader="none" w:pos="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the combination, subdivision and/or reclassification of outstanding Units as may be necessary or appropriate to give economic effect to equity</w:t>
      </w:r>
    </w:p>
    <w:p>
      <w:pPr>
        <w:spacing w:after="0" w:line="27" w:lineRule="exact"/>
        <w:rPr>
          <w:rFonts w:ascii="Times New Roman" w:cs="Times New Roman" w:eastAsia="Times New Roman" w:hAnsi="Times New Roman"/>
          <w:sz w:val="18"/>
          <w:szCs w:val="18"/>
          <w:color w:val="auto"/>
        </w:rPr>
      </w:pPr>
    </w:p>
    <w:p>
      <w:pPr>
        <w:ind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Partnership by PubCo that are not accompanied by the issuance by the Partnership to PubCo of additional Units and to update the books and records of the Partnership accordingly.</w:t>
      </w:r>
    </w:p>
    <w:p>
      <w:pPr>
        <w:ind w:left="820" w:right="22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9.1.3</w:t>
      </w:r>
      <w:r>
        <w:rPr>
          <w:rFonts w:ascii="Times New Roman" w:cs="Times New Roman" w:eastAsia="Times New Roman" w:hAnsi="Times New Roman"/>
          <w:sz w:val="18"/>
          <w:szCs w:val="18"/>
          <w:i w:val="1"/>
          <w:iCs w:val="1"/>
          <w:color w:val="auto"/>
        </w:rPr>
        <w:t xml:space="preserve">References to Units </w:t>
      </w:r>
      <w:r>
        <w:rPr>
          <w:rFonts w:ascii="Times New Roman" w:cs="Times New Roman" w:eastAsia="Times New Roman" w:hAnsi="Times New Roman"/>
          <w:sz w:val="18"/>
          <w:szCs w:val="18"/>
          <w:color w:val="auto"/>
        </w:rPr>
        <w:t>Except as expressly provided in this Agreement to the contrary, any reference to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shall include the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231" w:lineRule="exact"/>
        <w:rPr>
          <w:sz w:val="20"/>
          <w:szCs w:val="20"/>
          <w:color w:val="auto"/>
        </w:rPr>
      </w:pPr>
    </w:p>
    <w:p>
      <w:pPr>
        <w:ind w:left="820" w:right="520" w:hanging="796"/>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i w:val="1"/>
          <w:iCs w:val="1"/>
          <w:color w:val="auto"/>
        </w:rPr>
        <w:t xml:space="preserve">Limitation on Issuances </w:t>
      </w:r>
      <w:r>
        <w:rPr>
          <w:rFonts w:ascii="Times New Roman" w:cs="Times New Roman" w:eastAsia="Times New Roman" w:hAnsi="Times New Roman"/>
          <w:sz w:val="18"/>
          <w:szCs w:val="18"/>
          <w:color w:val="auto"/>
        </w:rPr>
        <w:t>Notwithstanding anything to the contrary in this Agreement, the General Partner shall not cause or permit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to issue, or authorize the issuance of, any Units unless PubCo has a sufficient number of Class A Common Shares authorized, available and reserved for issuance upon an exchange of such newly issued Units for Class A Common Shares pursuant to an Exchange Transaction.</w:t>
      </w:r>
    </w:p>
    <w:p>
      <w:pPr>
        <w:spacing w:after="0" w:line="234" w:lineRule="exact"/>
        <w:rPr>
          <w:sz w:val="20"/>
          <w:szCs w:val="20"/>
          <w:color w:val="auto"/>
        </w:rPr>
      </w:pPr>
    </w:p>
    <w:p>
      <w:pPr>
        <w:ind w:left="820" w:right="120" w:hanging="796"/>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i w:val="1"/>
          <w:iCs w:val="1"/>
          <w:color w:val="auto"/>
        </w:rPr>
        <w:t xml:space="preserve">Restriction on Number of “Partners” for Treasury Regulations Purposes </w:t>
      </w:r>
      <w:r>
        <w:rPr>
          <w:rFonts w:ascii="Times New Roman" w:cs="Times New Roman" w:eastAsia="Times New Roman" w:hAnsi="Times New Roman"/>
          <w:sz w:val="18"/>
          <w:szCs w:val="18"/>
          <w:color w:val="auto"/>
        </w:rPr>
        <w:t>In addition to the restriction set out in Section 2.12,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anything to the contrary in this Agreement, the Partnership shall not, and the General Partner shall not cause the Partnership to, issue any Units if such issuance would result in the Partnership having more than seventy-five (75) “partners”, within the meaning of Treasury Regulations Section 1.7704-1(h) (but looking through all entities treated as transparent or flow-throughs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jc w:val="both"/>
        <w:ind w:left="820" w:right="80"/>
        <w:spacing w:after="0" w:line="258" w:lineRule="auto"/>
        <w:rPr>
          <w:sz w:val="20"/>
          <w:szCs w:val="20"/>
          <w:color w:val="auto"/>
        </w:rPr>
      </w:pPr>
      <w:r>
        <w:rPr>
          <w:rFonts w:ascii="Times New Roman" w:cs="Times New Roman" w:eastAsia="Times New Roman" w:hAnsi="Times New Roman"/>
          <w:sz w:val="18"/>
          <w:szCs w:val="18"/>
          <w:color w:val="auto"/>
        </w:rPr>
        <w:t xml:space="preserve">for U.S. federal income tax purposes) or if the Partnership already has more than seventy-five (75) “partners” but such issuance would further increase the number of “partners” in the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purposes, the Partnership and the General Partner shall be entitled to assume that each person who is a Partner immediately before the Effective Time is treated as a single partner within the meaning of Treasury Regulations Section 1.7704-1(h) (but looking through all entities treated as transparent or flow-throughs for U.S. federal income tax purposes), unless otherwise required by applicable Law.</w:t>
      </w:r>
    </w:p>
    <w:p>
      <w:pPr>
        <w:spacing w:after="0" w:line="233" w:lineRule="exact"/>
        <w:rPr>
          <w:sz w:val="20"/>
          <w:szCs w:val="20"/>
          <w:color w:val="auto"/>
        </w:rPr>
      </w:pPr>
    </w:p>
    <w:p>
      <w:pPr>
        <w:ind w:left="820" w:right="100" w:hanging="796"/>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The books and records of the Partnership shall be the definitive record of ownership of each Unit and all relevant information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each Partner. Unless the General Partner in its sole discretion shall determine otherwise, Units shall be uncertificated and recorded in the books and records of the Partnership.</w:t>
      </w:r>
    </w:p>
    <w:p>
      <w:pPr>
        <w:spacing w:after="0" w:line="225" w:lineRule="exact"/>
        <w:rPr>
          <w:sz w:val="20"/>
          <w:szCs w:val="20"/>
          <w:color w:val="auto"/>
        </w:rPr>
      </w:pPr>
    </w:p>
    <w:p>
      <w:pPr>
        <w:ind w:left="820" w:right="300" w:hanging="796"/>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 xml:space="preserve">Registered Partners </w:t>
      </w:r>
      <w:r>
        <w:rPr>
          <w:rFonts w:ascii="Times New Roman" w:cs="Times New Roman" w:eastAsia="Times New Roman" w:hAnsi="Times New Roman"/>
          <w:sz w:val="18"/>
          <w:szCs w:val="18"/>
          <w:color w:val="auto"/>
        </w:rPr>
        <w:t>The Partnership shall be entitled to recognize the exclusive right of a Person registered on its records as the owner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225" w:lineRule="exact"/>
        <w:rPr>
          <w:sz w:val="20"/>
          <w:szCs w:val="20"/>
          <w:color w:val="auto"/>
        </w:rPr>
      </w:pPr>
    </w:p>
    <w:p>
      <w:pPr>
        <w:ind w:left="820" w:right="8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 xml:space="preserve">Forfeiture of Common Units. </w:t>
      </w:r>
      <w:r>
        <w:rPr>
          <w:rFonts w:ascii="Times New Roman" w:cs="Times New Roman" w:eastAsia="Times New Roman" w:hAnsi="Times New Roman"/>
          <w:sz w:val="18"/>
          <w:szCs w:val="18"/>
          <w:color w:val="auto"/>
        </w:rPr>
        <w:t>Each PMEL Post-Combination Unitholder hereby agrees that any Common Units (for the avoidance of doubt,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Common Units which were formerly PMEL RCUs and were converted into Common Units pursuant to this Agreement) which, by virtue of the transactions contemplated by the Business Combination Agreement, were received in substitution for PMEL Interests held by a PMEL Award Recipient, shall be subject to the same forfeiture provisions as contained in any corresponding PMEL Award Agreement. The General Partner shall have the authority pursuant to Section 9.4 of this Agreement to cancel and extinguish for no consideration, automatically and without the consent of the applicable PMEL Post-Combination Unitholder (or PMEL Award Recipient), any Common</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20" w:right="60"/>
        <w:spacing w:after="0" w:line="261" w:lineRule="auto"/>
        <w:rPr>
          <w:sz w:val="20"/>
          <w:szCs w:val="20"/>
          <w:color w:val="auto"/>
        </w:rPr>
      </w:pPr>
      <w:r>
        <w:rPr>
          <w:rFonts w:ascii="Times New Roman" w:cs="Times New Roman" w:eastAsia="Times New Roman" w:hAnsi="Times New Roman"/>
          <w:sz w:val="18"/>
          <w:szCs w:val="18"/>
          <w:color w:val="auto"/>
        </w:rPr>
        <w:t>Units (and PubCo shall cancel and extinguish for no consideration the Acquiror Class B PMEL RSRs or the Class B Common Shares, as the case may be, held by such PMEL Post-Combination Unitholder (or PMEL Award Recipient), on a one-for-one basis, without the consent of the applicable PMEL Post-Combination Unitholder (or PMEL Award Recipient)) to the same extent the corresponding PMEL Interests would have been subject to forfeiture under the corresponding PMEL Award Agreement.</w:t>
      </w:r>
    </w:p>
    <w:p>
      <w:pPr>
        <w:spacing w:after="0" w:line="2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Issuances, Repurchases and Redemptions, Recapitalizations</w:t>
      </w:r>
    </w:p>
    <w:p>
      <w:pPr>
        <w:spacing w:after="0" w:line="281"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7"/>
          <w:szCs w:val="17"/>
          <w:i w:val="1"/>
          <w:iCs w:val="1"/>
          <w:color w:val="auto"/>
        </w:rPr>
        <w:t>Issuances by PubCo.</w:t>
      </w:r>
    </w:p>
    <w:p>
      <w:pPr>
        <w:spacing w:after="0" w:line="133" w:lineRule="exact"/>
        <w:rPr>
          <w:sz w:val="20"/>
          <w:szCs w:val="20"/>
          <w:color w:val="auto"/>
        </w:rPr>
      </w:pPr>
    </w:p>
    <w:p>
      <w:pPr>
        <w:ind w:right="200" w:firstLine="8"/>
        <w:spacing w:after="0" w:line="261"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9.5.1(b)</w:t>
      </w:r>
      <w:r>
        <w:rPr>
          <w:rFonts w:ascii="Times New Roman" w:cs="Times New Roman" w:eastAsia="Times New Roman" w:hAnsi="Times New Roman"/>
          <w:sz w:val="18"/>
          <w:szCs w:val="18"/>
          <w:color w:val="auto"/>
        </w:rPr>
        <w:t xml:space="preserve"> and the Exchange Agreement, if, at any time after the Closing Date, PubCo sells or issues Class A Common Shares or any other Equity Interests of PubCo (other than Class B Common Shares):</w:t>
      </w:r>
    </w:p>
    <w:p>
      <w:pPr>
        <w:ind w:left="2500" w:hanging="791"/>
        <w:spacing w:after="0" w:line="256" w:lineRule="auto"/>
        <w:tabs>
          <w:tab w:leader="none" w:pos="2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concurrently issue to PubCo an equal number of Common Units (if PubCo issues Class A Common Shares), or an equal number of such other Equity Interests of the Partnership corresponding to the Equity Interests issued by PubCo (if PubCo issues Equity Interests other than Class A Common Shares), and with substantially the same rights to dividends and Distributions (including Distributions upon liquidation) and other economic rights as those of such Equity Interests of PubCo so issued; and</w:t>
      </w:r>
    </w:p>
    <w:p>
      <w:pPr>
        <w:spacing w:after="0" w:line="241" w:lineRule="exact"/>
        <w:rPr>
          <w:rFonts w:ascii="Times New Roman" w:cs="Times New Roman" w:eastAsia="Times New Roman" w:hAnsi="Times New Roman"/>
          <w:sz w:val="18"/>
          <w:szCs w:val="18"/>
          <w:color w:val="auto"/>
        </w:rPr>
      </w:pPr>
    </w:p>
    <w:p>
      <w:pPr>
        <w:ind w:left="2500" w:right="120" w:hanging="791"/>
        <w:spacing w:after="0" w:line="282" w:lineRule="auto"/>
        <w:tabs>
          <w:tab w:leader="none" w:pos="2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concurrently contribute to the Partnership the net proceeds or other property received by PubCo, if any, for such Class A Common Share or other Equity Interest.</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9.5.1(a)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9.5.1(c),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xml:space="preserve"> shall not apply to:</w:t>
      </w:r>
    </w:p>
    <w:p>
      <w:pPr>
        <w:spacing w:after="0" w:line="27" w:lineRule="exact"/>
        <w:rPr>
          <w:rFonts w:ascii="Times New Roman" w:cs="Times New Roman" w:eastAsia="Times New Roman" w:hAnsi="Times New Roman"/>
          <w:sz w:val="18"/>
          <w:szCs w:val="18"/>
          <w:color w:val="auto"/>
        </w:rPr>
      </w:pPr>
    </w:p>
    <w:p>
      <w:pPr>
        <w:ind w:left="2500" w:right="200" w:hanging="791"/>
        <w:spacing w:after="0" w:line="259" w:lineRule="auto"/>
        <w:tabs>
          <w:tab w:leader="none" w:pos="2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distribution to holders of Class A Common Shares or other Equity Interests of PubCo of rights to purchase Equity Interests of PubCo under a “poison pill” or similar shareholder rights plan (and upon exchange of Common Units for Class A Common Shares pursuant to the Exchange Agreement, such Class A Common Shares will be issued together with a corresponding right under such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87" w:name="page188"/>
    <w:bookmarkEnd w:id="187"/>
    <w:p>
      <w:pPr>
        <w:spacing w:after="0" w:line="234" w:lineRule="exact"/>
        <w:rPr>
          <w:sz w:val="20"/>
          <w:szCs w:val="20"/>
          <w:color w:val="auto"/>
        </w:rPr>
      </w:pPr>
    </w:p>
    <w:p>
      <w:pPr>
        <w:ind w:left="2500" w:right="140" w:hanging="791"/>
        <w:spacing w:after="0" w:line="282" w:lineRule="auto"/>
        <w:tabs>
          <w:tab w:leader="none" w:pos="2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under PubCo’s employee benefit plans of any warrants, options, stock appreciation right, restricted stock, restricted stock units, performance based award or other rights to acquire Equity Interests of PubCo,</w:t>
      </w:r>
    </w:p>
    <w:p>
      <w:pPr>
        <w:spacing w:after="0" w:line="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but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xml:space="preserve"> shall, in each of the foregoing cases, apply to the issuance of Equity Interests of PubCo in connection with the exercise or settlement of such warrants, options, stock appreciation right, restricted stock units, performance based awards or other rights to acquire Equity Interests of PubCo.</w:t>
      </w:r>
    </w:p>
    <w:p>
      <w:pPr>
        <w:spacing w:after="0" w:line="54" w:lineRule="exact"/>
        <w:rPr>
          <w:sz w:val="20"/>
          <w:szCs w:val="20"/>
          <w:color w:val="auto"/>
        </w:rPr>
      </w:pPr>
    </w:p>
    <w:p>
      <w:pPr>
        <w:ind w:right="120" w:firstLine="8"/>
        <w:spacing w:after="0" w:line="261" w:lineRule="auto"/>
        <w:tabs>
          <w:tab w:leader="none" w:pos="2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Conversion of PubCo Equity Interests</w:t>
      </w:r>
      <w:r>
        <w:rPr>
          <w:rFonts w:ascii="Times New Roman" w:cs="Times New Roman" w:eastAsia="Times New Roman" w:hAnsi="Times New Roman"/>
          <w:sz w:val="18"/>
          <w:szCs w:val="18"/>
          <w:color w:val="auto"/>
        </w:rPr>
        <w:t xml:space="preserve"> In the event any outstanding Equity Interest of PubCo is exercised or otherwise converted and, as a result, any Class A Common Shares or other Equity Interests of PubCo are issued (including as a result of the exercise of warrants of PubCo):</w:t>
      </w: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500" w:right="20" w:hanging="791"/>
        <w:spacing w:after="0" w:line="282" w:lineRule="auto"/>
        <w:tabs>
          <w:tab w:leader="none" w:pos="25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Equity Interests issued by the Partnership, if any, shall be similarly exercised or otherwise converted, if applicable;</w:t>
      </w:r>
    </w:p>
    <w:p>
      <w:pPr>
        <w:spacing w:after="0" w:line="215" w:lineRule="exact"/>
        <w:rPr>
          <w:rFonts w:ascii="Times New Roman" w:cs="Times New Roman" w:eastAsia="Times New Roman" w:hAnsi="Times New Roman"/>
          <w:sz w:val="18"/>
          <w:szCs w:val="18"/>
          <w:color w:val="auto"/>
        </w:rPr>
      </w:pPr>
    </w:p>
    <w:p>
      <w:pPr>
        <w:ind w:left="2500" w:right="220" w:hanging="791"/>
        <w:spacing w:after="0" w:line="282" w:lineRule="auto"/>
        <w:tabs>
          <w:tab w:leader="none" w:pos="25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equivalent number of Common Units or equivalent Equity Interests of the Partnership shall be issued to PubCo as required by the first sentence of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and</w:t>
      </w:r>
    </w:p>
    <w:p>
      <w:pPr>
        <w:spacing w:after="0" w:line="215" w:lineRule="exact"/>
        <w:rPr>
          <w:rFonts w:ascii="Times New Roman" w:cs="Times New Roman" w:eastAsia="Times New Roman" w:hAnsi="Times New Roman"/>
          <w:sz w:val="18"/>
          <w:szCs w:val="18"/>
          <w:color w:val="auto"/>
        </w:rPr>
      </w:pPr>
    </w:p>
    <w:p>
      <w:pPr>
        <w:ind w:left="2500" w:right="180" w:hanging="791"/>
        <w:spacing w:after="0" w:line="282" w:lineRule="auto"/>
        <w:tabs>
          <w:tab w:leader="none" w:pos="25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concurrently contribute to the Partnership the net proceeds received by PubCo from any such exercise or conversion.</w:t>
      </w:r>
    </w:p>
    <w:p>
      <w:pPr>
        <w:spacing w:after="0" w:line="67" w:lineRule="exact"/>
        <w:rPr>
          <w:rFonts w:ascii="Times New Roman" w:cs="Times New Roman" w:eastAsia="Times New Roman" w:hAnsi="Times New Roman"/>
          <w:sz w:val="18"/>
          <w:szCs w:val="18"/>
          <w:color w:val="auto"/>
        </w:rPr>
      </w:pPr>
    </w:p>
    <w:p>
      <w:pPr>
        <w:ind w:right="140" w:firstLine="8"/>
        <w:spacing w:after="0" w:line="255"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xml:space="preserve"> If at any time PubCo or any of its Subsidiaries (other than the Partnership and its Subsidiaries) issues any securities in respect of or otherwise incurs indebtedness for borrowed money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PubCo or such Subsidiary shall Transfer to the Partnership the net proceeds received by PubCo or such Subsidiary, as applicable, in exchange for such Debt in a manner that burdens the Partnership with the repayment of such Debt (including for example through a “back-to-back” loan from the PubCo or such Subsidiary to the Partnership).</w:t>
      </w:r>
    </w:p>
    <w:p>
      <w:pPr>
        <w:spacing w:after="0" w:line="2" w:lineRule="exact"/>
        <w:rPr>
          <w:rFonts w:ascii="Times New Roman" w:cs="Times New Roman" w:eastAsia="Times New Roman" w:hAnsi="Times New Roman"/>
          <w:sz w:val="18"/>
          <w:szCs w:val="18"/>
          <w:color w:val="auto"/>
        </w:rPr>
      </w:pPr>
    </w:p>
    <w:p>
      <w:pPr>
        <w:ind w:left="820" w:hanging="79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9.5.2</w:t>
      </w:r>
      <w:r>
        <w:rPr>
          <w:rFonts w:ascii="Times New Roman" w:cs="Times New Roman" w:eastAsia="Times New Roman" w:hAnsi="Times New Roman"/>
          <w:sz w:val="18"/>
          <w:szCs w:val="18"/>
          <w:i w:val="1"/>
          <w:iCs w:val="1"/>
          <w:color w:val="auto"/>
        </w:rPr>
        <w:t xml:space="preserve">Issuance of New Common Units to PubCo </w:t>
      </w:r>
      <w:r>
        <w:rPr>
          <w:rFonts w:ascii="Times New Roman" w:cs="Times New Roman" w:eastAsia="Times New Roman" w:hAnsi="Times New Roman"/>
          <w:sz w:val="18"/>
          <w:szCs w:val="18"/>
          <w:color w:val="auto"/>
        </w:rPr>
        <w:t>Except pursuant to the Exchange Agreement, (a) the Partnership may not issue any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to PubCo or any of its Subsidiaries (other than Subsidiaries of the Partnership) unless substantially simultaneously therewith PubCo or such Subsidiary issues or Transfers an equal number of newly-issued Class A Common Shares (or relevant Equity Interest of such Subsidiary) to another Person or Persons and contributes the net proceeds therefrom to the Partnership, and (b) the Partnership may not issue any other Equity Interests of the Partnership to PubCo or any of its Subsidiaries (other than Subsidiaries of the Partnership) unless substantially simultaneously therewith PubCo or such Subsidiary issues or Transfers, to another Person, an equal number of newly-issued shares of Equity Interests of PubCo or such Subsidiary with substantially the same rights to dividends and Distributions (including Distributions upon liquidation) and other economic rights as those of such Equity Interests of the Partnership and contributes the net proceeds therefrom to the Partnership.</w:t>
      </w:r>
    </w:p>
    <w:p>
      <w:pPr>
        <w:spacing w:after="0" w:line="243"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9.5.3</w:t>
      </w:r>
      <w:r>
        <w:rPr>
          <w:sz w:val="20"/>
          <w:szCs w:val="20"/>
          <w:color w:val="auto"/>
        </w:rPr>
        <w:tab/>
      </w:r>
      <w:r>
        <w:rPr>
          <w:rFonts w:ascii="Times New Roman" w:cs="Times New Roman" w:eastAsia="Times New Roman" w:hAnsi="Times New Roman"/>
          <w:sz w:val="17"/>
          <w:szCs w:val="17"/>
          <w:i w:val="1"/>
          <w:iCs w:val="1"/>
          <w:color w:val="auto"/>
        </w:rPr>
        <w:t>Repurchases and Redemptions</w:t>
      </w:r>
    </w:p>
    <w:p>
      <w:pPr>
        <w:spacing w:after="0" w:line="133" w:lineRule="exact"/>
        <w:rPr>
          <w:sz w:val="20"/>
          <w:szCs w:val="20"/>
          <w:color w:val="auto"/>
        </w:rPr>
      </w:pPr>
    </w:p>
    <w:p>
      <w:pPr>
        <w:ind w:right="440" w:firstLine="8"/>
        <w:spacing w:after="0" w:line="261" w:lineRule="auto"/>
        <w:tabs>
          <w:tab w:leader="none" w:pos="2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 and Redemptions by PubCo</w:t>
      </w:r>
      <w:r>
        <w:rPr>
          <w:rFonts w:ascii="Times New Roman" w:cs="Times New Roman" w:eastAsia="Times New Roman" w:hAnsi="Times New Roman"/>
          <w:sz w:val="18"/>
          <w:szCs w:val="18"/>
          <w:color w:val="auto"/>
        </w:rPr>
        <w:t xml:space="preserve"> Neither PubCo nor any of its Subsidiaries (other than the Partnership and its Subsidiaries) may redeem, repurchase or otherwise acquire:</w:t>
      </w:r>
    </w:p>
    <w:p>
      <w:pPr>
        <w:ind w:left="2040" w:hanging="777"/>
        <w:spacing w:after="0" w:line="259" w:lineRule="auto"/>
        <w:tabs>
          <w:tab w:leader="none" w:pos="20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pursuant to a PubCo Board approved repurchase plan or program (or otherwise in connection with a transaction approved by the PubCo Board) unless substantially simultaneously therewith the Partnership redeems, repurchases or otherwise acquires from PubCo or such Subsidiary an equal number of Common Units for the same price per security, if any, or</w:t>
      </w:r>
    </w:p>
    <w:p>
      <w:pPr>
        <w:spacing w:after="0" w:line="235" w:lineRule="exact"/>
        <w:rPr>
          <w:rFonts w:ascii="Times New Roman" w:cs="Times New Roman" w:eastAsia="Times New Roman" w:hAnsi="Times New Roman"/>
          <w:sz w:val="18"/>
          <w:szCs w:val="18"/>
          <w:color w:val="auto"/>
        </w:rPr>
      </w:pPr>
    </w:p>
    <w:p>
      <w:pPr>
        <w:ind w:left="2040" w:right="60" w:hanging="777"/>
        <w:spacing w:after="0" w:line="256" w:lineRule="auto"/>
        <w:tabs>
          <w:tab w:leader="none" w:pos="20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Interests of PubCo or any of its Subsidiaries (other than the Partnership and its Subsidiaries) pursuant to a PubCo Board approved repurchase plan or program (or otherwise in connection with a transaction approved by the PubCo Board) unless substantially simultaneously therewith the Partnership redeems, repurchases or otherwise acquires from PubCo or such Subsidiary an equal number of the corresponding class or series of Equity Interests of the Partnership with the same rights to dividends and Distributions (including Distributions upon liquidation) and other economic rights as those of such Equity Interests of PubCo or such Subsidiary for the same price per security,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 and Redemptions by the Partnership</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the Partnership may not redeem, repurchase or otherwise acquire:</w:t>
      </w:r>
    </w:p>
    <w:p>
      <w:pPr>
        <w:spacing w:after="0" w:line="27" w:lineRule="exact"/>
        <w:rPr>
          <w:rFonts w:ascii="Times New Roman" w:cs="Times New Roman" w:eastAsia="Times New Roman" w:hAnsi="Times New Roman"/>
          <w:sz w:val="18"/>
          <w:szCs w:val="18"/>
          <w:color w:val="auto"/>
        </w:rPr>
      </w:pPr>
    </w:p>
    <w:p>
      <w:pPr>
        <w:ind w:left="2040" w:right="60" w:hanging="777"/>
        <w:spacing w:after="0" w:line="259" w:lineRule="auto"/>
        <w:tabs>
          <w:tab w:leader="none" w:pos="20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Units from PubCo or any of its Subsidiaries (other than the Partnership and its Subsidiaries) unless substantially simultaneously PubCo or such Subsidiary redeems, repurchases or otherwise acquires pursuant to a PubCo Board approved repurchase plan or program (or otherwise in connection with a transaction approved by the PubCo Board) an equal number of Class A Common Shares for the same price per security from holders thereof; or</w:t>
      </w:r>
    </w:p>
    <w:p>
      <w:pPr>
        <w:spacing w:after="0" w:line="235" w:lineRule="exact"/>
        <w:rPr>
          <w:rFonts w:ascii="Times New Roman" w:cs="Times New Roman" w:eastAsia="Times New Roman" w:hAnsi="Times New Roman"/>
          <w:sz w:val="18"/>
          <w:szCs w:val="18"/>
          <w:color w:val="auto"/>
        </w:rPr>
      </w:pPr>
    </w:p>
    <w:p>
      <w:pPr>
        <w:ind w:left="2040" w:right="180" w:hanging="777"/>
        <w:spacing w:after="0" w:line="256" w:lineRule="auto"/>
        <w:tabs>
          <w:tab w:leader="none" w:pos="20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Interests of the Partnership from PubCo or any of its Subsidiaries (other than the Partnership and its Subsidiaries) unless substantially simultaneously PubCo or such Subsidiary redeems, repurchases or otherwise acquires pursuant to a PubCo Board approved repurchase plan or program (or otherwise in connection with a transaction approved by the PubCo Board) for the same price per security an equal number of Equity Interests of PubCo (or such Subsidiary) of a corresponding class or series with substantially the same rights to dividends and Distributions (including Distributions upon liquidation) and other economic rights as those of such Equity Interests of PubCo or such Subsidiary.</w:t>
      </w:r>
    </w:p>
    <w:p>
      <w:pPr>
        <w:spacing w:after="0" w:line="92" w:lineRule="exact"/>
        <w:rPr>
          <w:rFonts w:ascii="Times New Roman" w:cs="Times New Roman" w:eastAsia="Times New Roman" w:hAnsi="Times New Roman"/>
          <w:sz w:val="18"/>
          <w:szCs w:val="18"/>
          <w:color w:val="auto"/>
        </w:rPr>
      </w:pPr>
    </w:p>
    <w:p>
      <w:pPr>
        <w:ind w:right="20" w:firstLine="8"/>
        <w:spacing w:after="0" w:line="253" w:lineRule="auto"/>
        <w:tabs>
          <w:tab w:leader="none" w:pos="2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Redemptions</w:t>
      </w:r>
      <w:r>
        <w:rPr>
          <w:rFonts w:ascii="Times New Roman" w:cs="Times New Roman" w:eastAsia="Times New Roman" w:hAnsi="Times New Roman"/>
          <w:sz w:val="18"/>
          <w:szCs w:val="18"/>
          <w:color w:val="auto"/>
        </w:rPr>
        <w:t xml:space="preserve"> Notwithstanding the foregoing Section 9.5.1 and Section 9.5.2, to the extent that any consideration payable by PubCo in connection with the redemption, repurchase or acquisition of Class A Common Shares or other equity securities of PubCo or any of its Subsidiaries (other than the Partnership and its Subsidiaries) consists (in whole or in part) of Class A Common Shares or such other Equity Interests (including in connection with the cashless exercise of an option or warrant (or other convertible right or security)), other than under PubCo’s employee benefit plans for which there are no corresponding Common Units or other Equity Interests of the Partnership, the redemption, repurchase or acquisition of the corresponding Common Units or other Equity Interests of the Partnership shall be effectuated in a substantially similar manner.</w:t>
      </w:r>
    </w:p>
    <w:p>
      <w:pPr>
        <w:spacing w:after="0" w:line="5"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9.5.4</w:t>
      </w:r>
      <w:r>
        <w:rPr>
          <w:rFonts w:ascii="Times New Roman" w:cs="Times New Roman" w:eastAsia="Times New Roman" w:hAnsi="Times New Roman"/>
          <w:sz w:val="18"/>
          <w:szCs w:val="18"/>
          <w:i w:val="1"/>
          <w:iCs w:val="1"/>
          <w:color w:val="auto"/>
        </w:rPr>
        <w:t>Equity Subdivisions and Combinations</w:t>
      </w:r>
    </w:p>
    <w:p>
      <w:pPr>
        <w:spacing w:after="0" w:line="126" w:lineRule="exact"/>
        <w:rPr>
          <w:sz w:val="20"/>
          <w:szCs w:val="20"/>
          <w:color w:val="auto"/>
        </w:rPr>
      </w:pPr>
    </w:p>
    <w:p>
      <w:pPr>
        <w:jc w:val="both"/>
        <w:ind w:firstLine="8"/>
        <w:spacing w:after="0" w:line="261" w:lineRule="auto"/>
        <w:tabs>
          <w:tab w:leader="none" w:pos="2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the Partnership</w:t>
      </w:r>
      <w:r>
        <w:rPr>
          <w:rFonts w:ascii="Times New Roman" w:cs="Times New Roman" w:eastAsia="Times New Roman" w:hAnsi="Times New Roman"/>
          <w:sz w:val="18"/>
          <w:szCs w:val="18"/>
          <w:color w:val="auto"/>
        </w:rPr>
        <w:t xml:space="preserve"> The Partnership shall not in any manner effect any subdivision (by any equity split, equity distribution, reclassification, recapitalization or otherwise) or combination (by reverse equity split, reclassification, recapitalization or otherwise) of the outstanding Equity Interests of the Partnership unless accompanied by an identical subdivision or combination, as applicable, of the outstanding related class or series of Equity Interest of PubCo, with corresponding changes made with respect to any other exchangeable or convertible Equity Interests of the Partnership and PubCo.</w:t>
      </w:r>
    </w:p>
    <w:p>
      <w:pPr>
        <w:spacing w:after="0" w:line="71"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PubCo</w:t>
      </w:r>
      <w:r>
        <w:rPr>
          <w:rFonts w:ascii="Times New Roman" w:cs="Times New Roman" w:eastAsia="Times New Roman" w:hAnsi="Times New Roman"/>
          <w:sz w:val="18"/>
          <w:szCs w:val="18"/>
          <w:color w:val="auto"/>
        </w:rPr>
        <w:t xml:space="preserve"> PubCo shall not in any manner effect any subdivision (by any equity split, equity distribution, reclassification, recapitalization or otherwise) or combination (by reverse equity split, reclassification, recapitalization or otherwise) of any class or series of Equity Interest of PubCo, unless accompanied by an identical subdivision or combination, as applicable, of the outstanding related class or series of Equity Interests of the Partnership, with corresponding changes made with respect to any applicable exchangeable or convertible Equity Interests of the Partnership and PubCo.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firstLine="8"/>
        <w:spacing w:after="0" w:line="253" w:lineRule="auto"/>
        <w:tabs>
          <w:tab w:leader="none" w:pos="2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one-to-one ratio of Common Units to PubCo’s Class A Common Shares</w:t>
      </w:r>
      <w:r>
        <w:rPr>
          <w:rFonts w:ascii="Times New Roman" w:cs="Times New Roman" w:eastAsia="Times New Roman" w:hAnsi="Times New Roman"/>
          <w:sz w:val="18"/>
          <w:szCs w:val="18"/>
          <w:color w:val="auto"/>
        </w:rPr>
        <w:t xml:space="preserve"> For the avoidance of doubt, but subject to Section 9.1, Section 9.2, Section 9.5 and Section 9.6, the Partnership and the General Partner shall be permitted to undertake all actions, including an issuance, redemption, reclassification, distribution, division or recapitalization, with respect to the Common Units or the Restricted Common Units as the General Partner determines is necessary to maintain at all times a one-to-one ratio between (i) the number of Common Units owned by PubCo, directly or indirectly, and the number of outstanding Class A Common Shares; and (ii) the number of outstanding Class B Common Shares held, directly or indirectly, by any Partner and the number of Common Units (other than Restricted Common Units) held (directly or indirectly) by such Partner, disregarding for purposes of maintaining the one-to-one ratios in clause (i):</w:t>
      </w:r>
    </w:p>
    <w:p>
      <w:pPr>
        <w:spacing w:after="0" w:line="2" w:lineRule="exact"/>
        <w:rPr>
          <w:rFonts w:ascii="Times New Roman" w:cs="Times New Roman" w:eastAsia="Times New Roman" w:hAnsi="Times New Roman"/>
          <w:sz w:val="18"/>
          <w:szCs w:val="18"/>
          <w:color w:val="auto"/>
        </w:rPr>
      </w:pPr>
    </w:p>
    <w:p>
      <w:pPr>
        <w:ind w:left="2040" w:right="100" w:hanging="777"/>
        <w:spacing w:after="0" w:line="276" w:lineRule="auto"/>
        <w:tabs>
          <w:tab w:leader="none" w:pos="2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rights or securities of PubCo issued under any plan involving the issuance of any Equity Interests that are convertible into or exercisable or exchangeable for Class A Common Shares,</w:t>
      </w:r>
    </w:p>
    <w:p>
      <w:pPr>
        <w:spacing w:after="0" w:line="221" w:lineRule="exact"/>
        <w:rPr>
          <w:rFonts w:ascii="Times New Roman" w:cs="Times New Roman" w:eastAsia="Times New Roman" w:hAnsi="Times New Roman"/>
          <w:sz w:val="18"/>
          <w:szCs w:val="18"/>
          <w:color w:val="auto"/>
        </w:rPr>
      </w:pPr>
    </w:p>
    <w:p>
      <w:pPr>
        <w:ind w:left="2040" w:hanging="777"/>
        <w:spacing w:after="0"/>
        <w:tabs>
          <w:tab w:leader="none" w:pos="2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9" w:name="page190"/>
    <w:bookmarkEnd w:id="189"/>
    <w:p>
      <w:pPr>
        <w:ind w:left="2020" w:right="240" w:hanging="777"/>
        <w:spacing w:after="0" w:line="266" w:lineRule="auto"/>
        <w:tabs>
          <w:tab w:leader="none" w:pos="2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or other debt or equity securities (including warrants, options or rights) issued by PubCo that are convertible into or exercisable or exchangeable for Class A Common Shares (but in each case prior to such conversion, exercise or exchange).</w:t>
      </w:r>
    </w:p>
    <w:p>
      <w:pPr>
        <w:spacing w:after="0" w:line="228" w:lineRule="exact"/>
        <w:rPr>
          <w:sz w:val="20"/>
          <w:szCs w:val="20"/>
          <w:color w:val="auto"/>
        </w:rPr>
      </w:pPr>
    </w:p>
    <w:p>
      <w:pPr>
        <w:ind w:left="800" w:hanging="796"/>
        <w:spacing w:after="0" w:line="254" w:lineRule="auto"/>
        <w:tabs>
          <w:tab w:leader="none" w:pos="780" w:val="left"/>
        </w:tabs>
        <w:rPr>
          <w:sz w:val="20"/>
          <w:szCs w:val="20"/>
          <w:color w:val="auto"/>
        </w:rPr>
      </w:pPr>
      <w:r>
        <w:rPr>
          <w:rFonts w:ascii="Times New Roman" w:cs="Times New Roman" w:eastAsia="Times New Roman" w:hAnsi="Times New Roman"/>
          <w:sz w:val="18"/>
          <w:szCs w:val="18"/>
          <w:color w:val="auto"/>
        </w:rPr>
        <w:t>9.5.5</w:t>
      </w:r>
      <w:r>
        <w:rPr>
          <w:sz w:val="20"/>
          <w:szCs w:val="20"/>
          <w:color w:val="auto"/>
        </w:rPr>
        <w:tab/>
      </w:r>
      <w:r>
        <w:rPr>
          <w:rFonts w:ascii="Times New Roman" w:cs="Times New Roman" w:eastAsia="Times New Roman" w:hAnsi="Times New Roman"/>
          <w:sz w:val="18"/>
          <w:szCs w:val="18"/>
          <w:i w:val="1"/>
          <w:iCs w:val="1"/>
          <w:color w:val="auto"/>
        </w:rPr>
        <w:t xml:space="preserve">Redemptions pursuant to the Exchange Agreement </w:t>
      </w:r>
      <w:r>
        <w:rPr>
          <w:rFonts w:ascii="Times New Roman" w:cs="Times New Roman" w:eastAsia="Times New Roman" w:hAnsi="Times New Roman"/>
          <w:sz w:val="18"/>
          <w:szCs w:val="18"/>
          <w:color w:val="auto"/>
        </w:rPr>
        <w:t>If the Partnership is obliged, pursuant to Section 2.2 of the Exchange Agreement, to cancel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Common Units surrendered to it by a Limited Partner (a “</w:t>
      </w:r>
      <w:r>
        <w:rPr>
          <w:rFonts w:ascii="Times New Roman" w:cs="Times New Roman" w:eastAsia="Times New Roman" w:hAnsi="Times New Roman"/>
          <w:sz w:val="18"/>
          <w:szCs w:val="18"/>
          <w:b w:val="1"/>
          <w:bCs w:val="1"/>
          <w:color w:val="auto"/>
        </w:rPr>
        <w:t>Surrendering Partner</w:t>
      </w:r>
      <w:r>
        <w:rPr>
          <w:rFonts w:ascii="Times New Roman" w:cs="Times New Roman" w:eastAsia="Times New Roman" w:hAnsi="Times New Roman"/>
          <w:sz w:val="18"/>
          <w:szCs w:val="18"/>
          <w:color w:val="auto"/>
        </w:rPr>
        <w:t>”), those surrendered Common Units shall be treated as redeemed by the Partnership and shall be cancelled immediately upon redemption. The recorded balance of the Equity Contribution and (if any) the Advance of such Limited Partner shall each be reduced, on that surrender and redemption, by a proportionate amount (equal to the proportion which the number of surrendered Common Units bears to the total number of Common Units held by that Limited Partner immediately prior to that surrender (such proportion the “</w:t>
      </w:r>
      <w:r>
        <w:rPr>
          <w:rFonts w:ascii="Times New Roman" w:cs="Times New Roman" w:eastAsia="Times New Roman" w:hAnsi="Times New Roman"/>
          <w:sz w:val="18"/>
          <w:szCs w:val="18"/>
          <w:b w:val="1"/>
          <w:bCs w:val="1"/>
          <w:color w:val="auto"/>
        </w:rPr>
        <w:t>Exchanged Proportion</w:t>
      </w:r>
      <w:r>
        <w:rPr>
          <w:rFonts w:ascii="Times New Roman" w:cs="Times New Roman" w:eastAsia="Times New Roman" w:hAnsi="Times New Roman"/>
          <w:sz w:val="18"/>
          <w:szCs w:val="18"/>
          <w:color w:val="auto"/>
        </w:rPr>
        <w:t>”)), and the recorded balance of the Equity Contribution and Advance of PubCo shall each be correspondingly and automatically increased by the same respective amounts. The Partnership shall issue a number of Common Units to PubCo, as required by Section 2.2 of the Exchange Agreement, equal to the number of Common Units surrendered by the Surrendering Partner and redeemed by the Partnership and on the issuance of such Common Units a proportion of the Surrendering Partner’s right to the repayment of its Advance equal to the Exchanged Proportion shall hereby be assigned to PubCo.</w:t>
      </w:r>
    </w:p>
    <w:p>
      <w:pPr>
        <w:spacing w:after="0" w:line="23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Restricted Common Units.</w:t>
      </w:r>
    </w:p>
    <w:p>
      <w:pPr>
        <w:spacing w:after="0" w:line="281" w:lineRule="exact"/>
        <w:rPr>
          <w:sz w:val="20"/>
          <w:szCs w:val="20"/>
          <w:color w:val="auto"/>
        </w:rPr>
      </w:pPr>
    </w:p>
    <w:p>
      <w:pPr>
        <w:ind w:left="800" w:right="8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8"/>
          <w:szCs w:val="18"/>
          <w:i w:val="1"/>
          <w:iCs w:val="1"/>
          <w:color w:val="auto"/>
        </w:rPr>
        <w:t xml:space="preserve">Restricted Common Units and Vesting </w:t>
      </w:r>
      <w:r>
        <w:rPr>
          <w:rFonts w:ascii="Times New Roman" w:cs="Times New Roman" w:eastAsia="Times New Roman" w:hAnsi="Times New Roman"/>
          <w:sz w:val="18"/>
          <w:szCs w:val="18"/>
          <w:color w:val="auto"/>
        </w:rPr>
        <w:t>Each Restricted Common Unit will be held in accordance with this Agreement unless and until a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occurs with respect to such Restricted Common Unit. Upon the occurrence of a Vesting Event, on the Conversion Date, each applicable Restricted Common Unit with respect to which a Vesting Event has occurred shall be converted immediately and automatically, without any further action on the part of the holder thereof or any other person (including the Partnership, the General Partner and PubCo) into a Common Unit, with all rights and privileges of a Common Unit under this Agreement from and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00" w:right="100"/>
        <w:spacing w:after="0" w:line="255" w:lineRule="auto"/>
        <w:rPr>
          <w:sz w:val="20"/>
          <w:szCs w:val="20"/>
          <w:color w:val="auto"/>
        </w:rPr>
      </w:pPr>
      <w:r>
        <w:rPr>
          <w:rFonts w:ascii="Times New Roman" w:cs="Times New Roman" w:eastAsia="Times New Roman" w:hAnsi="Times New Roman"/>
          <w:sz w:val="18"/>
          <w:szCs w:val="18"/>
          <w:color w:val="auto"/>
        </w:rPr>
        <w:t>after the Conversion Date, subject in all respects to Section 9.4. Notwithstanding anything to the contrary contained in this Agreement or the Exchange Agreement, no Partner shall be permitted to effect an Exchange Transaction with respect to any Restricted Common Units, and in no event shall the Partnership or PubCo effect an Exchange Transaction with respect to any Restricted Common Unit unless and until a Vesting Event and Conversion Date has occurred with respect to such Restricted Common Unit and it has been converted to a Common Unit in accordance with the terms hereof. For the avoidance of doubt and without limiting the immediately foregoing sentence, in the event that a Vesting Event, Conversion Date and conversion into Common Unit has occurred in respect of a Restricted Common Unit, the Partnership and PubCo may effect an Exchange of such then converted Common Unit in accordance with this Agreement and the Exchange Agreement.</w:t>
      </w:r>
    </w:p>
    <w:p>
      <w:pPr>
        <w:spacing w:after="0" w:line="241" w:lineRule="exact"/>
        <w:rPr>
          <w:sz w:val="20"/>
          <w:szCs w:val="20"/>
          <w:color w:val="auto"/>
        </w:rPr>
      </w:pPr>
    </w:p>
    <w:p>
      <w:pPr>
        <w:ind w:left="800" w:right="8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8"/>
          <w:szCs w:val="18"/>
          <w:i w:val="1"/>
          <w:iCs w:val="1"/>
          <w:color w:val="auto"/>
        </w:rPr>
        <w:t xml:space="preserve">HSR Act &amp; Conversion </w:t>
      </w:r>
      <w:r>
        <w:rPr>
          <w:rFonts w:ascii="Times New Roman" w:cs="Times New Roman" w:eastAsia="Times New Roman" w:hAnsi="Times New Roman"/>
          <w:sz w:val="18"/>
          <w:szCs w:val="18"/>
          <w:color w:val="auto"/>
        </w:rPr>
        <w:t>Notwithstanding anything to the contrary contained in this Agreement, if, upon the occurrence of a Vesting 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is required under the Hart-Scott-Rodino Antitrust Improvements Act of 1976 of the United States of America, and the rules and regulations promulgated thereunder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for the immediate conversion of any Restricted Common Unit into a Common Unit, then the Conversion Date with respect to each such Restricted Common Unit shall be delayed until the earlier of (i) such time as the required filing under the HSR Act has been made and the waiting period applicable to such conversion under the HSR Act shall have expired or been terminated or (ii) such filing is no longer required, at which time such conversion shall automatically occur without any further action by the holder of any such Restricted Common Unit. Each of the Partners and PubCo agree to promptly take all actions required to make such filing under the HSR Act and the filing fee for such filing shall be paid by the Partnership.</w:t>
      </w:r>
    </w:p>
    <w:p>
      <w:pPr>
        <w:spacing w:after="0" w:line="239" w:lineRule="exact"/>
        <w:rPr>
          <w:sz w:val="20"/>
          <w:szCs w:val="20"/>
          <w:color w:val="auto"/>
        </w:rPr>
      </w:pPr>
    </w:p>
    <w:p>
      <w:pPr>
        <w:ind w:left="800" w:right="60" w:hanging="796"/>
        <w:spacing w:after="0" w:line="258" w:lineRule="auto"/>
        <w:tabs>
          <w:tab w:leader="none" w:pos="780" w:val="left"/>
        </w:tabs>
        <w:rPr>
          <w:sz w:val="20"/>
          <w:szCs w:val="20"/>
          <w:color w:val="auto"/>
        </w:rPr>
      </w:pPr>
      <w:r>
        <w:rPr>
          <w:rFonts w:ascii="Times New Roman" w:cs="Times New Roman" w:eastAsia="Times New Roman" w:hAnsi="Times New Roman"/>
          <w:sz w:val="18"/>
          <w:szCs w:val="18"/>
          <w:color w:val="auto"/>
        </w:rPr>
        <w:t>9.6.3</w:t>
      </w:r>
      <w:r>
        <w:rPr>
          <w:sz w:val="20"/>
          <w:szCs w:val="20"/>
          <w:color w:val="auto"/>
        </w:rPr>
        <w:tab/>
      </w:r>
      <w:r>
        <w:rPr>
          <w:rFonts w:ascii="Times New Roman" w:cs="Times New Roman" w:eastAsia="Times New Roman" w:hAnsi="Times New Roman"/>
          <w:sz w:val="18"/>
          <w:szCs w:val="18"/>
          <w:i w:val="1"/>
          <w:iCs w:val="1"/>
          <w:color w:val="auto"/>
        </w:rPr>
        <w:t xml:space="preserve">Issuance on Conversion </w:t>
      </w:r>
      <w:r>
        <w:rPr>
          <w:rFonts w:ascii="Times New Roman" w:cs="Times New Roman" w:eastAsia="Times New Roman" w:hAnsi="Times New Roman"/>
          <w:sz w:val="18"/>
          <w:szCs w:val="18"/>
          <w:color w:val="auto"/>
        </w:rPr>
        <w:t>On the applicable Conversion Date for each Restricted Common Unit that is not a PMEL RCU, PubCo shall issue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Continuing Partner that holds a Acquiror Class B Earnout RSR (as defined in the Business Combination Agreement) that vests on such Conversion Date, one Class B Common Share. On the applicable Conversion Date for each Restricted Common Unit that is a PMEL RCU, PubCo shall issue to each PMEL Post-Combination Unitholder that holds an Acquiror Class B PMEL RSR that vests on such Conversion Date, one Class B Common Share. PubCo hereby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879475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190" w:name="page191"/>
    <w:bookmarkEnd w:id="190"/>
    <w:p>
      <w:pPr>
        <w:ind w:left="800"/>
        <w:spacing w:after="0"/>
        <w:rPr>
          <w:sz w:val="20"/>
          <w:szCs w:val="20"/>
          <w:color w:val="auto"/>
        </w:rPr>
      </w:pPr>
      <w:r>
        <w:rPr>
          <w:rFonts w:ascii="Times New Roman" w:cs="Times New Roman" w:eastAsia="Times New Roman" w:hAnsi="Times New Roman"/>
          <w:sz w:val="18"/>
          <w:szCs w:val="18"/>
          <w:color w:val="auto"/>
        </w:rPr>
        <w:t>reserve for issuance at all times an adequate number of Class B Common Shares to permit the issuance of all Class B Common Shares assuming</w:t>
      </w:r>
    </w:p>
    <w:p>
      <w:pPr>
        <w:spacing w:after="0" w:line="27" w:lineRule="exact"/>
        <w:rPr>
          <w:sz w:val="20"/>
          <w:szCs w:val="20"/>
          <w:color w:val="auto"/>
        </w:rPr>
      </w:pPr>
    </w:p>
    <w:p>
      <w:pPr>
        <w:ind w:left="800" w:right="320" w:hanging="2"/>
        <w:spacing w:after="0" w:line="260" w:lineRule="auto"/>
        <w:tabs>
          <w:tab w:leader="none" w:pos="10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Acquiror Class B Earnout RSRs were to vest under the terms of the Business Combination Agreement and (y) all of the PMEL Post-Combination Unitholders’ Acquiror Class B PMEL RSRs were to vest under their applicable terms.</w:t>
      </w:r>
    </w:p>
    <w:p>
      <w:pPr>
        <w:spacing w:after="0" w:line="23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9.6.4</w:t>
      </w:r>
      <w:r>
        <w:rPr>
          <w:sz w:val="20"/>
          <w:szCs w:val="20"/>
          <w:color w:val="auto"/>
        </w:rPr>
        <w:tab/>
      </w:r>
      <w:r>
        <w:rPr>
          <w:rFonts w:ascii="Times New Roman" w:cs="Times New Roman" w:eastAsia="Times New Roman" w:hAnsi="Times New Roman"/>
          <w:sz w:val="17"/>
          <w:szCs w:val="17"/>
          <w:i w:val="1"/>
          <w:iCs w:val="1"/>
          <w:color w:val="auto"/>
        </w:rPr>
        <w:t>Cancellation of Restricted Common Units</w:t>
      </w:r>
    </w:p>
    <w:p>
      <w:pPr>
        <w:spacing w:after="0" w:line="281" w:lineRule="exact"/>
        <w:rPr>
          <w:sz w:val="20"/>
          <w:szCs w:val="20"/>
          <w:color w:val="auto"/>
        </w:rPr>
      </w:pPr>
    </w:p>
    <w:p>
      <w:pPr>
        <w:ind w:left="800" w:right="20" w:hanging="796"/>
        <w:spacing w:after="0" w:line="252" w:lineRule="auto"/>
        <w:tabs>
          <w:tab w:leader="none" w:pos="780" w:val="left"/>
        </w:tabs>
        <w:rPr>
          <w:sz w:val="20"/>
          <w:szCs w:val="20"/>
          <w:color w:val="auto"/>
        </w:rPr>
      </w:pPr>
      <w:r>
        <w:rPr>
          <w:rFonts w:ascii="Times New Roman" w:cs="Times New Roman" w:eastAsia="Times New Roman" w:hAnsi="Times New Roman"/>
          <w:sz w:val="18"/>
          <w:szCs w:val="18"/>
          <w:color w:val="auto"/>
        </w:rPr>
        <w:t>9.6.5</w:t>
      </w:r>
      <w:r>
        <w:rPr>
          <w:sz w:val="20"/>
          <w:szCs w:val="20"/>
          <w:color w:val="auto"/>
        </w:rPr>
        <w:tab/>
      </w:r>
      <w:r>
        <w:rPr>
          <w:rFonts w:ascii="Times New Roman" w:cs="Times New Roman" w:eastAsia="Times New Roman" w:hAnsi="Times New Roman"/>
          <w:sz w:val="18"/>
          <w:szCs w:val="18"/>
          <w:color w:val="auto"/>
        </w:rPr>
        <w:t>To the extent that, in the case of the Restricted Common Units that are not PMEL RCUs, by the Earnout Expiration Date (as defined in the Business Combination Agreement), a Vesting Event has not occurred with respect to a Restricted Common Unit, and such Restricted Common Unit has not vested and converted into a Common Unit, then as of the Earnout Expiration Date, immediately and without any further action under this Agreement, on such date, any such Restricted Common Units outstanding under this Agreement shall be cancelled and extinguished for no consideration. To the extent that a PMEL RCU is forfeited pursuant to the terms of the applicable PMEL Agreement (with the terms of such agreement as applied to the PMEL RCUs in accordance with the final sentence of Section 9.4), immediately and without any further action under this Agreement, on the date of forfeiture, such PMEL RCU shall be cancelled and extinguished for no consideration. Upon the cancellation and extinguishment of any Restricted Common Unit pursuant to this Section 9.6.5, PubCo shall cancel and extinguish for no consideration the corresponding Acquiror Class B Earnout RSR or Acquiror Class B PMEL RSR on a one-for-one basis, without the consent of the applicable holder thereof.</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00" w:right="40" w:hanging="796"/>
        <w:spacing w:after="0" w:line="257" w:lineRule="auto"/>
        <w:tabs>
          <w:tab w:leader="none" w:pos="780" w:val="left"/>
        </w:tabs>
        <w:rPr>
          <w:sz w:val="20"/>
          <w:szCs w:val="20"/>
          <w:color w:val="auto"/>
        </w:rPr>
      </w:pPr>
      <w:r>
        <w:rPr>
          <w:rFonts w:ascii="Times New Roman" w:cs="Times New Roman" w:eastAsia="Times New Roman" w:hAnsi="Times New Roman"/>
          <w:sz w:val="18"/>
          <w:szCs w:val="18"/>
          <w:color w:val="auto"/>
        </w:rPr>
        <w:t>9.6.6</w:t>
      </w:r>
      <w:r>
        <w:rPr>
          <w:sz w:val="20"/>
          <w:szCs w:val="20"/>
          <w:color w:val="auto"/>
        </w:rPr>
        <w:tab/>
      </w:r>
      <w:r>
        <w:rPr>
          <w:rFonts w:ascii="Times New Roman" w:cs="Times New Roman" w:eastAsia="Times New Roman" w:hAnsi="Times New Roman"/>
          <w:sz w:val="18"/>
          <w:szCs w:val="18"/>
          <w:i w:val="1"/>
          <w:iCs w:val="1"/>
          <w:color w:val="auto"/>
        </w:rPr>
        <w:t xml:space="preserve">U.S. Tax Treatment </w:t>
      </w:r>
      <w:r>
        <w:rPr>
          <w:rFonts w:ascii="Times New Roman" w:cs="Times New Roman" w:eastAsia="Times New Roman" w:hAnsi="Times New Roman"/>
          <w:sz w:val="18"/>
          <w:szCs w:val="18"/>
          <w:color w:val="auto"/>
        </w:rPr>
        <w:t>The parties hereto intend that, for U.S. federal income tax purposes, (i) the Restricted Common Units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Continuing Partners in connection with the Business Combination Agreement not be treated as being received in connection with the performance of services and (ii) no such Partner be treated as having taxable income or gain as a result of such receipt of such Restricted Common Units or as a result of holding any such Restricted Common Units at the time of any Vesting Event (other than as a result of corrective allocations made pursuant to </w:t>
      </w:r>
      <w:r>
        <w:rPr>
          <w:rFonts w:ascii="Times New Roman" w:cs="Times New Roman" w:eastAsia="Times New Roman" w:hAnsi="Times New Roman"/>
          <w:sz w:val="18"/>
          <w:szCs w:val="18"/>
          <w:u w:val="single" w:color="auto"/>
          <w:color w:val="auto"/>
        </w:rPr>
        <w:t>Section 7.4.10</w:t>
      </w:r>
      <w:r>
        <w:rPr>
          <w:rFonts w:ascii="Times New Roman" w:cs="Times New Roman" w:eastAsia="Times New Roman" w:hAnsi="Times New Roman"/>
          <w:sz w:val="18"/>
          <w:szCs w:val="18"/>
          <w:color w:val="auto"/>
        </w:rPr>
        <w:t>) and the Partnership shall prepare and file all tax returns consistent therewith unless otherwise required by a “determination” within the meaning of Section 1313(a) of the Code.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Transfers of Units</w:t>
      </w:r>
    </w:p>
    <w:p>
      <w:pPr>
        <w:spacing w:after="0" w:line="272" w:lineRule="exact"/>
        <w:rPr>
          <w:sz w:val="20"/>
          <w:szCs w:val="20"/>
          <w:color w:val="auto"/>
        </w:rPr>
      </w:pPr>
    </w:p>
    <w:p>
      <w:pPr>
        <w:ind w:left="800" w:hanging="796"/>
        <w:spacing w:after="0" w:line="270" w:lineRule="auto"/>
        <w:tabs>
          <w:tab w:leader="none" w:pos="7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i w:val="1"/>
          <w:iCs w:val="1"/>
          <w:color w:val="auto"/>
        </w:rPr>
        <w:t xml:space="preserve">Restriction on Transfers </w:t>
      </w:r>
      <w:r>
        <w:rPr>
          <w:rFonts w:ascii="Times New Roman" w:cs="Times New Roman" w:eastAsia="Times New Roman" w:hAnsi="Times New Roman"/>
          <w:sz w:val="17"/>
          <w:szCs w:val="17"/>
          <w:color w:val="auto"/>
        </w:rPr>
        <w:t>Except as otherwise agreed to in writing between the General Partner and the applicable Partner and reflected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books and records of the Partnership or as otherwise provided in this Section 10, but without limiting the Lock-Up Agreement, no Partner may Transfer all or any portion of its Units or other interest in the Partnership (or beneficial interest therein) without the prior consent of the General Partner, which consent may be given or withheld, or made subject to such conditions (including the receipt of such legal opinions and other documents that the General Partner may require) as are determined by the General Partner, in each case in the General Partner’s sole discretion, and which consent may be in the form of a plan or program entered into or approved by the General Partner, in its sole discretion. Any such determination in the General Partner’s sole discretion in respect of Units shall be final and binding. Such determinations need not be uniform and may be made selectively among Partners, whether or not such Partners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Partner Transfers all or a portion of its Common Units to a Transferee in compliance with this Agreement, the Partner shall transfer to such Transferee an equal number of Class B Common Shares.</w:t>
      </w:r>
    </w:p>
    <w:p>
      <w:pPr>
        <w:spacing w:after="0" w:line="227" w:lineRule="exact"/>
        <w:rPr>
          <w:sz w:val="20"/>
          <w:szCs w:val="20"/>
          <w:color w:val="auto"/>
        </w:rPr>
      </w:pPr>
    </w:p>
    <w:p>
      <w:pPr>
        <w:ind w:left="800" w:right="180" w:hanging="796"/>
        <w:spacing w:after="0" w:line="258" w:lineRule="auto"/>
        <w:tabs>
          <w:tab w:leader="none" w:pos="7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i w:val="1"/>
          <w:iCs w:val="1"/>
          <w:color w:val="auto"/>
        </w:rPr>
        <w:t xml:space="preserve">Lock-Up Period </w:t>
      </w:r>
      <w:r>
        <w:rPr>
          <w:rFonts w:ascii="Times New Roman" w:cs="Times New Roman" w:eastAsia="Times New Roman" w:hAnsi="Times New Roman"/>
          <w:sz w:val="18"/>
          <w:szCs w:val="18"/>
          <w:color w:val="auto"/>
        </w:rPr>
        <w:t>Each Partner hereby agrees and covenants that such Partner will not, during the Lock-Up Period, Transfer any Units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or any equity interests of PubCo (including any Class A Common Shares or Class B Common Shares) received or retained as consideration under the Business Combination Agreement, including any securities held in escrow or otherwise issued or delivered after the Closing pursuant to the Business Combination Agreement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Prohibited Transfer</w:t>
      </w:r>
      <w:r>
        <w:rPr>
          <w:rFonts w:ascii="Times New Roman" w:cs="Times New Roman" w:eastAsia="Times New Roman" w:hAnsi="Times New Roman"/>
          <w:sz w:val="18"/>
          <w:szCs w:val="18"/>
          <w:color w:val="auto"/>
        </w:rPr>
        <w:t xml:space="preserve">”) except to the extent provided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879475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191" w:name="page192"/>
    <w:bookmarkEnd w:id="191"/>
    <w:p>
      <w:pPr>
        <w:ind w:left="800" w:right="40"/>
        <w:spacing w:after="0" w:line="253" w:lineRule="auto"/>
        <w:rPr>
          <w:sz w:val="20"/>
          <w:szCs w:val="20"/>
          <w:color w:val="auto"/>
        </w:rPr>
      </w:pPr>
      <w:r>
        <w:rPr>
          <w:rFonts w:ascii="Times New Roman" w:cs="Times New Roman" w:eastAsia="Times New Roman" w:hAnsi="Times New Roman"/>
          <w:sz w:val="18"/>
          <w:szCs w:val="18"/>
          <w:color w:val="auto"/>
        </w:rPr>
        <w:t xml:space="preserve">applicable restrictions on Transfer are waived in accordance with the Lock-Up Agreement. If any Prohibited Transfer is made or attempted contrary to the provisions of this Agreement, such purported Prohibited Transfer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the Partnership and PubCo shall refuse to recognize any such purported transferee of the Restricted Securities as one of its equity holders for any purpose. In order to enforce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the Partnership and PubCo may impose stop-transfer instructions with respect to the Restricted Securities of each Partner until the end of the Lock-Up Period, as well as include customary legends on any certificates for any of the Restricted Securities reflecting the restrictions under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00" w:hanging="79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i w:val="1"/>
          <w:iCs w:val="1"/>
          <w:color w:val="auto"/>
        </w:rPr>
        <w:t xml:space="preserve">End of Lock-Up Period </w:t>
      </w:r>
      <w:r>
        <w:rPr>
          <w:rFonts w:ascii="Times New Roman" w:cs="Times New Roman" w:eastAsia="Times New Roman" w:hAnsi="Times New Roman"/>
          <w:sz w:val="18"/>
          <w:szCs w:val="18"/>
          <w:color w:val="auto"/>
        </w:rPr>
        <w:t>Notwithstanding anything otherwise to the contrary in this Agreement, following the expiration of the Lock-Up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Partner that is a Partner holding at least 3% of the Common Percentage Interest (excluding, for purposes of this calculation, Common Units then owned by PubCo or any Subsidiary of PubCo (if any)) may Transfer all or any portion of its Common Units in a Transfer that complies with Section 10.5, without the consent of the General Partner or any other Person.</w:t>
      </w:r>
    </w:p>
    <w:p>
      <w:pPr>
        <w:spacing w:after="0" w:line="234" w:lineRule="exact"/>
        <w:rPr>
          <w:sz w:val="20"/>
          <w:szCs w:val="20"/>
          <w:color w:val="auto"/>
        </w:rPr>
      </w:pPr>
    </w:p>
    <w:p>
      <w:pPr>
        <w:ind w:left="800" w:right="8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i w:val="1"/>
          <w:iCs w:val="1"/>
          <w:color w:val="auto"/>
        </w:rPr>
        <w:t xml:space="preserve">Exchange Transactions </w:t>
      </w:r>
      <w:r>
        <w:rPr>
          <w:rFonts w:ascii="Times New Roman" w:cs="Times New Roman" w:eastAsia="Times New Roman" w:hAnsi="Times New Roman"/>
          <w:sz w:val="18"/>
          <w:szCs w:val="18"/>
          <w:color w:val="auto"/>
        </w:rPr>
        <w:t>Notwithstanding anything otherwise to the contrary in this Agreement, following the expiration of the Lock-Up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Partner may Transfer Units in Exchange Transactions pursuant to, and in accordance with,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Partner other than a Partner holding at least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of the Common Percentage Interest (excluding, for purposes of this calculation, Common Units then owned by the PubCo (if any) or any Subsidiary of the PubCo (if any)), such Exchange Transactions shall be effected in compliance with reasonable policies that the General Partner may adopt or promulgate from time to time and advise the Partners of in writing (including policies requiring the use of designated administrators or brokers)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policies conflict with the terms of the Exchange Agreement, the provisions of the Exchange Agreement shall apply in lieu thereof to any Exchange Transaction to the extent of such conflict.</w:t>
      </w:r>
    </w:p>
    <w:p>
      <w:pPr>
        <w:spacing w:after="0" w:line="239" w:lineRule="exact"/>
        <w:rPr>
          <w:sz w:val="20"/>
          <w:szCs w:val="20"/>
          <w:color w:val="auto"/>
        </w:rPr>
      </w:pPr>
    </w:p>
    <w:p>
      <w:pPr>
        <w:ind w:left="800" w:hanging="796"/>
        <w:spacing w:after="0" w:line="252" w:lineRule="auto"/>
        <w:tabs>
          <w:tab w:leader="none" w:pos="7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i w:val="1"/>
          <w:iCs w:val="1"/>
          <w:color w:val="auto"/>
        </w:rPr>
        <w:t xml:space="preserve">Family Group and Affiliate Transfers </w:t>
      </w:r>
      <w:r>
        <w:rPr>
          <w:rFonts w:ascii="Times New Roman" w:cs="Times New Roman" w:eastAsia="Times New Roman" w:hAnsi="Times New Roman"/>
          <w:sz w:val="18"/>
          <w:szCs w:val="18"/>
          <w:color w:val="auto"/>
        </w:rPr>
        <w:t>Notwithstanding anything otherwise to the contrary in this Section 10.1, but subject to the limitations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herein and compliance with, and to the extent otherwise permitted by, the Lock-Up Agreement, an individual Partner may Transfer all or any portion of his, her or its Restricted Securities without consideration to (i) any member of his or her Family Group or (ii) any Affiliate of such Partner (including any direct or indirect partner, shareholder, equityholder of such Partner or any Affiliated investment fund or vehicle of such Partner or such Partner’s direct or indirect partners, shareholders or equityholders), but excluding any Affiliate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who operates or engages in a business which competes with the business of PubCo or the Partnership and (iii) to a trust solely for the benefit of such Partner and such Partner’s Family Group (or a re-Transfer of such Restricted Securities by such trust back to such Partner upon the revocation of any such trust) or pursuant to the applicable Laws of descent or distribution among such Partner’s Family Group, in each case, in a Transfer that complies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(each of clauses (i)-(iii), an “</w:t>
      </w:r>
      <w:r>
        <w:rPr>
          <w:rFonts w:ascii="Times New Roman" w:cs="Times New Roman" w:eastAsia="Times New Roman" w:hAnsi="Times New Roman"/>
          <w:sz w:val="18"/>
          <w:szCs w:val="18"/>
          <w:b w:val="1"/>
          <w:bCs w:val="1"/>
          <w:color w:val="auto"/>
        </w:rPr>
        <w:t>Exempt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restrictions contained in this Section 10 shall apply to an Exempt Transfer and (y) the restrictions contained in this Agreement will continue to apply to the Restricted Securities after any Exempt Transfer and each Transferee of Restricted Securities shall agree in writing, by entering into an appropriate supplemental agreement in such form and terms as the General Partner may reasonably specify, prior to and as a condition precedent to the effectiveness of such Exempt Transfer, to be bound by the provisions of this Agreement, without modification or condition, subject only to the consummation of such Exempt Transfer. Upon the Exempt Transfer of Restricted Securities, the transferor will deliver written notice to the Partnership, which notice will disclose in reasonable detail the identity of such Transferee(s) and shall include an executed original counterpart of this Agreement in a form acceptable to the General Partner. Notwithstanding the foregoing and any other term in this Agreement, (a) notice of such an Exempt Transfer shall be forthwith advertised in </w:t>
      </w:r>
      <w:r>
        <w:rPr>
          <w:rFonts w:ascii="Times New Roman" w:cs="Times New Roman" w:eastAsia="Times New Roman" w:hAnsi="Times New Roman"/>
          <w:sz w:val="18"/>
          <w:szCs w:val="18"/>
          <w:i w:val="1"/>
          <w:iCs w:val="1"/>
          <w:color w:val="auto"/>
        </w:rPr>
        <w:t>Iris Oifigiúil</w:t>
      </w:r>
      <w:r>
        <w:rPr>
          <w:rFonts w:ascii="Times New Roman" w:cs="Times New Roman" w:eastAsia="Times New Roman" w:hAnsi="Times New Roman"/>
          <w:sz w:val="18"/>
          <w:szCs w:val="18"/>
          <w:color w:val="auto"/>
        </w:rPr>
        <w:t xml:space="preserve"> as so required by the Act, and until notice of such transfer is so advertised, the arrangement or transaction shall, for the purposes of the Act, be deemed to be of no effect, and (b) no party hereto shall avoid the provisions of this Agreement by making one or more Exempt Transfers to one or more Transferees and then disposing of all or any portion of such party’s interest in such Transferee if such disposition would result in such Transferee ceasing to be a Permitted Transferee. Without limiting the Lock-Up Agreement, the General Partner may implement other policies and procedures to permit the Transfer of Restricted Securities by the Partners for personal planning purposes and any such Transfer effected in compliance with such policies and procedures shall not require the prior consent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1017905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192" w:name="page193"/>
    <w:bookmarkEnd w:id="192"/>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20" w:right="22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i w:val="1"/>
          <w:iCs w:val="1"/>
          <w:color w:val="auto"/>
        </w:rPr>
        <w:t xml:space="preserve">Purported Transfers Void </w:t>
      </w:r>
      <w:r>
        <w:rPr>
          <w:rFonts w:ascii="Times New Roman" w:cs="Times New Roman" w:eastAsia="Times New Roman" w:hAnsi="Times New Roman"/>
          <w:sz w:val="18"/>
          <w:szCs w:val="18"/>
          <w:color w:val="auto"/>
        </w:rPr>
        <w:t>Any Transfer or attempted Transfer of any Units in violation of any provision of this Agreement shall,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Partnership will not record such Transfer on its books or treat any purported Transferee of such Units as the owner of such securities for any purpose.</w:t>
      </w:r>
    </w:p>
    <w:p>
      <w:pPr>
        <w:spacing w:after="0" w:line="225" w:lineRule="exact"/>
        <w:rPr>
          <w:sz w:val="20"/>
          <w:szCs w:val="20"/>
          <w:color w:val="auto"/>
        </w:rPr>
      </w:pPr>
    </w:p>
    <w:p>
      <w:pPr>
        <w:ind w:left="820" w:right="100" w:hanging="796"/>
        <w:spacing w:after="0" w:line="259" w:lineRule="auto"/>
        <w:tabs>
          <w:tab w:leader="none" w:pos="8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Mandatory Exchanges </w:t>
      </w:r>
      <w:r>
        <w:rPr>
          <w:rFonts w:ascii="Times New Roman" w:cs="Times New Roman" w:eastAsia="Times New Roman" w:hAnsi="Times New Roman"/>
          <w:sz w:val="18"/>
          <w:szCs w:val="18"/>
          <w:color w:val="auto"/>
        </w:rPr>
        <w:t>The Partnership may, with the approval of the board of the General Partner, at any time and from time to time,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consent of any Partner or other Person, cause to be Transferred to PubCo in an Exchange Transaction any and all Units, except for Units held by any Partner holding at least 3% of the Common Percentage Interest (excluding, for purposes of this calculation, Common Units then owned by PubCo or any Subsidiary of PubCo) (a “</w:t>
      </w:r>
      <w:r>
        <w:rPr>
          <w:rFonts w:ascii="Times New Roman" w:cs="Times New Roman" w:eastAsia="Times New Roman" w:hAnsi="Times New Roman"/>
          <w:sz w:val="18"/>
          <w:szCs w:val="18"/>
          <w:b w:val="1"/>
          <w:bCs w:val="1"/>
          <w:color w:val="auto"/>
        </w:rPr>
        <w:t>Mandatory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after the expiration of the Lock-Up Period:</w:t>
      </w:r>
    </w:p>
    <w:p>
      <w:pPr>
        <w:spacing w:after="0" w:line="89" w:lineRule="exact"/>
        <w:rPr>
          <w:sz w:val="20"/>
          <w:szCs w:val="20"/>
          <w:color w:val="auto"/>
        </w:rPr>
      </w:pPr>
    </w:p>
    <w:p>
      <w:pPr>
        <w:jc w:val="both"/>
        <w:ind w:right="160" w:firstLine="8"/>
        <w:spacing w:after="0" w:line="266" w:lineRule="auto"/>
        <w:tabs>
          <w:tab w:leader="none" w:pos="2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General Partner is not a wholly-owned Subsidiary of PubCo or (y) for any other reason the Partnership’s nationally recognized tax advisors are unable to render an opinion to the Partnership at least at a “more likely than not” level of comfort that a wholly-owned Subsidiary of PubCo constitutes a “general partner” within the meaning of Treasury Regulations Section 1.7704-1(k)(1),</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more than seventy-five (75) “partners”, within the meaning of Treasury Regulations Section 1.7704-1(h) (but looking through all entities treated as transparent or flow-throughs for U.S. federal income tax purposes), and</w:t>
      </w:r>
    </w:p>
    <w:p>
      <w:pPr>
        <w:spacing w:after="0" w:line="53" w:lineRule="exact"/>
        <w:rPr>
          <w:rFonts w:ascii="Times New Roman" w:cs="Times New Roman" w:eastAsia="Times New Roman" w:hAnsi="Times New Roman"/>
          <w:sz w:val="18"/>
          <w:szCs w:val="18"/>
          <w:color w:val="auto"/>
        </w:rPr>
      </w:pPr>
    </w:p>
    <w:p>
      <w:pPr>
        <w:ind w:right="100" w:firstLine="8"/>
        <w:spacing w:after="0" w:line="256" w:lineRule="auto"/>
        <w:tabs>
          <w:tab w:leader="none" w:pos="2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binding agreements by and among Partners and the Partnership and/or its assignees to sell Units in a manner that will not cause the Partnership to be classified as a “publicly traded partnership” within the meaning of Section 7704 of the Code pursuant to one or more closings that will occur no later than seventy-five (75) days of expiration of the Lock-Up Period and that would cause the Partnership to have seventy-five (75) or fewer “partners”, within the meaning of Treasury Regulations Section 1.7704-1(h) (but looking through all entities treated as transparent or flow-throughs for U.S. federal income tax purposes), upon the consummation of the transactions contemplated by such agreements (including, agreements to tender Units to the Partnership or one or more purchasers approved by the Partnership),</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the Partnership shall promptly, and in any event within seventy-five (75) days of the expiration of the Lock-Up Period, cause a Mandatory Exchange to be effected with respect to a number of Partners holding less than 3% of the Common Percentage Interest (excluding, for purposes of this calculation, Common Units then owned by PubCo or any Subsidiary of PubCo) sufficient to cause the Partnership to have no more than seventy-five (75) “partners”, within the meaning of Treasury Regulations Section 1.7704-1(h) (but looking through all entities treated as transparent or flow-throughs for U.S. federal income tax purposes), upon the consummation of such Mandatory Exchange. Any Mandatory Exchange need not be uniform and may be made by the Partnership and PubCo selectively among Partners, whether or not such Partners are similarly situated; provided that, in the event that a tender offer, share exchange offer, take-over bid, recapitalization or similar transaction with respect to any Class A Common Shares (a “</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is proposed by PubCo or is proposed to PubCo or its stockholders and approved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by the PubCo Board or is otherwise effected or to be effected with the consent or approval of the PubCo Board that would result in PubCo undergoing a Change of Control, then the General Partner shall require, and each Partner shall be deemed to effect, an Exchange Transaction with respect to any and all Units held by all Partners conditioned upon, and subject to, the consummation of such PubCo Offer or Change of Control, in each case, to the extent that such Partner has not effected an Exchange Transaction with respect to all of its Units prior to the consummation of such transaction.</w:t>
      </w:r>
    </w:p>
    <w:p>
      <w:pPr>
        <w:spacing w:after="0" w:line="3"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Approved Qualified Transaction</w:t>
      </w:r>
    </w:p>
    <w:p>
      <w:pPr>
        <w:spacing w:after="0" w:line="272"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i w:val="1"/>
          <w:iCs w:val="1"/>
          <w:color w:val="auto"/>
        </w:rPr>
        <w:t xml:space="preserve">Drag-Along Right </w:t>
      </w:r>
      <w:r>
        <w:rPr>
          <w:rFonts w:ascii="Times New Roman" w:cs="Times New Roman" w:eastAsia="Times New Roman" w:hAnsi="Times New Roman"/>
          <w:sz w:val="17"/>
          <w:szCs w:val="17"/>
          <w:color w:val="auto"/>
        </w:rPr>
        <w:t>In the event that the General Partner and the holders of a majority of the voting power of all outstanding capital stock of</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PubCo entitled to vote thereon approve a Qualified Transaction (the “</w:t>
      </w:r>
      <w:r>
        <w:rPr>
          <w:rFonts w:ascii="Times New Roman" w:cs="Times New Roman" w:eastAsia="Times New Roman" w:hAnsi="Times New Roman"/>
          <w:sz w:val="18"/>
          <w:szCs w:val="18"/>
          <w:b w:val="1"/>
          <w:bCs w:val="1"/>
          <w:color w:val="auto"/>
        </w:rPr>
        <w:t>Approved Qualified Transaction</w:t>
      </w:r>
      <w:r>
        <w:rPr>
          <w:rFonts w:ascii="Times New Roman" w:cs="Times New Roman" w:eastAsia="Times New Roman" w:hAnsi="Times New Roman"/>
          <w:sz w:val="18"/>
          <w:szCs w:val="18"/>
          <w:color w:val="auto"/>
        </w:rPr>
        <w:t>”), each other Partner (each, a</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Partner</w:t>
      </w:r>
      <w:r>
        <w:rPr>
          <w:rFonts w:ascii="Times New Roman" w:cs="Times New Roman" w:eastAsia="Times New Roman" w:hAnsi="Times New Roman"/>
          <w:sz w:val="18"/>
          <w:szCs w:val="18"/>
          <w:color w:val="auto"/>
        </w:rPr>
        <w:t>”) agrees to Transfer all of such Required Partner’s Units in connection with such Approved Qualified Transaction (the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Right</w:t>
      </w:r>
      <w:r>
        <w:rPr>
          <w:rFonts w:ascii="Times New Roman" w:cs="Times New Roman" w:eastAsia="Times New Roman" w:hAnsi="Times New Roman"/>
          <w:sz w:val="18"/>
          <w:szCs w:val="18"/>
          <w:color w:val="auto"/>
        </w:rPr>
        <w:t>”) for an amount of consideration per Unit and corresponding Class B Common Share equal (before taking into account any</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rights such Required Partner may have under the Tax Receivable Agreement) to the amount of consideration to be received per Class A</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Common Share by the holders thereof (the “</w:t>
      </w:r>
      <w:r>
        <w:rPr>
          <w:rFonts w:ascii="Times New Roman" w:cs="Times New Roman" w:eastAsia="Times New Roman" w:hAnsi="Times New Roman"/>
          <w:sz w:val="18"/>
          <w:szCs w:val="18"/>
          <w:b w:val="1"/>
          <w:bCs w:val="1"/>
          <w:color w:val="auto"/>
        </w:rPr>
        <w:t>Drag Price</w:t>
      </w:r>
      <w:r>
        <w:rPr>
          <w:rFonts w:ascii="Times New Roman" w:cs="Times New Roman" w:eastAsia="Times New Roman" w:hAnsi="Times New Roman"/>
          <w:sz w:val="18"/>
          <w:szCs w:val="18"/>
          <w:color w:val="auto"/>
        </w:rPr>
        <w:t>”), and otherwise with respect to such Units on the same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3" w:name="page194"/>
    <w:bookmarkEnd w:id="193"/>
    <w:p>
      <w:pPr>
        <w:ind w:left="820" w:right="60"/>
        <w:spacing w:after="0" w:line="253" w:lineRule="auto"/>
        <w:rPr>
          <w:sz w:val="20"/>
          <w:szCs w:val="20"/>
          <w:color w:val="auto"/>
        </w:rPr>
      </w:pPr>
      <w:r>
        <w:rPr>
          <w:rFonts w:ascii="Times New Roman" w:cs="Times New Roman" w:eastAsia="Times New Roman" w:hAnsi="Times New Roman"/>
          <w:sz w:val="18"/>
          <w:szCs w:val="18"/>
          <w:color w:val="auto"/>
        </w:rPr>
        <w:t xml:space="preserve">conditions as apply to the Class A Common Shares in such Approved Qualified Transaction, with such modifications as are appropriate, as determined in good faith by the General Partner, solely to reflect the fact that Units and corresponding Class B Common Shares rather than Class A Common Shares will be Transferred in the first instance by such Partner. Any Transfer effected in connection with the Drag-Along Right shall be structured in the sole discretion of the General Partner and, without limitation to any other structure, the General Partner will use its reasonable best efforts expeditiously and in good faith to take all such actions and do all such things as are necessary or desirable to enable and permit the Partners to participate in such Approved Qualified Transaction to the same extent or on an economically equivalent basis as the holders of Class A Common Shares without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sentence, the General Partner will use its reasonable best efforts expeditiously and in good faith to ensure that such Partners may participate in each such Approved Qualified Transaction without being required to have their Common Units and Class B Common Shares redeemed (or, if so required, to ensure that any such redemption shall be effective only upon, and shall be conditional upon, the closing of such Approved Qualified Transaction, or, as applicable, to the extent necessary to exchange the number of Common Units being repurchased).</w:t>
      </w:r>
    </w:p>
    <w:p>
      <w:pPr>
        <w:spacing w:after="0" w:line="242" w:lineRule="exact"/>
        <w:rPr>
          <w:sz w:val="20"/>
          <w:szCs w:val="20"/>
          <w:color w:val="auto"/>
        </w:rPr>
      </w:pPr>
    </w:p>
    <w:p>
      <w:pPr>
        <w:ind w:left="820" w:right="80" w:hanging="796"/>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i w:val="1"/>
          <w:iCs w:val="1"/>
          <w:color w:val="auto"/>
        </w:rPr>
        <w:t xml:space="preserve">Drag-Along Notice </w:t>
      </w:r>
      <w:r>
        <w:rPr>
          <w:rFonts w:ascii="Times New Roman" w:cs="Times New Roman" w:eastAsia="Times New Roman" w:hAnsi="Times New Roman"/>
          <w:sz w:val="18"/>
          <w:szCs w:val="18"/>
          <w:color w:val="auto"/>
        </w:rPr>
        <w:t>PubCo shall send written notice (the “</w:t>
      </w:r>
      <w:r>
        <w:rPr>
          <w:rFonts w:ascii="Times New Roman" w:cs="Times New Roman" w:eastAsia="Times New Roman" w:hAnsi="Times New Roman"/>
          <w:sz w:val="18"/>
          <w:szCs w:val="18"/>
          <w:b w:val="1"/>
          <w:bCs w:val="1"/>
          <w:color w:val="auto"/>
        </w:rPr>
        <w:t>Drag-Along Notice</w:t>
      </w:r>
      <w:r>
        <w:rPr>
          <w:rFonts w:ascii="Times New Roman" w:cs="Times New Roman" w:eastAsia="Times New Roman" w:hAnsi="Times New Roman"/>
          <w:sz w:val="18"/>
          <w:szCs w:val="18"/>
          <w:color w:val="auto"/>
        </w:rPr>
        <w:t>”) to the Partnership and the Required Partners at least thirty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prior to the closing of the Approved Qualified Transaction notifying them that such Required Partners will be required to sell all (but not less than all) of their Units in such sale, and setting forth (i) a copy of the written proposal or agreement pursuant to which the Approved Qualified Transaction will be effected, (ii) the Drag Price, (iii) the terms and conditions of Transfer and payment and (iv) the date and location of and procedures for selling the Units. In the event that the information set forth in the Drag-Along Notice changes from that set forth in the initial Drag-Along Notice, a subsequent Drag-Along Notice shall be delivered by PubCo no less than seven (7) days prior to the closing of the Approved Qualified Transaction. Notwithstanding the foregoing, to the extent that any of the foregoing information to be included in the Drag-Along Notice is publicly available, PubCo shall not be required to include such information in the Drag-Along Notice or deliver a subsequent Drag-Along Notice. Each Required Partner shall thereafter be obligated to sell their Units and corresponding Class B Common Shares on the terms set forth in the Drag-Along Notice.</w:t>
      </w: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20" w:right="20" w:hanging="796"/>
        <w:spacing w:after="0" w:line="271" w:lineRule="auto"/>
        <w:tabs>
          <w:tab w:leader="none" w:pos="80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7"/>
          <w:szCs w:val="17"/>
          <w:i w:val="1"/>
          <w:iCs w:val="1"/>
          <w:color w:val="auto"/>
        </w:rPr>
        <w:t xml:space="preserve">Obligation of Required Partners to Sell </w:t>
      </w:r>
      <w:r>
        <w:rPr>
          <w:rFonts w:ascii="Times New Roman" w:cs="Times New Roman" w:eastAsia="Times New Roman" w:hAnsi="Times New Roman"/>
          <w:sz w:val="17"/>
          <w:szCs w:val="17"/>
          <w:color w:val="auto"/>
        </w:rPr>
        <w:t>Upon receipt of a Drag-Along Notice, each Required Partner receiving such notice shall be obligated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sell all of its Units and corresponding Class B Common Shares in the Approved Qualified Transaction as contemplated by the Drag-Along Notice for the Drag Price, on the terms and conditions described in this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including by executing any document containing customary representations, warranties and agreements with respect to itself and its ownership of the Units or Class B Common Shares, as applicable, as requested by the General Partner in connection with the Approved Qualified Transaction, which representations, warranties, indemnities and agreements shall be substantially the same as those contained in any letter of transmittal to be executed by the holders of Class A Common Shares with such modifications as are appropriate, as determined in good faith by the General Partner, solely to reflect the fact that Units or Class B Common Shares, as applicable, rather than Class A Common Shares will be transferred by such Required Partner. The General Partner and each Required Partner shall cooperate in good faith in connection with the consummation of the Approved Qualified Transaction.</w:t>
      </w:r>
    </w:p>
    <w:p>
      <w:pPr>
        <w:spacing w:after="0" w:line="22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Encumbrances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Partner or Assignee may create an Encumbrance with respect to all or any portion of its Units (or any beneficial interest therein) other than Encumbrances that run in favor of the Partner unless the General Partner consents in writing thereto, which consent may be given or withheld, or made subject to such conditions as are determined by the General Partner, in the General Partner’s sole discretion (but without limiting the Lock-Up Agreement). Consent of the General Partner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3"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Further Restrictions</w:t>
      </w:r>
      <w:r>
        <w:rPr>
          <w:rFonts w:ascii="Times New Roman" w:cs="Times New Roman" w:eastAsia="Times New Roman" w:hAnsi="Times New Roman"/>
          <w:sz w:val="17"/>
          <w:szCs w:val="17"/>
          <w:i w:val="1"/>
          <w:iCs w:val="1"/>
          <w:color w:val="auto"/>
        </w:rPr>
        <w:t>.</w:t>
      </w:r>
    </w:p>
    <w:p>
      <w:pPr>
        <w:spacing w:after="0" w:line="272" w:lineRule="exact"/>
        <w:rPr>
          <w:sz w:val="20"/>
          <w:szCs w:val="20"/>
          <w:color w:val="auto"/>
        </w:rPr>
      </w:pPr>
    </w:p>
    <w:p>
      <w:pPr>
        <w:ind w:left="820" w:right="4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8"/>
          <w:szCs w:val="18"/>
          <w:i w:val="1"/>
          <w:iCs w:val="1"/>
          <w:color w:val="auto"/>
        </w:rPr>
        <w:t xml:space="preserve">Terms for New Issuances </w:t>
      </w:r>
      <w:r>
        <w:rPr>
          <w:rFonts w:ascii="Times New Roman" w:cs="Times New Roman" w:eastAsia="Times New Roman" w:hAnsi="Times New Roman"/>
          <w:sz w:val="18"/>
          <w:szCs w:val="18"/>
          <w:color w:val="auto"/>
        </w:rPr>
        <w:t>Units issued from time to time after the date of this Agreement, including Units issued under equity incentive plans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or PubCo (or upon settlement of awards granted under such plans), may be subject to such additional or other terms and conditions, including with regard to vesting, forfeiture, minimum retained ownership and Transfer, as may be agreed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194" w:name="page195"/>
    <w:bookmarkEnd w:id="194"/>
    <w:p>
      <w:pPr>
        <w:ind w:left="820"/>
        <w:spacing w:after="0" w:line="261" w:lineRule="auto"/>
        <w:rPr>
          <w:sz w:val="20"/>
          <w:szCs w:val="20"/>
          <w:color w:val="auto"/>
        </w:rPr>
      </w:pPr>
      <w:r>
        <w:rPr>
          <w:rFonts w:ascii="Times New Roman" w:cs="Times New Roman" w:eastAsia="Times New Roman" w:hAnsi="Times New Roman"/>
          <w:sz w:val="18"/>
          <w:szCs w:val="18"/>
          <w:color w:val="auto"/>
        </w:rPr>
        <w:t>the General Partner and the applicable Partner and reflected in the books and records of the Partnership. Such requirements, provisions and restrictions need not be uniform and may be waived or released by the General Partner in its sole discretion with respect to all or a portion of the Units owned by any one or more Partners at any time and from time to time, and shall not constitute the breach of any duty hereunder or otherwise existing at law, in equity or otherwise.</w:t>
      </w:r>
    </w:p>
    <w:p>
      <w:pPr>
        <w:spacing w:after="0" w:line="232" w:lineRule="exact"/>
        <w:rPr>
          <w:sz w:val="20"/>
          <w:szCs w:val="20"/>
          <w:color w:val="auto"/>
        </w:rPr>
      </w:pPr>
    </w:p>
    <w:p>
      <w:pPr>
        <w:ind w:left="820" w:right="60" w:hanging="796"/>
        <w:spacing w:after="0" w:line="284" w:lineRule="auto"/>
        <w:tabs>
          <w:tab w:leader="none" w:pos="80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8"/>
          <w:szCs w:val="18"/>
          <w:i w:val="1"/>
          <w:iCs w:val="1"/>
          <w:color w:val="auto"/>
        </w:rPr>
        <w:t xml:space="preserve">Prohibitions on Transfer </w:t>
      </w:r>
      <w:r>
        <w:rPr>
          <w:rFonts w:ascii="Times New Roman" w:cs="Times New Roman" w:eastAsia="Times New Roman" w:hAnsi="Times New Roman"/>
          <w:sz w:val="18"/>
          <w:szCs w:val="18"/>
          <w:color w:val="auto"/>
        </w:rPr>
        <w:t>Notwithstanding any contrary provision in this Agreement, in no event may any Transfer of a Unit (other than,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in accordance with the Exchange Agreement) be made by any Partner or Assignee if the General Partner determines that:</w:t>
      </w:r>
    </w:p>
    <w:p>
      <w:pPr>
        <w:spacing w:after="0" w:line="66" w:lineRule="exact"/>
        <w:rPr>
          <w:sz w:val="20"/>
          <w:szCs w:val="20"/>
          <w:color w:val="auto"/>
        </w:rPr>
      </w:pPr>
    </w:p>
    <w:p>
      <w:pPr>
        <w:ind w:left="260" w:hanging="252"/>
        <w:spacing w:after="0"/>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Unit;</w:t>
      </w:r>
    </w:p>
    <w:p>
      <w:pPr>
        <w:spacing w:after="0" w:line="117" w:lineRule="exact"/>
        <w:rPr>
          <w:rFonts w:ascii="Times New Roman" w:cs="Times New Roman" w:eastAsia="Times New Roman" w:hAnsi="Times New Roman"/>
          <w:sz w:val="18"/>
          <w:szCs w:val="18"/>
          <w:color w:val="auto"/>
        </w:rPr>
      </w:pPr>
    </w:p>
    <w:p>
      <w:pPr>
        <w:ind w:right="240" w:firstLine="8"/>
        <w:spacing w:after="0" w:line="257"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an Exchange Transaction, such Transfer would require the registration of such transferred Unit or of any Class of Unit pursuant to any applicable U.S. federal or state securities Laws (including, without limitation, the Securities Act or the Exchange Act) or other non-U.S. securities Laws or would constitute a non-exempt distribution pursuant to applicable provincial or state securities Laws;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61"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(i) all or any portion of the assets of the Partnership to (A) constitute “plan assets” (under ERISA, the Code or any applicable Similar Law) of any existing or contemplated Partner, or (B) be subject to the provisions of ERISA, Section 4975 of the Code or any applicable Similar Law, or (ii) the General Partner or PubCo to become a fiduciary with respect to any existing or contemplated Partner, pursuant to ERISA, any applicable Similar Law, or otherwise;</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a breach of Section 2.12;</w:t>
      </w:r>
    </w:p>
    <w:p>
      <w:pPr>
        <w:spacing w:after="0" w:line="117" w:lineRule="exact"/>
        <w:rPr>
          <w:rFonts w:ascii="Times New Roman" w:cs="Times New Roman" w:eastAsia="Times New Roman" w:hAnsi="Times New Roman"/>
          <w:sz w:val="18"/>
          <w:szCs w:val="18"/>
          <w:color w:val="auto"/>
        </w:rPr>
      </w:pPr>
    </w:p>
    <w:p>
      <w:pPr>
        <w:ind w:right="60" w:firstLine="8"/>
        <w:spacing w:after="0" w:line="258"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requested by the General Partner, the Partnership does not receive such legal and/or tax opinions and written instruments (including copies of any instruments of Transfer and such Assignee’s consent to be bound by this Agreement as an Assignee) that are in a form satisfactory to the General Partner, as determined in the General Partner’s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legal and/or tax opinions shall be required for a Transfer by a Partner holding at least 3% of the Common Percentage Interest (excluding, for purposes of this calculation, Common Units then owned by PubCo (if any) or any Subsidiary of PubCo (if any));</w:t>
      </w:r>
    </w:p>
    <w:p>
      <w:pPr>
        <w:spacing w:after="0" w:line="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the Partnership to be treated as having more than seventy-five (75) “partners” within the meaning of Treasury Regulations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1.7704-1(h) but looking through all entities treated as transparent or flow-through for U.S. federal income tax purposes or if the Partnership already has more than seventy-five (75) “partners” but such issuance would further increase the number of “partners” in the Partnership;</w:t>
      </w:r>
    </w:p>
    <w:p>
      <w:pPr>
        <w:spacing w:after="0" w:line="69" w:lineRule="exact"/>
        <w:rPr>
          <w:rFonts w:ascii="Times New Roman" w:cs="Times New Roman" w:eastAsia="Times New Roman" w:hAnsi="Times New Roman"/>
          <w:sz w:val="18"/>
          <w:szCs w:val="18"/>
          <w:color w:val="auto"/>
        </w:rPr>
      </w:pPr>
    </w:p>
    <w:p>
      <w:pPr>
        <w:ind w:firstLine="8"/>
        <w:spacing w:after="0" w:line="286" w:lineRule="auto"/>
        <w:tabs>
          <w:tab w:leader="none" w:pos="2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reasonably determine that such Transfer would pose a material risk that the Partnership would be treated as a “</w:t>
      </w:r>
      <w:r>
        <w:rPr>
          <w:rFonts w:ascii="Times New Roman" w:cs="Times New Roman" w:eastAsia="Times New Roman" w:hAnsi="Times New Roman"/>
          <w:sz w:val="18"/>
          <w:szCs w:val="18"/>
          <w:b w:val="1"/>
          <w:bCs w:val="1"/>
          <w:color w:val="auto"/>
        </w:rPr>
        <w:t>publicly traded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within the meaning of Section 7704 of the Code and the Treasury Regulations promulgated thereunder.</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All determinations with respect to this Section 10.5 shall be made by the General Partner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such determinations with respect to a Partner holding at least 3% of the Common Percentage Interest (excluding, for purposes of this calculation, Common Units then owned by PubCo (if any) or any Subsidiary of PubCo (if any)) shall be made by the General Partner exercising its reasonable discretion.</w:t>
      </w:r>
    </w:p>
    <w:p>
      <w:pPr>
        <w:spacing w:after="0" w:line="1" w:lineRule="exact"/>
        <w:rPr>
          <w:sz w:val="20"/>
          <w:szCs w:val="20"/>
          <w:color w:val="auto"/>
        </w:rPr>
      </w:pPr>
    </w:p>
    <w:p>
      <w:pPr>
        <w:ind w:left="820" w:right="300" w:hanging="796"/>
        <w:spacing w:after="0" w:line="273" w:lineRule="auto"/>
        <w:tabs>
          <w:tab w:leader="none" w:pos="800" w:val="left"/>
        </w:tabs>
        <w:rPr>
          <w:sz w:val="20"/>
          <w:szCs w:val="20"/>
          <w:color w:val="auto"/>
        </w:rPr>
      </w:pPr>
      <w:r>
        <w:rPr>
          <w:rFonts w:ascii="Times New Roman" w:cs="Times New Roman" w:eastAsia="Times New Roman" w:hAnsi="Times New Roman"/>
          <w:sz w:val="18"/>
          <w:szCs w:val="18"/>
          <w:color w:val="auto"/>
        </w:rPr>
        <w:t>10.5.3</w:t>
      </w:r>
      <w:r>
        <w:rPr>
          <w:sz w:val="20"/>
          <w:szCs w:val="20"/>
          <w:color w:val="auto"/>
        </w:rPr>
        <w:tab/>
      </w:r>
      <w:r>
        <w:rPr>
          <w:rFonts w:ascii="Times New Roman" w:cs="Times New Roman" w:eastAsia="Times New Roman" w:hAnsi="Times New Roman"/>
          <w:sz w:val="17"/>
          <w:szCs w:val="17"/>
          <w:i w:val="1"/>
          <w:iCs w:val="1"/>
          <w:color w:val="auto"/>
        </w:rPr>
        <w:t xml:space="preserve">Treasury Regulation, Code and Partner Restrictions </w:t>
      </w:r>
      <w:r>
        <w:rPr>
          <w:rFonts w:ascii="Times New Roman" w:cs="Times New Roman" w:eastAsia="Times New Roman" w:hAnsi="Times New Roman"/>
          <w:sz w:val="17"/>
          <w:szCs w:val="17"/>
          <w:color w:val="auto"/>
        </w:rPr>
        <w:t>In addition, notwithstanding any contrary provision in this Agreement, to the extent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Partner shall reasonably determine that interests in the Partnership do not meet the requirements of Treasury Regulations Section</w:t>
      </w:r>
    </w:p>
    <w:p>
      <w:pPr>
        <w:spacing w:after="0" w:line="1" w:lineRule="exact"/>
        <w:rPr>
          <w:sz w:val="20"/>
          <w:szCs w:val="20"/>
          <w:color w:val="auto"/>
        </w:rPr>
      </w:pPr>
    </w:p>
    <w:p>
      <w:pPr>
        <w:ind w:left="820"/>
        <w:spacing w:after="0" w:line="250" w:lineRule="auto"/>
        <w:rPr>
          <w:sz w:val="20"/>
          <w:szCs w:val="20"/>
          <w:color w:val="auto"/>
        </w:rPr>
      </w:pPr>
      <w:r>
        <w:rPr>
          <w:rFonts w:ascii="Times New Roman" w:cs="Times New Roman" w:eastAsia="Times New Roman" w:hAnsi="Times New Roman"/>
          <w:sz w:val="18"/>
          <w:szCs w:val="18"/>
          <w:color w:val="auto"/>
        </w:rPr>
        <w:t xml:space="preserve">1.7704-1(h) (determined taking into account the rules of Treasury Regulations Section 1.7704-1(h)(3) in a taxable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the Partnership and the General Partner shall assume that each Continuing Partner is treated as a single “partner” within the meaning of Treasury Regulations Section 1.7704-1(h) (determined taking into account the rules of Treasury Regulations Section 1.7704-1(h)(3)) unless otherwise required by applicable Law), in no event may any Transfer or assignment of Units by any Partner be made if such Transfer would (i) be considered to be effected on or through an “established securities market” or a “secondary market or the substantial equivalent thereof” as such terms are used in Treasury Regulations Section 1.7704-1, (ii) materially increase the possibility of the Partnership becoming a “publicly traded partnership” within the meaning of Section 7704 of the Code, or (iii) cause the Partnership to be treated as a “publicly traded partnership” within the meaning of Section 7704 of the Code or successor provision of the Code or to be treated as an association taxable as a corporation pursuant to the Code. For the avoidance of doubt, any Transfer that constitutes 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95" w:name="page196"/>
    <w:bookmarkEnd w:id="195"/>
    <w:p>
      <w:pPr>
        <w:spacing w:after="0" w:line="207" w:lineRule="exact"/>
        <w:rPr>
          <w:sz w:val="20"/>
          <w:szCs w:val="20"/>
          <w:color w:val="auto"/>
        </w:rPr>
      </w:pPr>
    </w:p>
    <w:p>
      <w:pPr>
        <w:ind w:left="800"/>
        <w:spacing w:after="0" w:line="254" w:lineRule="auto"/>
        <w:rPr>
          <w:sz w:val="20"/>
          <w:szCs w:val="20"/>
          <w:color w:val="auto"/>
        </w:rPr>
      </w:pPr>
      <w:r>
        <w:rPr>
          <w:rFonts w:ascii="Times New Roman" w:cs="Times New Roman" w:eastAsia="Times New Roman" w:hAnsi="Times New Roman"/>
          <w:sz w:val="18"/>
          <w:szCs w:val="18"/>
          <w:color w:val="auto"/>
        </w:rPr>
        <w:t>“block transfer” within the meaning of Treasury Regulation Section 1.7704-1(e)(2) shall not be considered to be (i) effected on or through an “established securities market” or a “secondary market or the substantial equivalent thereof” as such terms are used in Treasury Regulations Section 1.7704-1, (ii) materially increase the possibility of the Partnership becoming a “publicly traded partnership” within the meaning of Section 7704 of the Code, or (iii) cause the Partnership to be treated as a “publicly traded partnership.” Notwithstanding anything contrary in this Agreement, in no event may any Transfer, assignment of Units, or other transfer of beneficial entitlement to Units by any Partner be made if such Transfer would cause the Partnership to be treated as having more than seventy-five (75) “partners” within the meaning of Treasury Regulations Section 1.7704-1(h) but looking through all entities treated as transparent or flow-through for U.S. federal income tax purposes or if the Partnership already has more than seventy-five (75) “partners” but such issuance would further increase the number of “partners” in the Partnership.</w:t>
      </w:r>
    </w:p>
    <w:p>
      <w:pPr>
        <w:spacing w:after="0" w:line="240" w:lineRule="exact"/>
        <w:rPr>
          <w:sz w:val="20"/>
          <w:szCs w:val="20"/>
          <w:color w:val="auto"/>
        </w:rPr>
      </w:pPr>
    </w:p>
    <w:p>
      <w:pPr>
        <w:jc w:val="center"/>
        <w:ind w:right="120"/>
        <w:spacing w:after="0"/>
        <w:tabs>
          <w:tab w:leader="none" w:pos="320" w:val="left"/>
        </w:tabs>
        <w:rPr>
          <w:sz w:val="20"/>
          <w:szCs w:val="20"/>
          <w:color w:val="auto"/>
        </w:rPr>
      </w:pPr>
      <w:r>
        <w:rPr>
          <w:rFonts w:ascii="Times New Roman" w:cs="Times New Roman" w:eastAsia="Times New Roman" w:hAnsi="Times New Roman"/>
          <w:sz w:val="18"/>
          <w:szCs w:val="18"/>
          <w:color w:val="auto"/>
        </w:rPr>
        <w:t>10.5.4</w:t>
      </w:r>
      <w:r>
        <w:rPr>
          <w:sz w:val="20"/>
          <w:szCs w:val="20"/>
          <w:color w:val="auto"/>
        </w:rPr>
        <w:tab/>
      </w:r>
      <w:r>
        <w:rPr>
          <w:rFonts w:ascii="Times New Roman" w:cs="Times New Roman" w:eastAsia="Times New Roman" w:hAnsi="Times New Roman"/>
          <w:sz w:val="17"/>
          <w:szCs w:val="17"/>
          <w:i w:val="1"/>
          <w:iCs w:val="1"/>
          <w:color w:val="auto"/>
        </w:rPr>
        <w:t xml:space="preserve">Timing of Permitted Transfers </w:t>
      </w:r>
      <w:r>
        <w:rPr>
          <w:rFonts w:ascii="Times New Roman" w:cs="Times New Roman" w:eastAsia="Times New Roman" w:hAnsi="Times New Roman"/>
          <w:sz w:val="17"/>
          <w:szCs w:val="17"/>
          <w:color w:val="auto"/>
        </w:rPr>
        <w:t>Transfers of Units (other than pursuant to an Exchange Transaction) that are otherwise permitted by this Section</w:t>
      </w:r>
    </w:p>
    <w:p>
      <w:pPr>
        <w:spacing w:after="0" w:line="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10 may only be made effective as of the first day of a fiscal quarter of the Partnership, unless the General Partner otherwise agrees.</w:t>
      </w:r>
    </w:p>
    <w:p>
      <w:pPr>
        <w:spacing w:after="0" w:line="259" w:lineRule="exact"/>
        <w:rPr>
          <w:sz w:val="20"/>
          <w:szCs w:val="20"/>
          <w:color w:val="auto"/>
        </w:rPr>
      </w:pPr>
    </w:p>
    <w:p>
      <w:pPr>
        <w:jc w:val="both"/>
        <w:ind w:left="800" w:right="20" w:hanging="796"/>
        <w:spacing w:after="0" w:line="284" w:lineRule="auto"/>
        <w:tabs>
          <w:tab w:leader="none" w:pos="780" w:val="left"/>
        </w:tabs>
        <w:rPr>
          <w:sz w:val="20"/>
          <w:szCs w:val="20"/>
          <w:color w:val="auto"/>
        </w:rPr>
      </w:pPr>
      <w:r>
        <w:rPr>
          <w:rFonts w:ascii="Times New Roman" w:cs="Times New Roman" w:eastAsia="Times New Roman" w:hAnsi="Times New Roman"/>
          <w:sz w:val="18"/>
          <w:szCs w:val="18"/>
          <w:color w:val="auto"/>
        </w:rPr>
        <w:t>10.5.5</w:t>
      </w:r>
      <w:r>
        <w:rPr>
          <w:sz w:val="20"/>
          <w:szCs w:val="20"/>
          <w:color w:val="auto"/>
        </w:rPr>
        <w:tab/>
      </w:r>
      <w:r>
        <w:rPr>
          <w:rFonts w:ascii="Times New Roman" w:cs="Times New Roman" w:eastAsia="Times New Roman" w:hAnsi="Times New Roman"/>
          <w:sz w:val="18"/>
          <w:szCs w:val="18"/>
          <w:i w:val="1"/>
          <w:iCs w:val="1"/>
          <w:color w:val="auto"/>
        </w:rPr>
        <w:t xml:space="preserve">Void Transfers </w:t>
      </w:r>
      <w:r>
        <w:rPr>
          <w:rFonts w:ascii="Times New Roman" w:cs="Times New Roman" w:eastAsia="Times New Roman" w:hAnsi="Times New Roman"/>
          <w:sz w:val="18"/>
          <w:szCs w:val="18"/>
          <w:color w:val="auto"/>
        </w:rPr>
        <w:t>To the fullest extent permitted by law, any Transfer in violation of this Section 10 (including the final sentence of Section 10.5.3)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212" w:lineRule="exact"/>
        <w:rPr>
          <w:sz w:val="20"/>
          <w:szCs w:val="20"/>
          <w:color w:val="auto"/>
        </w:rPr>
      </w:pPr>
    </w:p>
    <w:p>
      <w:pPr>
        <w:jc w:val="both"/>
        <w:ind w:left="800" w:right="40" w:hanging="796"/>
        <w:spacing w:after="0" w:line="267" w:lineRule="auto"/>
        <w:tabs>
          <w:tab w:leader="none" w:pos="780" w:val="left"/>
        </w:tabs>
        <w:rPr>
          <w:sz w:val="20"/>
          <w:szCs w:val="20"/>
          <w:color w:val="auto"/>
        </w:rPr>
      </w:pPr>
      <w:r>
        <w:rPr>
          <w:rFonts w:ascii="Times New Roman" w:cs="Times New Roman" w:eastAsia="Times New Roman" w:hAnsi="Times New Roman"/>
          <w:sz w:val="18"/>
          <w:szCs w:val="18"/>
          <w:color w:val="auto"/>
        </w:rPr>
        <w:t>10.5.6</w:t>
      </w:r>
      <w:r>
        <w:rPr>
          <w:sz w:val="20"/>
          <w:szCs w:val="20"/>
          <w:color w:val="auto"/>
        </w:rPr>
        <w:tab/>
      </w:r>
      <w:r>
        <w:rPr>
          <w:rFonts w:ascii="Times New Roman" w:cs="Times New Roman" w:eastAsia="Times New Roman" w:hAnsi="Times New Roman"/>
          <w:sz w:val="18"/>
          <w:szCs w:val="18"/>
          <w:i w:val="1"/>
          <w:iCs w:val="1"/>
          <w:color w:val="auto"/>
        </w:rPr>
        <w:t xml:space="preserve">Notice of the Transfer </w:t>
      </w:r>
      <w:r>
        <w:rPr>
          <w:rFonts w:ascii="Times New Roman" w:cs="Times New Roman" w:eastAsia="Times New Roman" w:hAnsi="Times New Roman"/>
          <w:sz w:val="18"/>
          <w:szCs w:val="18"/>
          <w:color w:val="auto"/>
        </w:rPr>
        <w:t>Notwithstanding any other term in this Agreement, notice of any Transfer shall be forthwith set out in</w:t>
      </w:r>
      <w:r>
        <w:rPr>
          <w:rFonts w:ascii="Times New Roman" w:cs="Times New Roman" w:eastAsia="Times New Roman" w:hAnsi="Times New Roman"/>
          <w:sz w:val="18"/>
          <w:szCs w:val="18"/>
          <w:i w:val="1"/>
          <w:iCs w:val="1"/>
          <w:color w:val="auto"/>
        </w:rPr>
        <w:t xml:space="preserve"> Iris Oifigiúil </w:t>
      </w:r>
      <w:r>
        <w:rPr>
          <w:rFonts w:ascii="Times New Roman" w:cs="Times New Roman" w:eastAsia="Times New Roman" w:hAnsi="Times New Roman"/>
          <w:sz w:val="18"/>
          <w:szCs w:val="18"/>
          <w:color w:val="auto"/>
        </w:rPr>
        <w:t>as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Act, and until notice of such Transfer is so made, the arrangement or transaction shall, for the purposes of the Act, be deemed to be of no effect.</w:t>
      </w:r>
    </w:p>
    <w:p>
      <w:pPr>
        <w:spacing w:after="0" w:line="227" w:lineRule="exact"/>
        <w:rPr>
          <w:sz w:val="20"/>
          <w:szCs w:val="20"/>
          <w:color w:val="auto"/>
        </w:rPr>
      </w:pPr>
    </w:p>
    <w:p>
      <w:pPr>
        <w:jc w:val="both"/>
        <w:ind w:left="800" w:right="20" w:hanging="796"/>
        <w:spacing w:after="0" w:line="284" w:lineRule="auto"/>
        <w:tabs>
          <w:tab w:leader="none" w:pos="780" w:val="left"/>
        </w:tabs>
        <w:rPr>
          <w:sz w:val="20"/>
          <w:szCs w:val="20"/>
          <w:color w:val="auto"/>
        </w:rPr>
      </w:pPr>
      <w:r>
        <w:rPr>
          <w:rFonts w:ascii="Times New Roman" w:cs="Times New Roman" w:eastAsia="Times New Roman" w:hAnsi="Times New Roman"/>
          <w:sz w:val="18"/>
          <w:szCs w:val="18"/>
          <w:color w:val="auto"/>
        </w:rPr>
        <w:t>10.5.7</w:t>
      </w:r>
      <w:r>
        <w:rPr>
          <w:sz w:val="20"/>
          <w:szCs w:val="20"/>
          <w:color w:val="auto"/>
        </w:rPr>
        <w:tab/>
      </w:r>
      <w:r>
        <w:rPr>
          <w:rFonts w:ascii="Times New Roman" w:cs="Times New Roman" w:eastAsia="Times New Roman" w:hAnsi="Times New Roman"/>
          <w:sz w:val="18"/>
          <w:szCs w:val="18"/>
          <w:i w:val="1"/>
          <w:iCs w:val="1"/>
          <w:color w:val="auto"/>
        </w:rPr>
        <w:t xml:space="preserve">Lock-Up Agreement </w:t>
      </w:r>
      <w:r>
        <w:rPr>
          <w:rFonts w:ascii="Times New Roman" w:cs="Times New Roman" w:eastAsia="Times New Roman" w:hAnsi="Times New Roman"/>
          <w:sz w:val="18"/>
          <w:szCs w:val="18"/>
          <w:color w:val="auto"/>
        </w:rPr>
        <w:t>Notwithstanding any other term in this Agreement, nothing in this Agreement shall limit a Partner’s obligations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Lock-Up Agreement.</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b w:val="1"/>
          <w:bCs w:val="1"/>
          <w:color w:val="auto"/>
        </w:rPr>
        <w:t>Admissions, Resignations and Removals</w:t>
      </w:r>
    </w:p>
    <w:p>
      <w:pPr>
        <w:spacing w:after="0" w:line="283" w:lineRule="exact"/>
        <w:rPr>
          <w:sz w:val="20"/>
          <w:szCs w:val="20"/>
          <w:color w:val="auto"/>
        </w:rPr>
      </w:pPr>
    </w:p>
    <w:p>
      <w:pPr>
        <w:ind w:left="800" w:hanging="796"/>
        <w:spacing w:after="0" w:line="253" w:lineRule="auto"/>
        <w:tabs>
          <w:tab w:leader="none" w:pos="780" w:val="left"/>
        </w:tabs>
        <w:rPr>
          <w:sz w:val="20"/>
          <w:szCs w:val="20"/>
          <w:color w:val="auto"/>
        </w:rPr>
      </w:pPr>
      <w:r>
        <w:rPr>
          <w:rFonts w:ascii="Times New Roman" w:cs="Times New Roman" w:eastAsia="Times New Roman" w:hAnsi="Times New Roman"/>
          <w:sz w:val="18"/>
          <w:szCs w:val="18"/>
          <w:color w:val="auto"/>
        </w:rPr>
        <w:t>10.6.1</w:t>
      </w:r>
      <w:r>
        <w:rPr>
          <w:sz w:val="20"/>
          <w:szCs w:val="20"/>
          <w:color w:val="auto"/>
        </w:rPr>
        <w:tab/>
      </w:r>
      <w:r>
        <w:rPr>
          <w:rFonts w:ascii="Times New Roman" w:cs="Times New Roman" w:eastAsia="Times New Roman" w:hAnsi="Times New Roman"/>
          <w:sz w:val="18"/>
          <w:szCs w:val="18"/>
          <w:color w:val="auto"/>
        </w:rPr>
        <w:t>No Partner will be removed or entitled to resign from being a Partner of the Partnership except in accordance with this Section 10.6 and Section 10.7 hereof. No Person may be admitted to the Partnership as an additional general partner or substitute general partner without the prior written consent of each incumbent General Partner, which consent may be given or withheld, or made subject to such conditions as are determined by each incumbent general partner, in each case in the sole discretion of each incumbent general partner. Any additional General Partner or substitute partners of the General Partner shall be admitted as a general partner of the Partnership by executing and delivering to the existing General Partner an appropriate supplement to this Agreement pursuant to which the Person agrees to be bound by the terms and conditions of this Agreement, as it may be amended from time to time, and thereafter shall be authorized to, and shall, continue the Partnership without dissolution. Except as otherwise provided in Section 10 or the Act, no admission, substitution, resignation or removal of a Partner will cause the dissolution of the Partnership. To the fullest extent permitted by law, any purported admission, resignation or removal that is not in accordance with this Agreement shall be null and void.</w:t>
      </w:r>
    </w:p>
    <w:p>
      <w:pPr>
        <w:spacing w:after="0" w:line="248" w:lineRule="exact"/>
        <w:rPr>
          <w:sz w:val="20"/>
          <w:szCs w:val="20"/>
          <w:color w:val="auto"/>
        </w:rPr>
      </w:pPr>
    </w:p>
    <w:p>
      <w:pPr>
        <w:jc w:val="both"/>
        <w:ind w:left="800" w:right="10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10.6.2</w:t>
      </w:r>
      <w:r>
        <w:rPr>
          <w:sz w:val="20"/>
          <w:szCs w:val="20"/>
          <w:color w:val="auto"/>
        </w:rPr>
        <w:tab/>
      </w:r>
      <w:r>
        <w:rPr>
          <w:rFonts w:ascii="Times New Roman" w:cs="Times New Roman" w:eastAsia="Times New Roman" w:hAnsi="Times New Roman"/>
          <w:sz w:val="18"/>
          <w:szCs w:val="18"/>
          <w:color w:val="auto"/>
        </w:rPr>
        <w:t>It is agreed that ProKidney GP Ireland Limited shall resign as general partner of the Partnership as and from the admission of ProKidney Corp. GP Limited to the Partnership, which admission shall take effect upon the Closing on the Effective Date. ProKidney GP Ireland Limited, as its final act as general partner of the Partnership immediately prior to the Closing, hereby approves the Post-Recapitalization Unit Issuance, if any such Post-Recapitalization Unit Issuance occurs pursuant to the Business Combination Agreement.</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b w:val="1"/>
          <w:bCs w:val="1"/>
          <w:color w:val="auto"/>
        </w:rPr>
        <w:t>Admission of Assignees as Substitute Limited Partners</w:t>
      </w:r>
    </w:p>
    <w:p>
      <w:pPr>
        <w:spacing w:after="0" w:line="281" w:lineRule="exact"/>
        <w:rPr>
          <w:sz w:val="20"/>
          <w:szCs w:val="20"/>
          <w:color w:val="auto"/>
        </w:rPr>
      </w:pPr>
    </w:p>
    <w:p>
      <w:pPr>
        <w:ind w:left="800" w:right="560" w:hanging="796"/>
        <w:spacing w:after="0" w:line="284" w:lineRule="auto"/>
        <w:tabs>
          <w:tab w:leader="none" w:pos="78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i w:val="1"/>
          <w:iCs w:val="1"/>
          <w:color w:val="auto"/>
        </w:rPr>
        <w:t xml:space="preserve">Conditions for Admission as Limited Partner </w:t>
      </w:r>
      <w:r>
        <w:rPr>
          <w:rFonts w:ascii="Times New Roman" w:cs="Times New Roman" w:eastAsia="Times New Roman" w:hAnsi="Times New Roman"/>
          <w:sz w:val="18"/>
          <w:szCs w:val="18"/>
          <w:color w:val="auto"/>
        </w:rPr>
        <w:t>A proposed assignee will become a substitute Limited Partner only if and when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conditions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1000760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96" w:name="page197"/>
    <w:bookmarkEnd w:id="196"/>
    <w:p>
      <w:pPr>
        <w:spacing w:after="0" w:line="86" w:lineRule="exact"/>
        <w:rPr>
          <w:sz w:val="20"/>
          <w:szCs w:val="20"/>
          <w:color w:val="auto"/>
        </w:rPr>
      </w:pPr>
    </w:p>
    <w:p>
      <w:pPr>
        <w:ind w:left="-8" w:right="720" w:firstLine="8"/>
        <w:spacing w:after="0" w:line="282" w:lineRule="auto"/>
        <w:tabs>
          <w:tab w:leader="none" w:pos="2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consents in writing to such admission, which consent may be given or withheld, or made subject to such conditions as are determined by the General Partner, in each case in the General Partner’s sole discretion;</w:t>
      </w:r>
    </w:p>
    <w:p>
      <w:pPr>
        <w:spacing w:after="0" w:line="53" w:lineRule="exact"/>
        <w:rPr>
          <w:rFonts w:ascii="Times New Roman" w:cs="Times New Roman" w:eastAsia="Times New Roman" w:hAnsi="Times New Roman"/>
          <w:sz w:val="18"/>
          <w:szCs w:val="18"/>
          <w:color w:val="auto"/>
        </w:rPr>
      </w:pPr>
    </w:p>
    <w:p>
      <w:pPr>
        <w:ind w:left="-8" w:right="140" w:firstLine="8"/>
        <w:spacing w:after="0" w:line="266" w:lineRule="auto"/>
        <w:tabs>
          <w:tab w:leader="none" w:pos="2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General Partner receives written instruments (including copies of any instruments of Transfer, a notarised and apostilled copy (in English) of such assignee’s governing documents (if the Assignee is not a natural person) and such Assignee’s consent to be bound by this Agreement as a substitute Partner) that are in a form satisfactory to the General Partner (as determined in its sole discretion);</w:t>
      </w:r>
    </w:p>
    <w:p>
      <w:pPr>
        <w:spacing w:after="0" w:line="67" w:lineRule="exact"/>
        <w:rPr>
          <w:rFonts w:ascii="Times New Roman" w:cs="Times New Roman" w:eastAsia="Times New Roman" w:hAnsi="Times New Roman"/>
          <w:sz w:val="18"/>
          <w:szCs w:val="18"/>
          <w:color w:val="auto"/>
        </w:rPr>
      </w:pPr>
    </w:p>
    <w:p>
      <w:pPr>
        <w:ind w:left="-8" w:right="40" w:firstLine="8"/>
        <w:spacing w:after="0" w:line="282" w:lineRule="auto"/>
        <w:tabs>
          <w:tab w:leader="none" w:pos="2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General Partner receives an opinion of counsel satisfactory to the General Partner to the effect that such Transfer is in compliance with this Agreement and all applicable Law;</w:t>
      </w:r>
    </w:p>
    <w:p>
      <w:pPr>
        <w:spacing w:after="0" w:line="53" w:lineRule="exact"/>
        <w:rPr>
          <w:rFonts w:ascii="Times New Roman" w:cs="Times New Roman" w:eastAsia="Times New Roman" w:hAnsi="Times New Roman"/>
          <w:sz w:val="18"/>
          <w:szCs w:val="18"/>
          <w:color w:val="auto"/>
        </w:rPr>
      </w:pPr>
    </w:p>
    <w:p>
      <w:pPr>
        <w:ind w:left="-8" w:right="20" w:firstLine="8"/>
        <w:spacing w:after="0" w:line="282" w:lineRule="auto"/>
        <w:tabs>
          <w:tab w:leader="none" w:pos="2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parties to the Transfer, or any one of them, pays all of the Partnership’s reasonable expenses connected with such Transfer (including the reasonable legal and accounting fees of the Partnership);</w:t>
      </w:r>
    </w:p>
    <w:p>
      <w:pPr>
        <w:spacing w:after="0" w:line="5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the Transfer is set out in </w:t>
      </w:r>
      <w:r>
        <w:rPr>
          <w:rFonts w:ascii="Times New Roman" w:cs="Times New Roman" w:eastAsia="Times New Roman" w:hAnsi="Times New Roman"/>
          <w:sz w:val="18"/>
          <w:szCs w:val="18"/>
          <w:i w:val="1"/>
          <w:iCs w:val="1"/>
          <w:color w:val="auto"/>
        </w:rPr>
        <w:t>Iris Oifigiúil</w:t>
      </w:r>
      <w:r>
        <w:rPr>
          <w:rFonts w:ascii="Times New Roman" w:cs="Times New Roman" w:eastAsia="Times New Roman" w:hAnsi="Times New Roman"/>
          <w:sz w:val="18"/>
          <w:szCs w:val="18"/>
          <w:color w:val="auto"/>
        </w:rPr>
        <w:t xml:space="preserve"> as so required by the Act; and</w:t>
      </w:r>
    </w:p>
    <w:p>
      <w:pPr>
        <w:spacing w:after="0" w:line="119" w:lineRule="exact"/>
        <w:rPr>
          <w:rFonts w:ascii="Times New Roman" w:cs="Times New Roman" w:eastAsia="Times New Roman" w:hAnsi="Times New Roman"/>
          <w:sz w:val="18"/>
          <w:szCs w:val="18"/>
          <w:color w:val="auto"/>
        </w:rPr>
      </w:pPr>
    </w:p>
    <w:p>
      <w:pPr>
        <w:ind w:left="-8" w:right="200" w:firstLine="8"/>
        <w:spacing w:after="0" w:line="261" w:lineRule="auto"/>
        <w:tabs>
          <w:tab w:leader="none" w:pos="21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where the assignee is a Permitted Transferee of PubCo and such Transfer occurs after the expiration of the Lock-Up Period, the assignee enters into a written agreement with the Partnership and PubCo agreeing to be bound by the transfer restrictions in section 2 of the Lock-Up Agreement.</w:t>
      </w:r>
    </w:p>
    <w:p>
      <w:pPr>
        <w:ind w:left="812" w:right="22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b w:val="1"/>
          <w:bCs w:val="1"/>
          <w:color w:val="auto"/>
        </w:rPr>
        <w:t xml:space="preserve">Resignation and Removal of Partners </w:t>
      </w:r>
      <w:r>
        <w:rPr>
          <w:rFonts w:ascii="Times New Roman" w:cs="Times New Roman" w:eastAsia="Times New Roman" w:hAnsi="Times New Roman"/>
          <w:sz w:val="18"/>
          <w:szCs w:val="18"/>
          <w:color w:val="auto"/>
        </w:rPr>
        <w:t>Subject to Section 10.6, if a Partner ceases to hold any Units, then such Partner shall cease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and to have the power to exercise any rights or powers of a Partner of the Partnership, and shall be deemed to have resigned from the Partnership.</w:t>
      </w:r>
    </w:p>
    <w:p>
      <w:pPr>
        <w:spacing w:after="0" w:line="229" w:lineRule="exact"/>
        <w:rPr>
          <w:sz w:val="20"/>
          <w:szCs w:val="20"/>
          <w:color w:val="auto"/>
        </w:rPr>
      </w:pPr>
    </w:p>
    <w:p>
      <w:pPr>
        <w:ind w:left="812" w:right="20" w:hanging="796"/>
        <w:spacing w:after="0" w:line="272" w:lineRule="auto"/>
        <w:tabs>
          <w:tab w:leader="none" w:pos="792"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b w:val="1"/>
          <w:bCs w:val="1"/>
          <w:color w:val="auto"/>
        </w:rPr>
        <w:t xml:space="preserve">Withholding </w:t>
      </w:r>
      <w:r>
        <w:rPr>
          <w:rFonts w:ascii="Times New Roman" w:cs="Times New Roman" w:eastAsia="Times New Roman" w:hAnsi="Times New Roman"/>
          <w:sz w:val="17"/>
          <w:szCs w:val="17"/>
          <w:color w:val="auto"/>
        </w:rPr>
        <w:t>In the event any Transfer is permitted pursuant to this Section 10, the transferring parties shall demonstrate to the satisfaction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General Partner either that no withholding is required in connection with such transfer under applicable U.S. federal, state or local or non-U.S. law (including under Sections 1445 or 1446 of the Code) or that any amounts required to be withheld in connection with such transfer under applicable U.S. federal, state or local or non-U.S. law (including under Section 1446 of the Code, other than by reason of Section 1446(f)</w:t>
      </w:r>
    </w:p>
    <w:p>
      <w:pPr>
        <w:ind w:left="812"/>
        <w:spacing w:after="0"/>
        <w:rPr>
          <w:sz w:val="20"/>
          <w:szCs w:val="20"/>
          <w:color w:val="auto"/>
        </w:rPr>
      </w:pPr>
      <w:r>
        <w:rPr>
          <w:rFonts w:ascii="Times New Roman" w:cs="Times New Roman" w:eastAsia="Times New Roman" w:hAnsi="Times New Roman"/>
          <w:sz w:val="18"/>
          <w:szCs w:val="18"/>
          <w:color w:val="auto"/>
        </w:rPr>
        <w:t>(4)) have been so withheld.</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12" w:right="60" w:hanging="796"/>
        <w:spacing w:after="0" w:line="253" w:lineRule="auto"/>
        <w:tabs>
          <w:tab w:leader="none" w:pos="792"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b w:val="1"/>
          <w:bCs w:val="1"/>
          <w:color w:val="auto"/>
        </w:rPr>
        <w:t>Allocations in Respect of Transferred Units</w:t>
      </w:r>
      <w:r>
        <w:rPr>
          <w:rFonts w:ascii="Times New Roman" w:cs="Times New Roman" w:eastAsia="Times New Roman" w:hAnsi="Times New Roman"/>
          <w:sz w:val="18"/>
          <w:szCs w:val="18"/>
          <w:color w:val="auto"/>
        </w:rPr>
        <w:t>. With regard to PubCo’s acquisition of the New Company Common Units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Agreement), Profits or Losses shall be allocated to the Partners of the Partnership so as to take into account the varying interests of the Partners in the Partnership using an “interim closing of the books” method in a manner that complies with the provisions of Section 706 of the Code and the Treasury Regulations promulgated thereunder. If during any taxable year there is any other change in any Partner’s Units in the Partnership, the General Partner shall consult in good faith with the Continuing Partner Representative and the tax advisors to the Partnership and allocate the Profits or Losses to the Partners of the Partnership so as to take into account the varying interests of the Partners in the Partnership using an “interim closing of the books” method in a manner that complies with the provisions of Section 706 of the Code and the Treasury Regulations promulgated thereunder; provided, however, that such allocations may instead be made in another manner that complies with the provisions of Section 706 of the Code and the Treasury Regulations promulgated thereunder and that is selected by the General Partner (with the prior written consent of the Requisite Continuing Partners, not to be unreasonably withheld, conditioned or delayed); provided that, the Requisite Continuing Partners shall not have the consent right described in this Section 10.10 in the event that the Continuing Partners collectively own less than 10% of the Units.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DISSOLUTION AND WINDING UP OF THE PARTNERSHIP</w:t>
      </w:r>
    </w:p>
    <w:p>
      <w:pPr>
        <w:spacing w:after="0" w:line="9" w:lineRule="exact"/>
        <w:rPr>
          <w:sz w:val="20"/>
          <w:szCs w:val="20"/>
          <w:color w:val="auto"/>
        </w:rPr>
      </w:pPr>
    </w:p>
    <w:p>
      <w:pPr>
        <w:jc w:val="both"/>
        <w:ind w:left="812" w:hanging="796"/>
        <w:spacing w:after="0" w:line="263" w:lineRule="auto"/>
        <w:tabs>
          <w:tab w:leader="none" w:pos="792"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No dissolution </w:t>
      </w:r>
      <w:r>
        <w:rPr>
          <w:rFonts w:ascii="Times New Roman" w:cs="Times New Roman" w:eastAsia="Times New Roman" w:hAnsi="Times New Roman"/>
          <w:sz w:val="18"/>
          <w:szCs w:val="18"/>
          <w:color w:val="auto"/>
        </w:rPr>
        <w:t>The Partnership shall not be dissolved by the admission of additional Partners or resignation of Partners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The Partnership may be dissolved, liquidated, wound up and terminated only pursuant to the provisions of this Section 11.</w:t>
      </w:r>
    </w:p>
    <w:p>
      <w:pPr>
        <w:spacing w:after="0" w:line="229" w:lineRule="exact"/>
        <w:rPr>
          <w:sz w:val="20"/>
          <w:szCs w:val="20"/>
          <w:color w:val="auto"/>
        </w:rPr>
      </w:pPr>
    </w:p>
    <w:p>
      <w:pPr>
        <w:ind w:left="12"/>
        <w:spacing w:after="0"/>
        <w:tabs>
          <w:tab w:leader="none" w:pos="79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 xml:space="preserve">Dissolution </w:t>
      </w:r>
      <w:r>
        <w:rPr>
          <w:rFonts w:ascii="Times New Roman" w:cs="Times New Roman" w:eastAsia="Times New Roman" w:hAnsi="Times New Roman"/>
          <w:sz w:val="17"/>
          <w:szCs w:val="17"/>
          <w:color w:val="auto"/>
        </w:rPr>
        <w:t>The Partnership will be dissolved and its affairs wound up on the happening of any of the following events:</w:t>
      </w:r>
    </w:p>
    <w:p>
      <w:pPr>
        <w:spacing w:after="0" w:line="135" w:lineRule="exact"/>
        <w:rPr>
          <w:sz w:val="20"/>
          <w:szCs w:val="20"/>
          <w:color w:val="auto"/>
        </w:rPr>
      </w:pPr>
    </w:p>
    <w:p>
      <w:pPr>
        <w:ind w:left="252" w:hanging="252"/>
        <w:spacing w:after="0"/>
        <w:tabs>
          <w:tab w:leader="none" w:pos="2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Partnership to be carried on by the Partners;</w:t>
      </w:r>
    </w:p>
    <w:p>
      <w:pPr>
        <w:spacing w:after="0" w:line="117"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all Partners;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895985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197" w:name="page198"/>
    <w:bookmarkEnd w:id="197"/>
    <w:p>
      <w:pPr>
        <w:spacing w:after="0" w:line="86" w:lineRule="exact"/>
        <w:rPr>
          <w:sz w:val="20"/>
          <w:szCs w:val="20"/>
          <w:color w:val="auto"/>
        </w:rPr>
      </w:pPr>
    </w:p>
    <w:p>
      <w:pPr>
        <w:ind w:left="-8" w:right="180" w:firstLine="8"/>
        <w:spacing w:after="0" w:line="253" w:lineRule="auto"/>
        <w:tabs>
          <w:tab w:leader="none" w:pos="23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resolves to dissolve the Partnership in its reasonable discretion and with the consent of PubCo; provided that, in the event of a dissolution pursuant to this clause (c), the relative economic rights of each Class of Units immediately prior to such dissolution shall be preserved to the greatest extent practicable with respect to Distributions made to Partners pursuant to Section 11.4 below in connection with the winding up of the Partnership,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5" w:lineRule="exact"/>
        <w:rPr>
          <w:rFonts w:ascii="Times New Roman" w:cs="Times New Roman" w:eastAsia="Times New Roman" w:hAnsi="Times New Roman"/>
          <w:sz w:val="18"/>
          <w:szCs w:val="18"/>
          <w:color w:val="auto"/>
        </w:rPr>
      </w:pPr>
    </w:p>
    <w:p>
      <w:pPr>
        <w:ind w:left="812" w:right="180" w:hanging="797"/>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b w:val="1"/>
          <w:bCs w:val="1"/>
          <w:color w:val="auto"/>
        </w:rPr>
        <w:t xml:space="preserve">Effectiveness of Dissolution </w:t>
      </w:r>
      <w:r>
        <w:rPr>
          <w:rFonts w:ascii="Times New Roman" w:cs="Times New Roman" w:eastAsia="Times New Roman" w:hAnsi="Times New Roman"/>
          <w:sz w:val="18"/>
          <w:szCs w:val="18"/>
          <w:color w:val="auto"/>
        </w:rPr>
        <w:t>Dissolution of the Partnership shall be effective on the day on which the event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but the Partnership shall not terminate until the winding up of the Partnership has been completed, and the assets of the Partnership have been distributed as provided in </w:t>
      </w:r>
      <w:r>
        <w:rPr>
          <w:rFonts w:ascii="Times New Roman" w:cs="Times New Roman" w:eastAsia="Times New Roman" w:hAnsi="Times New Roman"/>
          <w:sz w:val="18"/>
          <w:szCs w:val="18"/>
          <w:u w:val="single" w:color="auto"/>
          <w:color w:val="auto"/>
        </w:rPr>
        <w:t>Sections 11.4.3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12" w:right="40" w:hanging="796"/>
        <w:spacing w:after="0" w:line="286" w:lineRule="auto"/>
        <w:tabs>
          <w:tab w:leader="none" w:pos="792"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 xml:space="preserve">Liquidation </w:t>
      </w:r>
      <w:r>
        <w:rPr>
          <w:rFonts w:ascii="Times New Roman" w:cs="Times New Roman" w:eastAsia="Times New Roman" w:hAnsi="Times New Roman"/>
          <w:sz w:val="18"/>
          <w:szCs w:val="18"/>
          <w:color w:val="auto"/>
        </w:rPr>
        <w:t>If the Partnership is dissolved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the Partnership shall be liquidated and its business and affairs wound up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Act and the following provisions:</w:t>
      </w:r>
    </w:p>
    <w:p>
      <w:pPr>
        <w:spacing w:after="0" w:line="211" w:lineRule="exact"/>
        <w:rPr>
          <w:sz w:val="20"/>
          <w:szCs w:val="20"/>
          <w:color w:val="auto"/>
        </w:rPr>
      </w:pPr>
    </w:p>
    <w:p>
      <w:pPr>
        <w:ind w:left="1492" w:right="200" w:hanging="674"/>
        <w:spacing w:after="0" w:line="256" w:lineRule="auto"/>
        <w:tabs>
          <w:tab w:leader="none" w:pos="1472" w:val="left"/>
        </w:tabs>
        <w:rPr>
          <w:sz w:val="20"/>
          <w:szCs w:val="20"/>
          <w:color w:val="auto"/>
        </w:rPr>
      </w:pPr>
      <w:r>
        <w:rPr>
          <w:rFonts w:ascii="Times New Roman" w:cs="Times New Roman" w:eastAsia="Times New Roman" w:hAnsi="Times New Roman"/>
          <w:sz w:val="18"/>
          <w:szCs w:val="18"/>
          <w:color w:val="auto"/>
        </w:rPr>
        <w:t>11.4.1</w:t>
      </w:r>
      <w:r>
        <w:rPr>
          <w:sz w:val="20"/>
          <w:szCs w:val="20"/>
          <w:color w:val="auto"/>
        </w:rPr>
        <w:tab/>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The General Partner, or, if the General Partner is unable to do so, a Person selected by the General Partner, shall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liquidator to wind up the Partnership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The Liquidator shall have full power and authority to sell, assign, and encumber any or all of the Partnership’s assets and to wind up and liquidate the affairs of the Partnership in an orderly and business-like manner.</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492" w:right="120" w:hanging="674"/>
        <w:spacing w:after="0" w:line="267" w:lineRule="auto"/>
        <w:tabs>
          <w:tab w:leader="none" w:pos="1472" w:val="left"/>
        </w:tabs>
        <w:rPr>
          <w:sz w:val="20"/>
          <w:szCs w:val="20"/>
          <w:color w:val="auto"/>
        </w:rPr>
      </w:pPr>
      <w:r>
        <w:rPr>
          <w:rFonts w:ascii="Times New Roman" w:cs="Times New Roman" w:eastAsia="Times New Roman" w:hAnsi="Times New Roman"/>
          <w:sz w:val="18"/>
          <w:szCs w:val="18"/>
          <w:color w:val="auto"/>
        </w:rPr>
        <w:t>11.4.2</w:t>
      </w:r>
      <w:r>
        <w:rPr>
          <w:sz w:val="20"/>
          <w:szCs w:val="20"/>
          <w:color w:val="auto"/>
        </w:rPr>
        <w:tab/>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As promptly as possible after dissolution and again after final liquidation, the Liquidator shall cause a proper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made by a recognized firm of certified public accountants of the Partnership’s assets, liabilities and operations through the last day of the calendar month in which the dissolution occurs or the final liquidation is completed, as applicable.</w:t>
      </w:r>
    </w:p>
    <w:p>
      <w:pPr>
        <w:spacing w:after="0" w:line="227" w:lineRule="exact"/>
        <w:rPr>
          <w:sz w:val="20"/>
          <w:szCs w:val="20"/>
          <w:color w:val="auto"/>
        </w:rPr>
      </w:pPr>
    </w:p>
    <w:p>
      <w:pPr>
        <w:ind w:left="1492" w:right="40" w:hanging="674"/>
        <w:spacing w:after="0" w:line="284" w:lineRule="auto"/>
        <w:tabs>
          <w:tab w:leader="none" w:pos="1472" w:val="left"/>
        </w:tabs>
        <w:rPr>
          <w:sz w:val="20"/>
          <w:szCs w:val="20"/>
          <w:color w:val="auto"/>
        </w:rPr>
      </w:pPr>
      <w:r>
        <w:rPr>
          <w:rFonts w:ascii="Times New Roman" w:cs="Times New Roman" w:eastAsia="Times New Roman" w:hAnsi="Times New Roman"/>
          <w:sz w:val="18"/>
          <w:szCs w:val="18"/>
          <w:color w:val="auto"/>
        </w:rPr>
        <w:t>11.4.3</w:t>
      </w:r>
      <w:r>
        <w:rPr>
          <w:sz w:val="20"/>
          <w:szCs w:val="20"/>
          <w:color w:val="auto"/>
        </w:rPr>
        <w:tab/>
      </w:r>
      <w:r>
        <w:rPr>
          <w:rFonts w:ascii="Times New Roman" w:cs="Times New Roman" w:eastAsia="Times New Roman" w:hAnsi="Times New Roman"/>
          <w:sz w:val="18"/>
          <w:szCs w:val="18"/>
          <w:i w:val="1"/>
          <w:iCs w:val="1"/>
          <w:color w:val="auto"/>
        </w:rPr>
        <w:t>Distribution of Proceeds</w:t>
      </w:r>
      <w:r>
        <w:rPr>
          <w:rFonts w:ascii="Times New Roman" w:cs="Times New Roman" w:eastAsia="Times New Roman" w:hAnsi="Times New Roman"/>
          <w:sz w:val="18"/>
          <w:szCs w:val="18"/>
          <w:color w:val="auto"/>
        </w:rPr>
        <w:t>. The Liquidator shall liquidate the assets of the Partnership and Distribute the proceeds of such liquidation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order of priority:</w:t>
      </w:r>
    </w:p>
    <w:p>
      <w:pPr>
        <w:spacing w:after="0" w:line="66" w:lineRule="exact"/>
        <w:rPr>
          <w:sz w:val="20"/>
          <w:szCs w:val="20"/>
          <w:color w:val="auto"/>
        </w:rPr>
      </w:pPr>
    </w:p>
    <w:p>
      <w:pPr>
        <w:ind w:left="-8" w:right="380" w:firstLine="8"/>
        <w:spacing w:after="0" w:line="282" w:lineRule="auto"/>
        <w:tabs>
          <w:tab w:leader="none" w:pos="23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all of the Partnership’s debts and liabilities to its creditors (save for amounts owed to Partners, including Advances) and the expenses of liquidation;</w:t>
      </w:r>
    </w:p>
    <w:p>
      <w:pPr>
        <w:spacing w:after="0" w:line="53" w:lineRule="exact"/>
        <w:rPr>
          <w:rFonts w:ascii="Times New Roman" w:cs="Times New Roman" w:eastAsia="Times New Roman" w:hAnsi="Times New Roman"/>
          <w:sz w:val="18"/>
          <w:szCs w:val="18"/>
          <w:color w:val="auto"/>
        </w:rPr>
      </w:pPr>
    </w:p>
    <w:p>
      <w:pPr>
        <w:ind w:left="-8" w:right="120" w:firstLine="8"/>
        <w:spacing w:after="0" w:line="282" w:lineRule="auto"/>
        <w:tabs>
          <w:tab w:leader="none" w:pos="24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to the Partners of any debts (and any accrued interest thereon), other than Advances, owed by the Partnership to such Partners; and</w:t>
      </w:r>
    </w:p>
    <w:p>
      <w:pPr>
        <w:spacing w:after="0" w:line="51" w:lineRule="exact"/>
        <w:rPr>
          <w:rFonts w:ascii="Times New Roman" w:cs="Times New Roman" w:eastAsia="Times New Roman" w:hAnsi="Times New Roman"/>
          <w:sz w:val="18"/>
          <w:szCs w:val="18"/>
          <w:color w:val="auto"/>
        </w:rPr>
      </w:pPr>
    </w:p>
    <w:p>
      <w:pPr>
        <w:ind w:left="-8" w:right="140" w:firstLine="8"/>
        <w:spacing w:after="0" w:line="258" w:lineRule="auto"/>
        <w:tabs>
          <w:tab w:leader="none" w:pos="23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payment to the Partners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Participating Units then held by each Partner, and such payments to each Partner shall be applied with respect to such Partner first in reducing the balance of any Advances (if any) owing to that Partner, next in repaying the capital contributed by that Partner, and thereafter as a distribution of surplus to that Partner.</w:t>
      </w:r>
    </w:p>
    <w:p>
      <w:pPr>
        <w:ind w:left="812" w:hanging="797"/>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b w:val="1"/>
          <w:bCs w:val="1"/>
          <w:color w:val="auto"/>
        </w:rPr>
        <w:t xml:space="preserve">Time for Liquidation </w:t>
      </w:r>
      <w:r>
        <w:rPr>
          <w:rFonts w:ascii="Times New Roman" w:cs="Times New Roman" w:eastAsia="Times New Roman" w:hAnsi="Times New Roman"/>
          <w:sz w:val="18"/>
          <w:szCs w:val="18"/>
          <w:color w:val="auto"/>
        </w:rPr>
        <w:t>A reasonable amount of time shall be allowed for the orderly liquidation of the assets of the Partnership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of liabilities to creditors so as to enable the Liquidator to minimize the losses attendant upon such liquidation. Notwithstanding the provisions of Section 11.4, but subject to the order of priorities set forth therein, if upon dissolution of the Partnership the Liquidator determines that an immediate sale of part or all of the Partnership’s assets would be impractical or would cause undue loss (or would otherwise not be beneficial) to the Partners, the Liquidator may, in its sole discretion, defer for a reasonable time the winding up of any assets except those necessary to satisfy Partnership liabilities (other than loans to the Partnership by Partners) and reserves. Subject to the order of priorities set forth in Section 11.4.3, the Liquidation Agent may, in its sole discretion, distribute to the Partners, in lieu of cash, either (i) all or any portion of such remaining Partnership assets in-kind in accordance with the provisions of Section 11.4.3, (ii) as tenants in common and in accordance with the provisions of Section 11.4.3, undivided interests in all or any portion of such Partnership assets or (iii) a combination of the foregoing. Any such Distributions in kind shall be subject to (x) such conditions relating to the disposition and management of such assets as the Liquidator deems reasonable and equitable and (y) the terms and conditions of any agreements governing such assets (or the operation thereof or the holders thereof) at such time. Any Partnership assets distributed in kind will first be written up or down to their Fair Market Value, thus creating Profit or Loss (if any), which shall be allocated in accordance with Section 7. The Liquidator shall determine the Fair Market Value of any property distributed in accordance with the valuation procedures set forth in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1021080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198" w:name="page199"/>
    <w:bookmarkEnd w:id="198"/>
    <w:p>
      <w:pPr>
        <w:spacing w:after="0" w:line="230" w:lineRule="exact"/>
        <w:rPr>
          <w:sz w:val="20"/>
          <w:szCs w:val="20"/>
          <w:color w:val="auto"/>
        </w:rPr>
      </w:pPr>
    </w:p>
    <w:p>
      <w:pPr>
        <w:ind w:left="800" w:right="120" w:hanging="796"/>
        <w:spacing w:after="0" w:line="263" w:lineRule="auto"/>
        <w:tabs>
          <w:tab w:leader="none" w:pos="7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Upon completion of the Distribution of the assets of the Partnership as provided in Section 11.4.3(c) hereof, the Partnership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terminated and the Liquidator shall take such other actions as may be necessary to terminate the Partnership.</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b w:val="1"/>
          <w:bCs w:val="1"/>
          <w:color w:val="auto"/>
        </w:rPr>
        <w:t xml:space="preserve">Survival of Rights, Duties and Obligations </w:t>
      </w:r>
      <w:r>
        <w:rPr>
          <w:rFonts w:ascii="Times New Roman" w:cs="Times New Roman" w:eastAsia="Times New Roman" w:hAnsi="Times New Roman"/>
          <w:sz w:val="18"/>
          <w:szCs w:val="18"/>
          <w:color w:val="auto"/>
        </w:rPr>
        <w:t>Dissolution, liquidation, winding up or termination of the Partnership for any reason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any party from any Losses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Partner’s right to indemnification pursuant to Section 12.</w:t>
      </w:r>
    </w:p>
    <w:p>
      <w:pPr>
        <w:spacing w:after="0" w:line="233" w:lineRule="exact"/>
        <w:rPr>
          <w:sz w:val="20"/>
          <w:szCs w:val="20"/>
          <w:color w:val="auto"/>
        </w:rPr>
      </w:pPr>
    </w:p>
    <w:p>
      <w:pPr>
        <w:jc w:val="both"/>
        <w:ind w:left="800" w:right="280" w:hanging="796"/>
        <w:spacing w:after="0" w:line="262" w:lineRule="auto"/>
        <w:tabs>
          <w:tab w:leader="none" w:pos="7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b w:val="1"/>
          <w:bCs w:val="1"/>
          <w:color w:val="auto"/>
        </w:rPr>
        <w:t xml:space="preserve">Recourse for Claims </w:t>
      </w:r>
      <w:r>
        <w:rPr>
          <w:rFonts w:ascii="Times New Roman" w:cs="Times New Roman" w:eastAsia="Times New Roman" w:hAnsi="Times New Roman"/>
          <w:sz w:val="18"/>
          <w:szCs w:val="18"/>
          <w:color w:val="auto"/>
        </w:rPr>
        <w:t>Each Partner shall look solely to the assets of the Partnership for all Distributions with respect to the Partnership,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Capital Account, and such Partner’s share of Profit or Loss and other items of income, gain, loss and deduction, and shall have no recourse therefor (upon dissolution or otherwise) against the General Partner, the Liquidator or any other Partner. No Partner shall have any right to demand or receive property other than cash upon dissolution and liquidation of the Partnership.</w:t>
      </w:r>
    </w:p>
    <w:p>
      <w:pPr>
        <w:spacing w:after="0" w:line="2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b w:val="1"/>
          <w:bCs w:val="1"/>
          <w:color w:val="auto"/>
        </w:rPr>
        <w:t xml:space="preserve">Survival of Certain Provisions. </w:t>
      </w:r>
      <w:r>
        <w:rPr>
          <w:rFonts w:ascii="Times New Roman" w:cs="Times New Roman" w:eastAsia="Times New Roman" w:hAnsi="Times New Roman"/>
          <w:sz w:val="17"/>
          <w:szCs w:val="17"/>
          <w:color w:val="auto"/>
        </w:rPr>
        <w:t>Notwithstanding anything to the contrary in this Agreement, the provisions of Sections 7.6, 12.1, 12.2, and</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14.10 shall survive the termination of the Partnership.</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74" w:lineRule="exact"/>
        <w:rPr>
          <w:sz w:val="20"/>
          <w:szCs w:val="20"/>
          <w:color w:val="auto"/>
        </w:rPr>
      </w:pPr>
    </w:p>
    <w:p>
      <w:pPr>
        <w:ind w:left="800" w:hanging="796"/>
        <w:spacing w:after="0" w:line="258" w:lineRule="auto"/>
        <w:tabs>
          <w:tab w:leader="none" w:pos="78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To the extent permissible by law, each of the Partners and the Partnership hereby waives any and all fiduciary duties that, absent such waiver, may be implied by Applicable Law, and in doing so, acknowledges and agrees that the duties and obligation of each Covered Person to each other and to the Partnership are, to the extent permissible by law, only as expressly set forth in this Agreement. To the extent permissible by law, the provisions of this Agreement, to the extent that they restrict the duties and liabilities of a Covered Person otherwise existing at law or in equity, are agreed by the Partners to replace such other duties and liabilities of such Covered Person.</w:t>
      </w:r>
    </w:p>
    <w:p>
      <w:pPr>
        <w:spacing w:after="0" w:line="237" w:lineRule="exact"/>
        <w:rPr>
          <w:sz w:val="20"/>
          <w:szCs w:val="20"/>
          <w:color w:val="auto"/>
        </w:rPr>
      </w:pPr>
    </w:p>
    <w:p>
      <w:pPr>
        <w:jc w:val="both"/>
        <w:ind w:left="800" w:right="100" w:hanging="79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color w:val="auto"/>
        </w:rPr>
        <w:t xml:space="preserve">To the fullest extent permitted by law, no Partner or Continuing Partner Representative shall have duties (including fiduciary duties) to any of the Partners or to the Partnership, and in doing so, recognize, acknowledge and agree that their duties and obligations to one another and to the Partnership are only as expressly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Partner shall have the duty to act in accordance with the implied contractual covenant of good faith and fair dealing.</w:t>
      </w:r>
    </w:p>
    <w:p>
      <w:pPr>
        <w:spacing w:after="0" w:line="234" w:lineRule="exact"/>
        <w:rPr>
          <w:sz w:val="20"/>
          <w:szCs w:val="20"/>
          <w:color w:val="auto"/>
        </w:rPr>
      </w:pPr>
    </w:p>
    <w:p>
      <w:pPr>
        <w:ind w:left="800" w:right="20" w:hanging="796"/>
        <w:spacing w:after="0" w:line="253" w:lineRule="auto"/>
        <w:tabs>
          <w:tab w:leader="none" w:pos="78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color w:val="auto"/>
        </w:rPr>
        <w:t>To the extent that, at law or in equity, any Partner (including PubCo) or the Continuing Partner Representative has any duties (including fiduciary duties) and liabilities relating thereto to the Partnership, to another Partner or to another Person who is a party to or is otherwise bound by this Agreement, none of the Partners (including PubCo) or the Continuing Partner Representative acting under this Agreement will, to the extent permitted by law, be liable to the Partnership, to any such other Partner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Partner (including PubCo) or Continuing Partner Representative otherwise existing at law or in equity, are agreed by the Partners to replace to that extent such other duties and liabilities of the Partners or Continuing Partner Representative relating thereto (including PubCo).</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323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0" w:right="40" w:hanging="796"/>
        <w:spacing w:after="0" w:line="266" w:lineRule="auto"/>
        <w:tabs>
          <w:tab w:leader="none" w:pos="78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8"/>
          <w:szCs w:val="18"/>
          <w:color w:val="auto"/>
        </w:rPr>
        <w:t>The General Partner may consult with legal counsel, accountants and financial or other advisors selected by it, and any act or omission taken by the General Partner on behalf of the Partnership or in furtherance of the interests of the Partnership in good faith in reliance upon and in accordance with the advice of such Person as to matters the General Partner reasonably believes to be within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873760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99" w:name="page200"/>
    <w:bookmarkEnd w:id="199"/>
    <w:p>
      <w:pPr>
        <w:jc w:val="both"/>
        <w:ind w:left="800" w:right="440"/>
        <w:spacing w:after="0" w:line="266" w:lineRule="auto"/>
        <w:rPr>
          <w:sz w:val="20"/>
          <w:szCs w:val="20"/>
          <w:color w:val="auto"/>
        </w:rPr>
      </w:pPr>
      <w:r>
        <w:rPr>
          <w:rFonts w:ascii="Times New Roman" w:cs="Times New Roman" w:eastAsia="Times New Roman" w:hAnsi="Times New Roman"/>
          <w:sz w:val="18"/>
          <w:szCs w:val="18"/>
          <w:color w:val="auto"/>
        </w:rPr>
        <w:t>professional or expert competence shall be conclusively presumed to have been done or omitted in good faith and in accordance with such opinion or advice, and the General Partner will be fully protected in so acting or omitting to act so long as such counsel or accountants or financial or other advisors were selected with reasonable care.</w:t>
      </w:r>
    </w:p>
    <w:p>
      <w:pPr>
        <w:spacing w:after="0" w:line="226" w:lineRule="exact"/>
        <w:rPr>
          <w:sz w:val="20"/>
          <w:szCs w:val="20"/>
          <w:color w:val="auto"/>
        </w:rPr>
      </w:pPr>
    </w:p>
    <w:p>
      <w:pPr>
        <w:ind w:left="800" w:right="160" w:hanging="796"/>
        <w:spacing w:after="0" w:line="278" w:lineRule="auto"/>
        <w:tabs>
          <w:tab w:leader="none" w:pos="780" w:val="left"/>
        </w:tabs>
        <w:rPr>
          <w:sz w:val="20"/>
          <w:szCs w:val="20"/>
          <w:color w:val="auto"/>
        </w:rPr>
      </w:pPr>
      <w:r>
        <w:rPr>
          <w:rFonts w:ascii="Times New Roman" w:cs="Times New Roman" w:eastAsia="Times New Roman" w:hAnsi="Times New Roman"/>
          <w:sz w:val="18"/>
          <w:szCs w:val="18"/>
          <w:color w:val="auto"/>
        </w:rPr>
        <w:t>12.1.5</w:t>
      </w:r>
      <w:r>
        <w:rPr>
          <w:sz w:val="20"/>
          <w:szCs w:val="20"/>
          <w:color w:val="auto"/>
        </w:rPr>
        <w:tab/>
      </w:r>
      <w:r>
        <w:rPr>
          <w:rFonts w:ascii="Times New Roman" w:cs="Times New Roman" w:eastAsia="Times New Roman" w:hAnsi="Times New Roman"/>
          <w:sz w:val="17"/>
          <w:szCs w:val="17"/>
          <w:color w:val="auto"/>
        </w:rPr>
        <w:t>For the purposes of this Section 12.1.5, a “</w:t>
      </w:r>
      <w:r>
        <w:rPr>
          <w:rFonts w:ascii="Times New Roman" w:cs="Times New Roman" w:eastAsia="Times New Roman" w:hAnsi="Times New Roman"/>
          <w:sz w:val="17"/>
          <w:szCs w:val="17"/>
          <w:b w:val="1"/>
          <w:bCs w:val="1"/>
          <w:color w:val="auto"/>
        </w:rPr>
        <w:t>Business Opportunities Exempt Party</w:t>
      </w:r>
      <w:r>
        <w:rPr>
          <w:rFonts w:ascii="Times New Roman" w:cs="Times New Roman" w:eastAsia="Times New Roman" w:hAnsi="Times New Roman"/>
          <w:sz w:val="17"/>
          <w:szCs w:val="17"/>
          <w:color w:val="auto"/>
        </w:rPr>
        <w:t>” shall be (a) any Partner that is not a director, manager, officer or employee of the General Partner, PubCo or any of their respective Subsidiaries, in which case solely acting in their capacity as such,</w:t>
      </w:r>
    </w:p>
    <w:p>
      <w:pPr>
        <w:spacing w:after="0" w:line="1" w:lineRule="exact"/>
        <w:rPr>
          <w:sz w:val="20"/>
          <w:szCs w:val="20"/>
          <w:color w:val="auto"/>
        </w:rPr>
      </w:pPr>
    </w:p>
    <w:p>
      <w:pPr>
        <w:ind w:left="800" w:hanging="2"/>
        <w:spacing w:after="0" w:line="265" w:lineRule="auto"/>
        <w:tabs>
          <w:tab w:leader="none" w:pos="105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of their respective Affiliates (other than the Partnership, PubCo or any of their respective Subsidiaries), (c) any Person that was a Partner immediately before the Effective Time or any of its respective Affiliates (including its respective investors and equityholders and any associated Persons or investment funds or any of their respective portfolio companies or investments) or (d) any of the respective officers, managers, directors, agents, shareholders, Partners, and partners of any of the foregoing (but in each case excluding any director, manager, officer or employee of the General Partner, PubCo or any of their respective Subsidiaries solely acting in their capacity as such). The Partnership and each of the Partners, on its own behalf and on behalf of their respective Affiliates and equityholders, hereby renounces any interest or expectancy of the Partnership in, or in being offered an opportunity to participate in, business opportunities that are from time to time presented to any Business Opportunities Exempt Party and irrevocably waives any right to require any Business Opportunity Exempt Party to act in a manner inconsistent with the provisions of this </w:t>
      </w:r>
      <w:r>
        <w:rPr>
          <w:rFonts w:ascii="Times New Roman" w:cs="Times New Roman" w:eastAsia="Times New Roman" w:hAnsi="Times New Roman"/>
          <w:sz w:val="17"/>
          <w:szCs w:val="17"/>
          <w:u w:val="single" w:color="auto"/>
          <w:color w:val="auto"/>
        </w:rPr>
        <w:t>Section 12.1.5</w:t>
      </w:r>
      <w:r>
        <w:rPr>
          <w:rFonts w:ascii="Times New Roman" w:cs="Times New Roman" w:eastAsia="Times New Roman" w:hAnsi="Times New Roman"/>
          <w:sz w:val="17"/>
          <w:szCs w:val="17"/>
          <w:color w:val="auto"/>
        </w:rPr>
        <w:t xml:space="preserve">. No Business Opportunities Exempt Party who acquires knowledge of a potential transaction, agreement, arrangement or other matter that may be an opportunity for PubCo, the Partnership or any of their respective Subsidiaries, Affiliates or equityholders shall have any duty to communicate or offer such opportunity to the Partnership and none of PubCo, the Partnership or any of their respective Subsidiaries, Affiliates or equityholders will acquire or be entitled to any interest or participation in any such transaction, agreement, arrangement or other matter or opportunity as a result of participation therein by a Business Opportunity Exempt Party. This </w:t>
      </w:r>
      <w:r>
        <w:rPr>
          <w:rFonts w:ascii="Times New Roman" w:cs="Times New Roman" w:eastAsia="Times New Roman" w:hAnsi="Times New Roman"/>
          <w:sz w:val="17"/>
          <w:szCs w:val="17"/>
          <w:u w:val="single" w:color="auto"/>
          <w:color w:val="auto"/>
        </w:rPr>
        <w:t>Section 12.1.5</w:t>
      </w:r>
      <w:r>
        <w:rPr>
          <w:rFonts w:ascii="Times New Roman" w:cs="Times New Roman" w:eastAsia="Times New Roman" w:hAnsi="Times New Roman"/>
          <w:sz w:val="17"/>
          <w:szCs w:val="17"/>
          <w:color w:val="auto"/>
        </w:rPr>
        <w:t xml:space="preserve"> shall not apply to, and no interest or expectancy of the Partnership is renounced with respect to, any opportunity offered to any director or officer of PubCo or its Subsidiaries if such opportunity is expressly offered or presented to, or acquired or developed by, such Person solely in his or her capacity as a director or officer of PubCo or its Subsidiaries. No amendment or repeal of this </w:t>
      </w:r>
      <w:r>
        <w:rPr>
          <w:rFonts w:ascii="Times New Roman" w:cs="Times New Roman" w:eastAsia="Times New Roman" w:hAnsi="Times New Roman"/>
          <w:sz w:val="17"/>
          <w:szCs w:val="17"/>
          <w:u w:val="single" w:color="auto"/>
          <w:color w:val="auto"/>
        </w:rPr>
        <w:t>Section</w:t>
      </w:r>
    </w:p>
    <w:p>
      <w:pPr>
        <w:spacing w:after="0" w:line="2" w:lineRule="exact"/>
        <w:rPr>
          <w:rFonts w:ascii="Times New Roman" w:cs="Times New Roman" w:eastAsia="Times New Roman" w:hAnsi="Times New Roman"/>
          <w:sz w:val="17"/>
          <w:szCs w:val="17"/>
          <w:color w:val="auto"/>
        </w:rPr>
      </w:pPr>
    </w:p>
    <w:p>
      <w:pPr>
        <w:ind w:left="800"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12.1.5</w:t>
      </w:r>
      <w:r>
        <w:rPr>
          <w:rFonts w:ascii="Times New Roman" w:cs="Times New Roman" w:eastAsia="Times New Roman" w:hAnsi="Times New Roman"/>
          <w:sz w:val="18"/>
          <w:szCs w:val="18"/>
          <w:color w:val="auto"/>
        </w:rPr>
        <w:t xml:space="preserve"> shall apply to or have any effect on the liability or alleged liability of any Business Opportunities Exempt Party for or with respect to any opportunities of which any such Business Opportunities Exempt Party becomes aware prior to such amendment or repeal. Any Person purchasing or otherwise acquiring any interest in any Units shall be deemed to have notice of and consented to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12.1.5</w:t>
      </w:r>
      <w:r>
        <w:rPr>
          <w:rFonts w:ascii="Times New Roman" w:cs="Times New Roman" w:eastAsia="Times New Roman" w:hAnsi="Times New Roman"/>
          <w:sz w:val="18"/>
          <w:szCs w:val="18"/>
          <w:color w:val="auto"/>
        </w:rPr>
        <w:t xml:space="preserve">. Neither the amendment or repeal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nor the adoption of any provision of this Agreement inconsistent with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that, but for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would accrue or arise, prior to such amendment, repeal or adoption. No action or inaction taken by any Business Opportunities Exempt Party in a manner consistent with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be deemed to be a violation of any fiduciary or other duty owed to any Person.</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7"/>
          <w:szCs w:val="17"/>
          <w:i w:val="1"/>
          <w:iCs w:val="1"/>
          <w:color w:val="auto"/>
        </w:rPr>
        <w:t>Exculpation and Indemnification</w:t>
      </w:r>
      <w:r>
        <w:rPr>
          <w:rFonts w:ascii="Times New Roman" w:cs="Times New Roman" w:eastAsia="Times New Roman" w:hAnsi="Times New Roman"/>
          <w:sz w:val="17"/>
          <w:szCs w:val="17"/>
          <w:color w:val="auto"/>
        </w:rPr>
        <w:t>. Notwithstanding any other provision of this Agreement, whether express or implied, to the fullest extent</w:t>
      </w:r>
    </w:p>
    <w:p>
      <w:pPr>
        <w:spacing w:after="0" w:line="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permitted by law, no Indemnitee shall be liable to the Partnership or any Partner for any act or omission in relation to the Partnership or this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Agreement or any transaction contemplated hereby taken or omitted by an Indemnitee unless such Indemnitee’s conduct constituted fraud, bad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faith or willful misconduct. To the fullest extent permitted by law, as the same exists or hereafter be amended (but in the case of any such</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amendment, only to the extent that such amendment permits the Partnership to provide broader indemnification rights than such law permitted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Partnership to provide prior to such amendment), the Partnership shall indemnify any Indemnitee who was or is made or is threatened to be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made a party to or is otherwise involved in any threatened, pending or completed action, suit or proceeding (brought in the right of the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Partnership or otherwise), whether civil, criminal, administrative, arbitrative or investigative, and whether formal or informal (hereinafter a</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including appeals, by reason of his or her or its status as an Indemnitee or by reason of any action alleged to have been taken 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omitted to be taken by Indemnitee in such capacity, for and against all loss and liability suffered and expenses (including attorneys’ fees),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judgments, fines and amounts paid in settlement reasonably incurred by such Indemnitee in connection with such action,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893445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200" w:name="page201"/>
    <w:bookmarkEnd w:id="200"/>
    <w:p>
      <w:pPr>
        <w:ind w:left="800" w:right="40"/>
        <w:spacing w:after="0" w:line="253" w:lineRule="auto"/>
        <w:rPr>
          <w:sz w:val="20"/>
          <w:szCs w:val="20"/>
          <w:color w:val="auto"/>
        </w:rPr>
      </w:pPr>
      <w:r>
        <w:rPr>
          <w:rFonts w:ascii="Times New Roman" w:cs="Times New Roman" w:eastAsia="Times New Roman" w:hAnsi="Times New Roman"/>
          <w:sz w:val="18"/>
          <w:szCs w:val="18"/>
          <w:color w:val="auto"/>
        </w:rPr>
        <w:t>or proceeding, including appeals; provided that such Indemnitee shall not be entitled to indemnification hereunder if, but only to the extent that, such Indemnitee’s conduct constituted fraud, bad faith or willful misconduct. Notwithstanding the preceding sentence, except as otherwise provided in Section 12.2.3, the Partnership shall be required to indemnify an Indemnitee in connection with any action, suit or proceeding (or part thereof) (i) commenced by such Indemnitee only if the commencement of such action, suit or proceeding (or part thereof) by such Indemnitee was authorized by the General Partner, and (ii) by or in the right of the Partnership only if the General Partner has provided its prior written consent. The indemnification of an Indemnitee of the type identified in clause (d)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Times New Roman" w:cs="Times New Roman" w:eastAsia="Times New Roman" w:hAnsi="Times New Roman"/>
          <w:sz w:val="18"/>
          <w:szCs w:val="18"/>
          <w:b w:val="1"/>
          <w:bCs w:val="1"/>
          <w:color w:val="auto"/>
        </w:rPr>
        <w:t>Primary Indemnification</w:t>
      </w:r>
      <w:r>
        <w:rPr>
          <w:rFonts w:ascii="Times New Roman" w:cs="Times New Roman" w:eastAsia="Times New Roman" w:hAnsi="Times New Roman"/>
          <w:sz w:val="18"/>
          <w:szCs w:val="18"/>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Partnership. The indemnification of any other Indemnitee shall, to the extent not in conflict with such policy, be secondary to any and all payment to which such Indemnitee is entitled from any relevant insurance policy issued to or for the benefit of the Partnership or any Indemnitee.</w:t>
      </w:r>
    </w:p>
    <w:p>
      <w:pPr>
        <w:spacing w:after="0" w:line="242" w:lineRule="exact"/>
        <w:rPr>
          <w:sz w:val="20"/>
          <w:szCs w:val="20"/>
          <w:color w:val="auto"/>
        </w:rPr>
      </w:pPr>
    </w:p>
    <w:p>
      <w:pPr>
        <w:ind w:left="800" w:right="4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To the fullest extent permitted by law, the Partnership shall promptly pay reasonable expenses (including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otherwise. Notwithstanding the preceding sentence, except as otherwise provided in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the Partnership shall be required to pay expenses of an Indemnitee in connection with any Proceeding (or part thereof) (i) commenced by such Indemnitee only if the commencement of such action, suit or proceeding (or part thereof) by such Indemnitee was authorized by the General Partner and (ii) by or in the right of the Partnership only if the General Partner has provided its prior written consent.</w:t>
      </w:r>
    </w:p>
    <w:p>
      <w:pPr>
        <w:spacing w:after="0" w:line="239" w:lineRule="exact"/>
        <w:rPr>
          <w:sz w:val="20"/>
          <w:szCs w:val="20"/>
          <w:color w:val="auto"/>
        </w:rPr>
      </w:pPr>
    </w:p>
    <w:p>
      <w:pPr>
        <w:ind w:left="800" w:hanging="796"/>
        <w:spacing w:after="0" w:line="255" w:lineRule="auto"/>
        <w:tabs>
          <w:tab w:leader="none" w:pos="78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8"/>
          <w:szCs w:val="18"/>
          <w:i w:val="1"/>
          <w:iCs w:val="1"/>
          <w:color w:val="auto"/>
        </w:rPr>
        <w:t>Unpaid Claims</w:t>
      </w:r>
      <w:r>
        <w:rPr>
          <w:rFonts w:ascii="Times New Roman" w:cs="Times New Roman" w:eastAsia="Times New Roman" w:hAnsi="Times New Roman"/>
          <w:sz w:val="18"/>
          <w:szCs w:val="18"/>
          <w:color w:val="auto"/>
        </w:rPr>
        <w:t>. If a claim for indemnification (following the final disposition of such Proceeding) or advancement of expenses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is not paid in full within 30 days after a written claim therefor by any Indemnitee has been received by the Partnership, such Indemnitee may file proceedings to recover the unpaid amount of such claim and, if successful in whole or in part, shall be entitled to be paid the expense of prosecuting such claim. In any such action the Partnership shall have the burden of proving that such Indemnitee is not entitled to the requested indemnification or advancement of expenses under applicable Law.</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12.2.4</w:t>
      </w:r>
      <w:r>
        <w:rPr>
          <w:sz w:val="20"/>
          <w:szCs w:val="20"/>
          <w:color w:val="auto"/>
        </w:rPr>
        <w:tab/>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w:t>
      </w:r>
    </w:p>
    <w:p>
      <w:pPr>
        <w:spacing w:after="0" w:line="281" w:lineRule="exact"/>
        <w:rPr>
          <w:sz w:val="20"/>
          <w:szCs w:val="20"/>
          <w:color w:val="auto"/>
        </w:rPr>
      </w:pPr>
    </w:p>
    <w:p>
      <w:pPr>
        <w:ind w:left="1480" w:right="280" w:hanging="682"/>
        <w:spacing w:after="0" w:line="266" w:lineRule="auto"/>
        <w:tabs>
          <w:tab w:leader="none" w:pos="1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Partnership may purchase and maintain insurance on behalf of any Person described in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against any liability asserted against such person, whether or not the Partnership would have the power to indemnify such person against such liability under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otherwise.</w:t>
      </w:r>
    </w:p>
    <w:p>
      <w:pPr>
        <w:spacing w:after="0" w:line="229" w:lineRule="exact"/>
        <w:rPr>
          <w:rFonts w:ascii="Times New Roman" w:cs="Times New Roman" w:eastAsia="Times New Roman" w:hAnsi="Times New Roman"/>
          <w:sz w:val="18"/>
          <w:szCs w:val="18"/>
          <w:color w:val="auto"/>
        </w:rPr>
      </w:pPr>
    </w:p>
    <w:p>
      <w:pPr>
        <w:ind w:left="1480" w:right="20" w:hanging="682"/>
        <w:spacing w:after="0" w:line="255" w:lineRule="auto"/>
        <w:tabs>
          <w:tab w:leader="none" w:pos="1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payment by the Partnership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Partnership shall be subrogated to the extent of such payment to all of the rights of recovery of the Indemnitee from any relevant other Person or under any insurance policy issued to or for the benefit of the Partnership, such relevant other Person, or any Indemnitee. Each Indemnitee agrees to execute all papers required and take all action necessary to secure such rights, including the execution of such documents as are necessary to enable the Partnership to bring suit to enforce any such rights in accordance with the terms of such insurance policy or other relevant document. The Partnership shall pay or reimburse all expenses actually and reasonably incurred by the Indemnitee in connection with such subrogation.</w:t>
      </w:r>
    </w:p>
    <w:p>
      <w:pPr>
        <w:spacing w:after="0" w:line="242" w:lineRule="exact"/>
        <w:rPr>
          <w:rFonts w:ascii="Times New Roman" w:cs="Times New Roman" w:eastAsia="Times New Roman" w:hAnsi="Times New Roman"/>
          <w:sz w:val="18"/>
          <w:szCs w:val="18"/>
          <w:color w:val="auto"/>
        </w:rPr>
      </w:pPr>
    </w:p>
    <w:p>
      <w:pPr>
        <w:ind w:left="1480" w:right="160" w:hanging="682"/>
        <w:spacing w:after="0" w:line="266" w:lineRule="auto"/>
        <w:tabs>
          <w:tab w:leader="none" w:pos="1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not be liable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to make any payment of amounts otherwise indemnifiable hereunder (including judgments, fines and amounts paid in settlement, and excise taxes with respect to an employee benefit plan or penalties) if and to the extent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873760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201" w:name="page202"/>
    <w:bookmarkEnd w:id="201"/>
    <w:p>
      <w:pPr>
        <w:ind w:left="1480" w:right="640"/>
        <w:spacing w:after="0" w:line="282" w:lineRule="auto"/>
        <w:rPr>
          <w:sz w:val="20"/>
          <w:szCs w:val="20"/>
          <w:color w:val="auto"/>
        </w:rPr>
      </w:pPr>
      <w:r>
        <w:rPr>
          <w:rFonts w:ascii="Times New Roman" w:cs="Times New Roman" w:eastAsia="Times New Roman" w:hAnsi="Times New Roman"/>
          <w:sz w:val="18"/>
          <w:szCs w:val="18"/>
          <w:color w:val="auto"/>
        </w:rPr>
        <w:t xml:space="preserve">applicable Indemnitee has otherwise actually received such payment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any insurance policy, contract, agreement or otherwise.</w:t>
      </w:r>
    </w:p>
    <w:p>
      <w:pPr>
        <w:spacing w:after="0" w:line="214" w:lineRule="exact"/>
        <w:rPr>
          <w:sz w:val="20"/>
          <w:szCs w:val="20"/>
          <w:color w:val="auto"/>
        </w:rPr>
      </w:pPr>
    </w:p>
    <w:p>
      <w:pPr>
        <w:ind w:left="800" w:hanging="796"/>
        <w:spacing w:after="0" w:line="252" w:lineRule="auto"/>
        <w:tabs>
          <w:tab w:leader="none" w:pos="780" w:val="left"/>
        </w:tabs>
        <w:rPr>
          <w:sz w:val="20"/>
          <w:szCs w:val="20"/>
          <w:color w:val="auto"/>
        </w:rPr>
      </w:pPr>
      <w:r>
        <w:rPr>
          <w:rFonts w:ascii="Times New Roman" w:cs="Times New Roman" w:eastAsia="Times New Roman" w:hAnsi="Times New Roman"/>
          <w:sz w:val="18"/>
          <w:szCs w:val="18"/>
          <w:color w:val="auto"/>
        </w:rPr>
        <w:t>12.2.5</w:t>
      </w:r>
      <w:r>
        <w:rPr>
          <w:sz w:val="20"/>
          <w:szCs w:val="20"/>
          <w:color w:val="auto"/>
        </w:rPr>
        <w:tab/>
      </w:r>
      <w:r>
        <w:rPr>
          <w:rFonts w:ascii="Times New Roman" w:cs="Times New Roman" w:eastAsia="Times New Roman" w:hAnsi="Times New Roman"/>
          <w:sz w:val="18"/>
          <w:szCs w:val="18"/>
          <w:i w:val="1"/>
          <w:iCs w:val="1"/>
          <w:color w:val="auto"/>
        </w:rPr>
        <w:t xml:space="preserve">Non-Exclusivity of Rights. </w:t>
      </w:r>
      <w:r>
        <w:rPr>
          <w:rFonts w:ascii="Times New Roman" w:cs="Times New Roman" w:eastAsia="Times New Roman" w:hAnsi="Times New Roman"/>
          <w:sz w:val="18"/>
          <w:szCs w:val="18"/>
          <w:color w:val="auto"/>
        </w:rPr>
        <w:t>The provisions of this Section 12.2 shall be applicable to all actions, claims, suits or proceedings made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commenced after the date of this Agreement, whether arising from acts or omissions to act occurring before or after its adoption. The provisions of this Section 12.2 shall be deemed to be a contract between the Partnership and each person entitled to indemnification under this Section 12.2 (or legal representative thereof) who serves in such capacity at any time while this Section 12.2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Section 12.2 shall be found to be invalid or limited in application by reason of any Law or regulation, it shall not affect the validity of the remaining provisions hereof. The rights of indemnification provided in this Section 12.2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Partnership that indemnification of any person whom the Partnership is obligated to indemnify pursuant to Section 12.2.1 shall be made to the fullest extent permitted by law.</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0" w:hanging="796"/>
        <w:spacing w:after="0" w:line="259" w:lineRule="auto"/>
        <w:tabs>
          <w:tab w:leader="none" w:pos="780" w:val="left"/>
        </w:tabs>
        <w:rPr>
          <w:sz w:val="20"/>
          <w:szCs w:val="20"/>
          <w:color w:val="auto"/>
        </w:rPr>
      </w:pPr>
      <w:r>
        <w:rPr>
          <w:rFonts w:ascii="Times New Roman" w:cs="Times New Roman" w:eastAsia="Times New Roman" w:hAnsi="Times New Roman"/>
          <w:sz w:val="18"/>
          <w:szCs w:val="18"/>
          <w:color w:val="auto"/>
        </w:rPr>
        <w:t>12.2.6</w:t>
      </w:r>
      <w:r>
        <w:rPr>
          <w:sz w:val="20"/>
          <w:szCs w:val="20"/>
          <w:color w:val="auto"/>
        </w:rPr>
        <w:tab/>
      </w: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Partnership</w:t>
      </w:r>
      <w:r>
        <w:rPr>
          <w:rFonts w:ascii="Times New Roman" w:cs="Times New Roman" w:eastAsia="Times New Roman" w:hAnsi="Times New Roman"/>
          <w:sz w:val="18"/>
          <w:szCs w:val="18"/>
          <w:color w:val="auto"/>
        </w:rPr>
        <w:t>” shall include any service as a director, officer, employee or agent of the General Partner (if engaged by the General Partner in its capacity as general partner of the Partnership) or as an employee or agent of the Partnership which imposes duties on, or involves services by, such director, officer, employee, or agent with respect to an employee benefit plan, its participants, or beneficiaries.</w:t>
      </w:r>
    </w:p>
    <w:p>
      <w:pPr>
        <w:spacing w:after="0" w:line="237" w:lineRule="exact"/>
        <w:rPr>
          <w:sz w:val="20"/>
          <w:szCs w:val="20"/>
          <w:color w:val="auto"/>
        </w:rPr>
      </w:pPr>
    </w:p>
    <w:p>
      <w:pPr>
        <w:ind w:left="800" w:right="380" w:hanging="796"/>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12.2.7</w:t>
      </w:r>
      <w:r>
        <w:rPr>
          <w:sz w:val="20"/>
          <w:szCs w:val="20"/>
          <w:color w:val="auto"/>
        </w:rPr>
        <w:tab/>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not limit the right of the Partnership, to the extent and in the manner permitted by law, to indemnify and to advance expenses to, and purchase and maintain insurance on behalf of, persons other than persons described in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The provisions of this Section 12 shall survive the dissolution, liquidation, winding up and termination of the Partnership.</w:t>
      </w:r>
    </w:p>
    <w:p>
      <w:pPr>
        <w:spacing w:after="0" w:line="200" w:lineRule="exact"/>
        <w:rPr>
          <w:sz w:val="20"/>
          <w:szCs w:val="20"/>
          <w:color w:val="auto"/>
        </w:rPr>
      </w:pPr>
    </w:p>
    <w:p>
      <w:pPr>
        <w:spacing w:after="0" w:line="25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9" w:lineRule="exact"/>
        <w:rPr>
          <w:sz w:val="20"/>
          <w:szCs w:val="20"/>
          <w:color w:val="auto"/>
        </w:rPr>
      </w:pPr>
    </w:p>
    <w:p>
      <w:pPr>
        <w:ind w:left="800" w:right="2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For all purposes of this Agreement,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of any asset, property or equity interest means the amount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seller of such asset, property or equity interest would receive in a sale of such asset, property or equity interest in an arms-length transaction with an unaffiliated third party consummated on a date determined by the General Partner (which may be the date on which the event occurred which necessitated the determination of the Fair Market Value) (and after giving effect to any transfer taxes payable in connection with such sale).</w:t>
      </w:r>
    </w:p>
    <w:p>
      <w:pPr>
        <w:spacing w:after="0" w:line="237" w:lineRule="exact"/>
        <w:rPr>
          <w:sz w:val="20"/>
          <w:szCs w:val="20"/>
          <w:color w:val="auto"/>
        </w:rPr>
      </w:pPr>
    </w:p>
    <w:p>
      <w:pPr>
        <w:ind w:left="800" w:right="180" w:hanging="796"/>
        <w:spacing w:after="0" w:line="257" w:lineRule="auto"/>
        <w:tabs>
          <w:tab w:leader="none" w:pos="7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 xml:space="preserve">Determination </w:t>
      </w:r>
      <w:r>
        <w:rPr>
          <w:rFonts w:ascii="Times New Roman" w:cs="Times New Roman" w:eastAsia="Times New Roman" w:hAnsi="Times New Roman"/>
          <w:sz w:val="18"/>
          <w:szCs w:val="18"/>
          <w:color w:val="auto"/>
        </w:rPr>
        <w:t>Fair Market Value shall be determined by the General Partner (or, if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the Liquidator) in its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judgment in such manner as it deems reasonable and using all factors, information and data deemed to be pertinent;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determination of Fair Market Value shall give effect or take into account any “minority discount” or “liquidity discount” (or any similar discount arising out of the fact that the Units are restricted or is not registered with the Commission, publicly traded or listed on a securities exchange), but shall value the Partnership and its Subsidiaries and their respective businesses in their entirety on an enterprise basis using any variety of industry recognized valuation techniques commonly used to value businesses.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884555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31" w:right="379" w:bottom="1440" w:gutter="0" w:footer="0" w:header="0"/>
        </w:sectPr>
      </w:pPr>
    </w:p>
    <w:bookmarkStart w:id="202" w:name="page203"/>
    <w:bookmarkEnd w:id="202"/>
    <w:p>
      <w:pPr>
        <w:ind w:left="820" w:hanging="796"/>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requests, claims, demands and other communications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shall be in writing and shall be given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Section 14.1):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General Partner: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Sir John Rogerson’s Quay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2,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Tim Bertram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Tim.Bertram@prokidney.com</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Lee Hochbaum, Richard Truesdell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lee.hochbaum@davispolk.com, richard.truesdell@davispolk.com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12th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Matthew Simpson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MTSimpson@mintz.com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Stuart Leblang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Pavlich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sleblang@akingump.com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jpavlich@akingump.com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PubCo: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Frontis Plaza Blvd., Suite 250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Winston-Salem, NC 27103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Tim Bertram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Tim.Bertram@prokidney.com</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Lee Hochbaum, Richard Truesdell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lee.hochbaum@davispolk.com, richard.truesdell@davispolk.com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12th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Matthew Simpson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MTSimpson@mintz.com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any Limited Partner (other than PubCo):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Partner at the address of such Partner as set forth in Schedule 1 hereto;</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 to such other address or addresses as the applicable Partner may designate to the other Partners by like notice as hereinabove set forth. Email addresses are listed for the convenience, but shall not be sufficient to constitute notice under this Agreement unless a confirmation copy of such notice is delivered (a) personally (with signed confirmation of receipt), or (b) by Federal Express or other overnight mail (with signed confirmation of receipt).</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Notices shall be in writing and shall be deemed to have been given: (i) upon delivery, if by hand; or (ii) on the delivery date as recorded by the delivery service, if sent by Federal Express or other overnight mail.</w:t>
      </w:r>
    </w:p>
    <w:p>
      <w:pPr>
        <w:jc w:val="both"/>
        <w:ind w:left="820" w:hanging="796"/>
        <w:spacing w:after="0" w:line="263" w:lineRule="auto"/>
        <w:tabs>
          <w:tab w:leader="none" w:pos="80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Cumulative Remedies </w:t>
      </w:r>
      <w:r>
        <w:rPr>
          <w:rFonts w:ascii="Times New Roman" w:cs="Times New Roman" w:eastAsia="Times New Roman" w:hAnsi="Times New Roman"/>
          <w:sz w:val="18"/>
          <w:szCs w:val="18"/>
          <w:color w:val="auto"/>
        </w:rPr>
        <w:t>The rights and remedies provided by this Agreement are cumulative and the use of any one right or remedy by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preclude or waive its right to use any or all other remedies. Said rights and remedies are given in addition to any other rights the parties may have by Law.</w:t>
      </w:r>
    </w:p>
    <w:p>
      <w:pPr>
        <w:spacing w:after="0" w:line="229" w:lineRule="exact"/>
        <w:rPr>
          <w:sz w:val="20"/>
          <w:szCs w:val="20"/>
          <w:color w:val="auto"/>
        </w:rPr>
      </w:pPr>
    </w:p>
    <w:p>
      <w:pPr>
        <w:ind w:left="820" w:right="820" w:hanging="796"/>
        <w:spacing w:after="0" w:line="286" w:lineRule="auto"/>
        <w:tabs>
          <w:tab w:leader="none" w:pos="80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Agreement shall be binding upon and inure to the benefit of all of the parties and, to the extent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their successors, executors, administrators, heirs, legal representatives and assigns.</w:t>
      </w:r>
    </w:p>
    <w:p>
      <w:pPr>
        <w:spacing w:after="0" w:line="209" w:lineRule="exact"/>
        <w:rPr>
          <w:sz w:val="20"/>
          <w:szCs w:val="20"/>
          <w:color w:val="auto"/>
        </w:rPr>
      </w:pPr>
    </w:p>
    <w:p>
      <w:pPr>
        <w:ind w:left="820" w:right="6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Throughout this Agreement, nouns, pronouns and verbs shall be construed as masculine, feminine, neuter, singular or plural,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whichever shall be applicable. Unless otherwise specified, all references herein to “Articles,” “Sections” and paragraphs shall refer to corresponding provisions of this Agreement. 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w:t>
      </w: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 and shall not be construed to limit any general statement that it follows to the specific or similar items or matters immediately following it. 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20" w:right="140"/>
        <w:spacing w:after="0" w:line="266" w:lineRule="auto"/>
        <w:rPr>
          <w:sz w:val="20"/>
          <w:szCs w:val="20"/>
          <w:color w:val="auto"/>
        </w:rPr>
      </w:pPr>
      <w:r>
        <w:rPr>
          <w:rFonts w:ascii="Times New Roman" w:cs="Times New Roman" w:eastAsia="Times New Roman" w:hAnsi="Times New Roman"/>
          <w:sz w:val="18"/>
          <w:szCs w:val="18"/>
          <w:color w:val="auto"/>
        </w:rPr>
        <w:t>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226" w:lineRule="exact"/>
        <w:rPr>
          <w:sz w:val="20"/>
          <w:szCs w:val="20"/>
          <w:color w:val="auto"/>
        </w:rPr>
      </w:pPr>
    </w:p>
    <w:p>
      <w:pPr>
        <w:ind w:left="820" w:right="60" w:hanging="796"/>
        <w:spacing w:after="0" w:line="257" w:lineRule="auto"/>
        <w:tabs>
          <w:tab w:leader="none" w:pos="80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term or other provision of this Agreement is held to be invalid, illegal or incapable of being enforced by any rule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36" w:lineRule="exact"/>
        <w:rPr>
          <w:sz w:val="20"/>
          <w:szCs w:val="20"/>
          <w:color w:val="auto"/>
        </w:rPr>
      </w:pPr>
    </w:p>
    <w:p>
      <w:pPr>
        <w:jc w:val="both"/>
        <w:ind w:left="820" w:right="120" w:hanging="796"/>
        <w:spacing w:after="0" w:line="286" w:lineRule="auto"/>
        <w:tabs>
          <w:tab w:leader="none" w:pos="80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and subheadings in this Agreement are included for convenience and identification only and are in no way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 interpret, define or limit the scope, extent or intent of this Agreement or any provision hereof.</w:t>
      </w:r>
    </w:p>
    <w:p>
      <w:pPr>
        <w:spacing w:after="0" w:line="209" w:lineRule="exact"/>
        <w:rPr>
          <w:sz w:val="20"/>
          <w:szCs w:val="20"/>
          <w:color w:val="auto"/>
        </w:rPr>
      </w:pPr>
    </w:p>
    <w:p>
      <w:pPr>
        <w:jc w:val="both"/>
        <w:ind w:left="820" w:right="140" w:hanging="796"/>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and delivered (including by email or facsimile transmission) in one or more counterparts,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different parties hereto in separate counterparts, each of which when executed and delivered shall be deemed to be an original but all of which taken together shall constitute one and the same agreement. Copies of executed counterparts transmitted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4" w:name="page205"/>
    <w:bookmarkEnd w:id="204"/>
    <w:p>
      <w:pPr>
        <w:jc w:val="center"/>
        <w:ind w:right="40"/>
        <w:spacing w:after="0"/>
        <w:rPr>
          <w:sz w:val="20"/>
          <w:szCs w:val="20"/>
          <w:color w:val="auto"/>
        </w:rPr>
      </w:pPr>
      <w:r>
        <w:rPr>
          <w:rFonts w:ascii="Times New Roman" w:cs="Times New Roman" w:eastAsia="Times New Roman" w:hAnsi="Times New Roman"/>
          <w:sz w:val="18"/>
          <w:szCs w:val="18"/>
          <w:color w:val="auto"/>
        </w:rPr>
        <w:t>telecopy or other electronic transmission service shall be considered original executed counterparts for purposes of this Section 14.7.</w:t>
      </w:r>
    </w:p>
    <w:p>
      <w:pPr>
        <w:spacing w:after="0" w:line="275" w:lineRule="exact"/>
        <w:rPr>
          <w:sz w:val="20"/>
          <w:szCs w:val="20"/>
          <w:color w:val="auto"/>
        </w:rPr>
      </w:pPr>
    </w:p>
    <w:p>
      <w:pPr>
        <w:ind w:left="820" w:right="160" w:hanging="796"/>
        <w:spacing w:after="0" w:line="286" w:lineRule="auto"/>
        <w:tabs>
          <w:tab w:leader="none" w:pos="80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Each Partner shall perform all other acts and execute and deliver all other documents as may be necessary or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carry out the purposes and intent of this Agreement.</w:t>
      </w:r>
    </w:p>
    <w:p>
      <w:pPr>
        <w:spacing w:after="0" w:line="209" w:lineRule="exact"/>
        <w:rPr>
          <w:sz w:val="20"/>
          <w:szCs w:val="20"/>
          <w:color w:val="auto"/>
        </w:rPr>
      </w:pPr>
    </w:p>
    <w:p>
      <w:pPr>
        <w:ind w:left="820" w:hanging="796"/>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agreements referred to herein (including the Lock-Up Agreement)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hereto pertaining to the subject matter hereof and supersedes all prior agreements and understandings, whether oral or written, pertaining thereto (including the Existing Partnership Agreement).</w:t>
      </w:r>
    </w:p>
    <w:p>
      <w:pPr>
        <w:spacing w:after="0" w:line="225" w:lineRule="exact"/>
        <w:rPr>
          <w:sz w:val="20"/>
          <w:szCs w:val="20"/>
          <w:color w:val="auto"/>
        </w:rPr>
      </w:pPr>
    </w:p>
    <w:p>
      <w:pPr>
        <w:ind w:left="820" w:right="40" w:hanging="796"/>
        <w:spacing w:after="0" w:line="259" w:lineRule="auto"/>
        <w:tabs>
          <w:tab w:leader="none" w:pos="800" w:val="left"/>
        </w:tabs>
        <w:rPr>
          <w:sz w:val="20"/>
          <w:szCs w:val="20"/>
          <w:color w:val="auto"/>
        </w:rPr>
      </w:pPr>
      <w:r>
        <w:rPr>
          <w:rFonts w:ascii="Times New Roman" w:cs="Times New Roman" w:eastAsia="Times New Roman" w:hAnsi="Times New Roman"/>
          <w:sz w:val="18"/>
          <w:szCs w:val="18"/>
          <w:color w:val="auto"/>
        </w:rPr>
        <w:t>14.10</w:t>
      </w:r>
      <w:r>
        <w:rPr>
          <w:sz w:val="20"/>
          <w:szCs w:val="20"/>
          <w:color w:val="auto"/>
        </w:rPr>
        <w:tab/>
      </w: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Notwithstanding the place where this Agreement may be executed by any of the parties thereto,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agree that all the terms and provisions hereof shall be governed by and construed in accordance with the laws of the Ireland. The courts of Ireland shall have non-exclusive jurisdiction to hear and determine any claim, suit, action or proceeding, and to settle any disputes, which may arise out of or are in any way related to or in connection with this Agreement, and, for such purposes, each party submits to the non-exclusive jurisdiction of such courts.</w:t>
      </w:r>
    </w:p>
    <w:p>
      <w:pPr>
        <w:spacing w:after="0" w:line="233" w:lineRule="exact"/>
        <w:rPr>
          <w:sz w:val="20"/>
          <w:szCs w:val="20"/>
          <w:color w:val="auto"/>
        </w:rPr>
      </w:pPr>
    </w:p>
    <w:p>
      <w:pPr>
        <w:jc w:val="both"/>
        <w:ind w:left="820" w:right="240" w:hanging="796"/>
        <w:spacing w:after="0" w:line="259" w:lineRule="auto"/>
        <w:tabs>
          <w:tab w:leader="none" w:pos="80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Except as otherwise specified in this Agreement, the Partnership shall be responsible for all costs and expenses, including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disbursements of counsel, financial advisors and accountants, incurred by the Partners and the Partnership in connection with the preparation and negotiation of this Agreement.</w:t>
      </w: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7"/>
          <w:szCs w:val="17"/>
          <w:b w:val="1"/>
          <w:bCs w:val="1"/>
          <w:color w:val="auto"/>
        </w:rPr>
        <w:t>Amendments and Waivers</w:t>
      </w:r>
    </w:p>
    <w:p>
      <w:pPr>
        <w:spacing w:after="0" w:line="281" w:lineRule="exact"/>
        <w:rPr>
          <w:sz w:val="20"/>
          <w:szCs w:val="20"/>
          <w:color w:val="auto"/>
        </w:rPr>
      </w:pPr>
    </w:p>
    <w:p>
      <w:pPr>
        <w:ind w:left="820" w:right="60" w:hanging="796"/>
        <w:spacing w:after="0" w:line="252" w:lineRule="auto"/>
        <w:tabs>
          <w:tab w:leader="none" w:pos="800" w:val="left"/>
        </w:tabs>
        <w:rPr>
          <w:sz w:val="20"/>
          <w:szCs w:val="20"/>
          <w:color w:val="auto"/>
        </w:rPr>
      </w:pPr>
      <w:r>
        <w:rPr>
          <w:rFonts w:ascii="Times New Roman" w:cs="Times New Roman" w:eastAsia="Times New Roman" w:hAnsi="Times New Roman"/>
          <w:sz w:val="18"/>
          <w:szCs w:val="18"/>
          <w:color w:val="auto"/>
        </w:rPr>
        <w:t>14.12.1</w:t>
      </w:r>
      <w:r>
        <w:rPr>
          <w:sz w:val="20"/>
          <w:szCs w:val="20"/>
          <w:color w:val="auto"/>
        </w:rPr>
        <w:tab/>
      </w:r>
      <w:r>
        <w:rPr>
          <w:rFonts w:ascii="Times New Roman" w:cs="Times New Roman" w:eastAsia="Times New Roman" w:hAnsi="Times New Roman"/>
          <w:sz w:val="18"/>
          <w:szCs w:val="18"/>
          <w:i w:val="1"/>
          <w:iCs w:val="1"/>
          <w:color w:val="auto"/>
        </w:rPr>
        <w:t xml:space="preserve">Amendments by General Partner with Approval of PubCo </w:t>
      </w:r>
      <w:r>
        <w:rPr>
          <w:rFonts w:ascii="Times New Roman" w:cs="Times New Roman" w:eastAsia="Times New Roman" w:hAnsi="Times New Roman"/>
          <w:sz w:val="18"/>
          <w:szCs w:val="18"/>
          <w:color w:val="auto"/>
        </w:rPr>
        <w:t>This Agreement (including the Annexes hereto) may be amended, supplemented,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waived or modified by the General Partner with the approval of PubCo (with the approval of a majority of the disinterested members of the PubCo Board) and without the approval of any other Partner or other Person so long as such amendment is executed and delivered to the Partnership by PubCo and has been approved by the General Partner and each of the Limited Partners (other than PubCo) hereby appoints the General Partner as its lawful attorney for the purposes of executing and delivering such amendment on its behalf; provided that, no amendment, including any amendment effected by way of merger, consolidation or Transfer of all or substantially all the assets of the Partnership, may (i) materially and adversely affect the rights of a holder of Units, as such, other than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other holders of Units of the same Class without the consent of such holder (or, if there is more than one such holder that is so affected, without the consent of a majority in interest of such affected holders in accordance with their holdings of such Class of Units); provided that, the creation or issuance of any new Unit or Equity Interest of the Partnership permitted pursuant to Section 9.5 and any amendments or modifications to Agreement to the extent necessary to reflect such creation or issuance shall not be deemed to disproportionately and adversely affect a Partner or remove a right or privilege specifically granted to a Partner in any event; (ii) modify the limited liability of any Partner, or increase the Liabilities of any Partner, in each case, without the prior written consent of each such affected Partner; or (iii) alter or change any rights, preferences or privileges of any Units in a manner that is different or prejudicial relative to any other Units in the same class of Units, without the prior written consent of the holders of a majority of such Units.</w:t>
      </w:r>
    </w:p>
    <w:p>
      <w:pPr>
        <w:spacing w:after="0" w:line="250" w:lineRule="exact"/>
        <w:rPr>
          <w:sz w:val="20"/>
          <w:szCs w:val="20"/>
          <w:color w:val="auto"/>
        </w:rPr>
      </w:pPr>
    </w:p>
    <w:p>
      <w:pPr>
        <w:ind w:left="820" w:right="6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14.12.2</w:t>
      </w:r>
      <w:r>
        <w:rPr>
          <w:sz w:val="20"/>
          <w:szCs w:val="20"/>
          <w:color w:val="auto"/>
        </w:rPr>
        <w:tab/>
      </w:r>
      <w:r>
        <w:rPr>
          <w:rFonts w:ascii="Times New Roman" w:cs="Times New Roman" w:eastAsia="Times New Roman" w:hAnsi="Times New Roman"/>
          <w:sz w:val="18"/>
          <w:szCs w:val="18"/>
          <w:i w:val="1"/>
          <w:iCs w:val="1"/>
          <w:color w:val="auto"/>
        </w:rPr>
        <w:t xml:space="preserve">Amendments by General Partner Without Approval of Other Persons </w:t>
      </w:r>
      <w:r>
        <w:rPr>
          <w:rFonts w:ascii="Times New Roman" w:cs="Times New Roman" w:eastAsia="Times New Roman" w:hAnsi="Times New Roman"/>
          <w:sz w:val="18"/>
          <w:szCs w:val="18"/>
          <w:color w:val="auto"/>
        </w:rPr>
        <w:t>Notwithstanding anything to the contrary herein, the General Partner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written consent of any Partner, amend, supplement, waive or modify any provision of this Agreement, including Schedule I, and execute, swear to, acknowledge, deliver, file and record whatever documents may be required in connection therewith, to reflect:</w:t>
      </w:r>
    </w:p>
    <w:p>
      <w:pPr>
        <w:spacing w:after="0" w:line="81" w:lineRule="exact"/>
        <w:rPr>
          <w:sz w:val="20"/>
          <w:szCs w:val="20"/>
          <w:color w:val="auto"/>
        </w:rPr>
      </w:pPr>
    </w:p>
    <w:p>
      <w:pPr>
        <w:jc w:val="both"/>
        <w:ind w:right="220" w:firstLine="8"/>
        <w:spacing w:after="0" w:line="312" w:lineRule="auto"/>
        <w:tabs>
          <w:tab w:leader="none" w:pos="24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supplement, waiver or modification that the General Partner determines in its reasonable discretion to be necessary or appropriate in connection with the creation, authorization or issuance of Units or any Class or series of equity interest in the Partnership pursuant to Section 9.1 hereof;</w:t>
      </w:r>
    </w:p>
    <w:p>
      <w:pPr>
        <w:spacing w:after="0" w:line="31"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or withdrawal of Partners in accordance with this Agreement, pursuant to Sections 10.6 and 10.7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205" w:name="page206"/>
    <w:bookmarkEnd w:id="205"/>
    <w:p>
      <w:pPr>
        <w:spacing w:after="0" w:line="86" w:lineRule="exact"/>
        <w:rPr>
          <w:sz w:val="20"/>
          <w:szCs w:val="20"/>
          <w:color w:val="auto"/>
        </w:rPr>
      </w:pPr>
    </w:p>
    <w:p>
      <w:pPr>
        <w:ind w:right="160" w:firstLine="8"/>
        <w:spacing w:after="0" w:line="282" w:lineRule="auto"/>
        <w:tabs>
          <w:tab w:leader="none" w:pos="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 (whether to a location in Ireland or outside Ireland);</w:t>
      </w:r>
    </w:p>
    <w:p>
      <w:pPr>
        <w:spacing w:after="0" w:line="53"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supplement, waiver or modification that the General Partner determines in its reasonable discretion to be necessary or appropriate to address changes in U.S. federal income tax regulations, legislation or interpretation or Irish tax regulations, legislation or interpretation; and/or</w:t>
      </w:r>
    </w:p>
    <w:p>
      <w:pPr>
        <w:spacing w:after="0" w:line="53" w:lineRule="exact"/>
        <w:rPr>
          <w:rFonts w:ascii="Times New Roman" w:cs="Times New Roman" w:eastAsia="Times New Roman" w:hAnsi="Times New Roman"/>
          <w:sz w:val="18"/>
          <w:szCs w:val="18"/>
          <w:color w:val="auto"/>
        </w:rPr>
      </w:pPr>
    </w:p>
    <w:p>
      <w:pPr>
        <w:ind w:right="140" w:firstLine="8"/>
        <w:spacing w:after="0" w:line="257" w:lineRule="auto"/>
        <w:tabs>
          <w:tab w:leader="none" w:pos="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a change in the dates on which Distributions are to be made by the Partnership.</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an amendment has been approved in accordance with this Agreement, such amendment shall be adopted and effective with respect to all Partners. Upon obtaining such approvals as may be required by this Agreement, and without further action or execution on the part of any Partner or other Person, any amendment to this Agreement may be implemented and reflected in a writing executed solely by the General Partner and the Partners shall be deemed a party to and bound by such amendment.</w:t>
      </w:r>
    </w:p>
    <w:p>
      <w:pPr>
        <w:spacing w:after="0" w:line="3" w:lineRule="exact"/>
        <w:rPr>
          <w:sz w:val="20"/>
          <w:szCs w:val="20"/>
          <w:color w:val="auto"/>
        </w:rPr>
      </w:pPr>
    </w:p>
    <w:p>
      <w:pPr>
        <w:ind w:left="820" w:hanging="796"/>
        <w:spacing w:after="0" w:line="259" w:lineRule="auto"/>
        <w:tabs>
          <w:tab w:leader="none" w:pos="800" w:val="left"/>
        </w:tabs>
        <w:rPr>
          <w:sz w:val="20"/>
          <w:szCs w:val="20"/>
          <w:color w:val="auto"/>
        </w:rPr>
      </w:pPr>
      <w:r>
        <w:rPr>
          <w:rFonts w:ascii="Times New Roman" w:cs="Times New Roman" w:eastAsia="Times New Roman" w:hAnsi="Times New Roman"/>
          <w:sz w:val="18"/>
          <w:szCs w:val="18"/>
          <w:color w:val="auto"/>
        </w:rPr>
        <w:t>14.12.3</w:t>
      </w:r>
      <w:r>
        <w:rPr>
          <w:sz w:val="20"/>
          <w:szCs w:val="20"/>
          <w:color w:val="auto"/>
        </w:rPr>
        <w:tab/>
      </w:r>
      <w:r>
        <w:rPr>
          <w:rFonts w:ascii="Times New Roman" w:cs="Times New Roman" w:eastAsia="Times New Roman" w:hAnsi="Times New Roman"/>
          <w:sz w:val="18"/>
          <w:szCs w:val="18"/>
          <w:i w:val="1"/>
          <w:iCs w:val="1"/>
          <w:color w:val="auto"/>
        </w:rPr>
        <w:t xml:space="preserve">Failure to Act not a Waiving of Rights </w:t>
      </w:r>
      <w:r>
        <w:rPr>
          <w:rFonts w:ascii="Times New Roman" w:cs="Times New Roman" w:eastAsia="Times New Roman" w:hAnsi="Times New Roman"/>
          <w:sz w:val="18"/>
          <w:szCs w:val="18"/>
          <w:color w:val="auto"/>
        </w:rPr>
        <w:t>No failure or delay by any party in exercising any right, power or privilege hereunder (other than a failure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34" w:lineRule="exact"/>
        <w:rPr>
          <w:sz w:val="20"/>
          <w:szCs w:val="20"/>
          <w:color w:val="auto"/>
        </w:rPr>
      </w:pPr>
    </w:p>
    <w:p>
      <w:pPr>
        <w:ind w:left="820" w:right="380" w:hanging="796"/>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14.12.4</w:t>
      </w:r>
      <w:r>
        <w:rPr>
          <w:sz w:val="20"/>
          <w:szCs w:val="20"/>
          <w:color w:val="auto"/>
        </w:rPr>
        <w:tab/>
      </w:r>
      <w:r>
        <w:rPr>
          <w:rFonts w:ascii="Times New Roman" w:cs="Times New Roman" w:eastAsia="Times New Roman" w:hAnsi="Times New Roman"/>
          <w:sz w:val="18"/>
          <w:szCs w:val="18"/>
          <w:i w:val="1"/>
          <w:iCs w:val="1"/>
          <w:color w:val="auto"/>
        </w:rPr>
        <w:t xml:space="preserve">Waiving of Certain Rights </w:t>
      </w:r>
      <w:r>
        <w:rPr>
          <w:rFonts w:ascii="Times New Roman" w:cs="Times New Roman" w:eastAsia="Times New Roman" w:hAnsi="Times New Roman"/>
          <w:sz w:val="18"/>
          <w:szCs w:val="18"/>
          <w:color w:val="auto"/>
        </w:rPr>
        <w:t>Except as may be otherwise required by law in connection with the winding-up, liquidation, or dissolution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each Partner hereby irrevocably waives any and all rights that it may have to maintain an action for judicial accounting or for partition of any of the Partnership’s property.</w:t>
      </w:r>
    </w:p>
    <w:p>
      <w:pPr>
        <w:spacing w:after="0" w:line="225" w:lineRule="exact"/>
        <w:rPr>
          <w:sz w:val="20"/>
          <w:szCs w:val="20"/>
          <w:color w:val="auto"/>
        </w:rPr>
      </w:pPr>
    </w:p>
    <w:p>
      <w:pPr>
        <w:ind w:left="820" w:right="160" w:hanging="796"/>
        <w:spacing w:after="0" w:line="291" w:lineRule="auto"/>
        <w:tabs>
          <w:tab w:leader="none" w:pos="80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b w:val="1"/>
          <w:bCs w:val="1"/>
          <w:color w:val="auto"/>
        </w:rPr>
        <w:t xml:space="preserve">No Third Party Beneficiaries </w:t>
      </w:r>
      <w:r>
        <w:rPr>
          <w:rFonts w:ascii="Times New Roman" w:cs="Times New Roman" w:eastAsia="Times New Roman" w:hAnsi="Times New Roman"/>
          <w:sz w:val="17"/>
          <w:szCs w:val="17"/>
          <w:color w:val="auto"/>
        </w:rPr>
        <w:t>This Agreement shall be binding upon and inure solely to the benefit of the parties hereto and their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assigns and successors and nothing herein, express or implied, is intended to or shall confer upon any other Person or entity, any legal or equitable right, benefit or remedy of any nature whatsoever under or by reason of this Agreement (other than pursuant to Section 12.2 hereof).</w:t>
      </w:r>
    </w:p>
    <w:p>
      <w:pPr>
        <w:spacing w:after="0" w:line="207" w:lineRule="exact"/>
        <w:rPr>
          <w:sz w:val="20"/>
          <w:szCs w:val="20"/>
          <w:color w:val="auto"/>
        </w:rPr>
      </w:pPr>
    </w:p>
    <w:p>
      <w:pPr>
        <w:ind w:left="82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b w:val="1"/>
          <w:bCs w:val="1"/>
          <w:color w:val="auto"/>
        </w:rPr>
        <w:t xml:space="preserve">Power of Attorney </w:t>
      </w:r>
      <w:r>
        <w:rPr>
          <w:rFonts w:ascii="Times New Roman" w:cs="Times New Roman" w:eastAsia="Times New Roman" w:hAnsi="Times New Roman"/>
          <w:sz w:val="18"/>
          <w:szCs w:val="18"/>
          <w:color w:val="auto"/>
        </w:rPr>
        <w:t>Each Partner, by its execution hereof, hereby makes, constitutes and appoints the General Partner as its true and lawful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certificates and other instruments (including consents and ratifications which the Partners have agreed to provide upon a matter receiving the agreed support of Partners) deemed advisable by the General Partner to carry out the provisions of this Agreement and Law or to permit the Partnership to continue as a limited partnership wherein the Partners have limited liability in each jurisdiction where the Partnership may be doing business; (c) all instruments that the General Partner deems appropriate to reflect a change or modification of this Agreement or the Partnership in accordance with this Agreement, including the admission of additional Partners or substituted Partners pursuant to the provisions of this Agreement; (d) all conveyances and other instruments or papers deemed advisable by the General Partner to effect the liquidation and termination of the Partnership in accordance with this Agreement; and (e) all assumed name certificates required or permitted (in light of the Partnership’s activities) to be filed on behalf of the Partnership.</w:t>
      </w:r>
    </w:p>
    <w:p>
      <w:pPr>
        <w:spacing w:after="0" w:line="236" w:lineRule="exact"/>
        <w:rPr>
          <w:sz w:val="20"/>
          <w:szCs w:val="20"/>
          <w:color w:val="auto"/>
        </w:rPr>
      </w:pPr>
    </w:p>
    <w:p>
      <w:pPr>
        <w:ind w:left="820" w:right="8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b w:val="1"/>
          <w:bCs w:val="1"/>
          <w:color w:val="auto"/>
        </w:rPr>
        <w:t xml:space="preserve">Separate Agreements; Schedules </w:t>
      </w:r>
      <w:r>
        <w:rPr>
          <w:rFonts w:ascii="Times New Roman" w:cs="Times New Roman" w:eastAsia="Times New Roman" w:hAnsi="Times New Roman"/>
          <w:sz w:val="18"/>
          <w:szCs w:val="18"/>
          <w:color w:val="auto"/>
        </w:rPr>
        <w:t>Notwithstanding any other provision of this Agreement, including Section 14.12, the General Partner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may, or may cause the Partnership to, without the approval of any Partner or other Person, enter into separate subscription, letter or other agreements with individual Partners that have become or will become Partners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Partner(s) party thereto notwithstanding the provisions of this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207" w:lineRule="exact"/>
        <w:rPr>
          <w:sz w:val="20"/>
          <w:szCs w:val="20"/>
          <w:color w:val="auto"/>
        </w:rPr>
      </w:pPr>
    </w:p>
    <w:p>
      <w:pPr>
        <w:jc w:val="both"/>
        <w:ind w:left="820" w:right="520"/>
        <w:spacing w:after="0" w:line="272" w:lineRule="auto"/>
        <w:rPr>
          <w:sz w:val="20"/>
          <w:szCs w:val="20"/>
          <w:color w:val="auto"/>
        </w:rPr>
      </w:pPr>
      <w:r>
        <w:rPr>
          <w:rFonts w:ascii="Times New Roman" w:cs="Times New Roman" w:eastAsia="Times New Roman" w:hAnsi="Times New Roman"/>
          <w:sz w:val="17"/>
          <w:szCs w:val="17"/>
          <w:color w:val="auto"/>
        </w:rPr>
        <w:t>Agreement. The General Partner in its sole discretion may from time to time execute and deliver to the Partners schedules which set forth information contained in the books and records of the Partnership and any other matters deemed appropriate by the General Partner. Such schedules shall be for information purposes only and shall not be deemed to be part of this Agreement for any purpose whatsoever.</w:t>
      </w:r>
    </w:p>
    <w:p>
      <w:pPr>
        <w:spacing w:after="0" w:line="2" w:lineRule="exact"/>
        <w:rPr>
          <w:sz w:val="20"/>
          <w:szCs w:val="20"/>
          <w:color w:val="auto"/>
        </w:rPr>
      </w:pPr>
    </w:p>
    <w:p>
      <w:pPr>
        <w:ind w:left="820" w:right="32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solely for U.S. federal income tax purposes, this Agreement, the Tax Receivable Agreement, the Exchange Agreement and any other separate agreement described in this Section 14.15 shall constitute a “partnership agreement” within the meaning of Section 761 of the Code.</w:t>
      </w:r>
    </w:p>
    <w:p>
      <w:pPr>
        <w:spacing w:after="0" w:line="236" w:lineRule="exact"/>
        <w:rPr>
          <w:sz w:val="20"/>
          <w:szCs w:val="20"/>
          <w:color w:val="auto"/>
        </w:rPr>
      </w:pPr>
    </w:p>
    <w:p>
      <w:pPr>
        <w:ind w:left="820" w:right="40" w:hanging="796"/>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14.16</w:t>
      </w:r>
      <w:r>
        <w:rPr>
          <w:sz w:val="20"/>
          <w:szCs w:val="20"/>
          <w:color w:val="auto"/>
        </w:rPr>
        <w:tab/>
      </w:r>
      <w:r>
        <w:rPr>
          <w:rFonts w:ascii="Times New Roman" w:cs="Times New Roman" w:eastAsia="Times New Roman" w:hAnsi="Times New Roman"/>
          <w:sz w:val="18"/>
          <w:szCs w:val="18"/>
          <w:b w:val="1"/>
          <w:bCs w:val="1"/>
          <w:color w:val="auto"/>
        </w:rPr>
        <w:t xml:space="preserve">Delivery by Facsimile or Email </w:t>
      </w:r>
      <w:r>
        <w:rPr>
          <w:rFonts w:ascii="Times New Roman" w:cs="Times New Roman" w:eastAsia="Times New Roman" w:hAnsi="Times New Roman"/>
          <w:sz w:val="18"/>
          <w:szCs w:val="18"/>
          <w:color w:val="auto"/>
        </w:rPr>
        <w:t>This Agreement, the agreements referred to herein, and each other agreement or instrument entered into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defence to the formation or enforceability of a contract, and each such party forever waives any such defence.</w:t>
      </w:r>
    </w:p>
    <w:p>
      <w:pPr>
        <w:spacing w:after="0" w:line="237" w:lineRule="exact"/>
        <w:rPr>
          <w:sz w:val="20"/>
          <w:szCs w:val="20"/>
          <w:color w:val="auto"/>
        </w:rPr>
      </w:pPr>
    </w:p>
    <w:p>
      <w:pPr>
        <w:ind w:left="820" w:right="80" w:hanging="79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14.17</w:t>
      </w:r>
      <w:r>
        <w:rPr>
          <w:sz w:val="20"/>
          <w:szCs w:val="20"/>
          <w:color w:val="auto"/>
        </w:rPr>
        <w:tab/>
      </w:r>
      <w:r>
        <w:rPr>
          <w:rFonts w:ascii="Times New Roman" w:cs="Times New Roman" w:eastAsia="Times New Roman" w:hAnsi="Times New Roman"/>
          <w:sz w:val="18"/>
          <w:szCs w:val="18"/>
          <w:b w:val="1"/>
          <w:bCs w:val="1"/>
          <w:color w:val="auto"/>
        </w:rPr>
        <w:t xml:space="preserve">Registration of changes in the Partnership </w:t>
      </w:r>
      <w:r>
        <w:rPr>
          <w:rFonts w:ascii="Times New Roman" w:cs="Times New Roman" w:eastAsia="Times New Roman" w:hAnsi="Times New Roman"/>
          <w:sz w:val="18"/>
          <w:szCs w:val="18"/>
          <w:color w:val="auto"/>
        </w:rPr>
        <w:t>The General Partner shall ensure that all necessary returns (other than tax returns under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 filings and registrations required to be made by or on behalf of the Partnership are made in the manner and time required by the Act and the other Partners agree to complete or provide the necessary information to the General Partner required to complete such returns, filings and registrations in the manner and time required by the Act and, otherwise, to provide such assistance as may reasonably be required by the General Partner in that regard. Notwithstanding any other provision of this Agreement, to the extent required by the Act, if any change is made or occurs in (a) the name of the Partnership, (b) the general nature of the business of the Partnership, (c) the principal place of business of the Partnership, (d) the Partners or the name of any Partner, (e) the term or character of the Partnership, (f) the sum contributed by any Limited Partner or (g) the liability of any Partner by reason of its becoming a limited instead of a general partner under the Act or a general instead of a limited partner under the Act, such change shall only take effect from the date a statement of the change, signed by, or on behalf of, the General Partner, is sent to the Irish Companies Registration Office as required by the Act.</w:t>
      </w:r>
    </w:p>
    <w:p>
      <w:pPr>
        <w:spacing w:after="0" w:line="203" w:lineRule="exact"/>
        <w:rPr>
          <w:sz w:val="20"/>
          <w:szCs w:val="20"/>
          <w:color w:val="auto"/>
        </w:rPr>
      </w:pPr>
    </w:p>
    <w:p>
      <w:pPr>
        <w:jc w:val="center"/>
        <w:ind w:right="300"/>
        <w:spacing w:after="0" w:line="282" w:lineRule="auto"/>
        <w:rPr>
          <w:sz w:val="20"/>
          <w:szCs w:val="20"/>
          <w:color w:val="auto"/>
        </w:rPr>
      </w:pPr>
      <w:r>
        <w:rPr>
          <w:rFonts w:ascii="Times New Roman" w:cs="Times New Roman" w:eastAsia="Times New Roman" w:hAnsi="Times New Roman"/>
          <w:sz w:val="18"/>
          <w:szCs w:val="18"/>
          <w:color w:val="auto"/>
        </w:rPr>
        <w:t>IN WITNESS WHEREOF, the parties to this Agreement have executed and delivered this Agreement as a deed on the date and year first above written.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NAMES AND DATE OF ADMISSION OF LIMITED PARTNERS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Admission</w:t>
            </w:r>
          </w:p>
        </w:tc>
      </w:tr>
      <w:tr>
        <w:trPr>
          <w:trHeight w:val="228"/>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Tolerantia, LLC</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5 August 2021</w:t>
            </w:r>
          </w:p>
        </w:tc>
      </w:tr>
      <w:tr>
        <w:trPr>
          <w:trHeight w:val="238"/>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Control Empresarial de Capitales, S.A de C.V</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5 August 2021</w:t>
            </w:r>
          </w:p>
        </w:tc>
      </w:tr>
      <w:tr>
        <w:trPr>
          <w:trHeight w:val="24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ProKidney Management Equity LLC</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5 August 2021</w:t>
            </w:r>
          </w:p>
        </w:tc>
      </w:tr>
      <w:tr>
        <w:trPr>
          <w:trHeight w:val="24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ProKidney Corp. (formerly known as Social Capital Suvretta Holdings Corp. III)</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11 July 2022</w:t>
            </w:r>
          </w:p>
        </w:tc>
      </w:tr>
    </w:tbl>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PARTNER ADDRESSES, UNITS AND CAPITAL CONTRIBUTIONS OF PROKIDNEY LP</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Partner</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48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4"/>
        </w:trPr>
        <w:tc>
          <w:tcPr>
            <w:tcW w:w="3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Limited Partners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Tolerantia, LLC</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94,677,968</w:t>
            </w:r>
          </w:p>
        </w:tc>
        <w:tc>
          <w:tcPr>
            <w:tcW w:w="12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3,500,000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$ 141,900,000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93,900,000 Class A Units in ProKidney LLC, a subsequent cash</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 East 59th Street, Suite 3300 New York,</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3,500,000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of $18 million and on 11 July 2022, a further cash</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 10022, United States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of $30,000,000)</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3,500,000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$14,190 is an Equity Contribution</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$141,885,810 is an Advance</w:t>
            </w:r>
          </w:p>
        </w:tc>
        <w:tc>
          <w:tcPr>
            <w:tcW w:w="0" w:type="dxa"/>
            <w:vAlign w:val="bottom"/>
          </w:tcPr>
          <w:p>
            <w:pPr>
              <w:spacing w:after="0"/>
              <w:rPr>
                <w:sz w:val="1"/>
                <w:szCs w:val="1"/>
                <w:color w:val="auto"/>
              </w:rPr>
            </w:pPr>
          </w:p>
        </w:tc>
      </w:tr>
      <w:tr>
        <w:trPr>
          <w:trHeight w:val="34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 Empresarial de Capitales, S.A. de</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63,118,645</w:t>
            </w:r>
          </w:p>
        </w:tc>
        <w:tc>
          <w:tcPr>
            <w:tcW w:w="12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2,333,333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$94,600,000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62,600,000 Class A Units in ProKidney LLC, a subsequent cash</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2,333,333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of $12 million and on 11 July 2022, a further cash</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Paseo de las Palmas 781, 3rd floor Lomas de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of $20,000,000)</w:t>
            </w:r>
          </w:p>
        </w:tc>
        <w:tc>
          <w:tcPr>
            <w:tcW w:w="0" w:type="dxa"/>
            <w:vAlign w:val="bottom"/>
          </w:tcPr>
          <w:p>
            <w:pPr>
              <w:spacing w:after="0"/>
              <w:rPr>
                <w:sz w:val="1"/>
                <w:szCs w:val="1"/>
                <w:color w:val="auto"/>
              </w:rPr>
            </w:pPr>
          </w:p>
        </w:tc>
      </w:tr>
      <w:tr>
        <w:trPr>
          <w:trHeight w:val="21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Chapultepec III Sección Alcaldía Miguel</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2,333,333 Series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Hidalgo,</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RCUs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$94,600,000 is an Equity Contribution</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C.P.11000, Mexico City, Mexico</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nil Advances</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9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Partner</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6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ProKidney Management Equity LLC</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12,927,348</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9,276,039</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$6,050,001.41 ($1 of which represents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PMEL RCUs</w:t>
            </w: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7,767,122 Class B Units in ProKidney LLC, $5,550,000 of which</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 Par La Ville Road, Third Floor, Hamilton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represents a cash contribution made on or about 17 January 2022</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HM11, Bermuda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allocable to the issuance of the Class B-1 Units as of the Effective Date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$500,000.41 of which represents a cash contribution made on or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about 1 June 2022 allocable to the issuance of the Class B-1 Units as of</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June 2022)</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$606 is an Equity Contribution</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$6,049,395.41 is an Advance</w:t>
            </w:r>
          </w:p>
        </w:tc>
        <w:tc>
          <w:tcPr>
            <w:tcW w:w="0" w:type="dxa"/>
            <w:vAlign w:val="bottom"/>
          </w:tcPr>
          <w:p>
            <w:pPr>
              <w:spacing w:after="0"/>
              <w:rPr>
                <w:sz w:val="1"/>
                <w:szCs w:val="1"/>
                <w:color w:val="auto"/>
              </w:rPr>
            </w:pPr>
          </w:p>
        </w:tc>
      </w:tr>
      <w:tr>
        <w:trPr>
          <w:trHeight w:val="34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ProKidney Corp. (formerly known as Social</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61,540,231</w:t>
            </w:r>
          </w:p>
        </w:tc>
        <w:tc>
          <w:tcPr>
            <w:tcW w:w="1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$497,119,342.58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Suvretta Holdings Corp. III)</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170,723,961 Class B Common Shares, 9,276,039 Acquiror Class B</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Admitted as a Limited Partner upon the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PMEL RSRs in ProKidney Corp. and a cash contribution of</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$497,119,342.58)</w:t>
            </w:r>
          </w:p>
        </w:tc>
        <w:tc>
          <w:tcPr>
            <w:tcW w:w="0" w:type="dxa"/>
            <w:vAlign w:val="bottom"/>
          </w:tcPr>
          <w:p>
            <w:pPr>
              <w:spacing w:after="0"/>
              <w:rPr>
                <w:sz w:val="1"/>
                <w:szCs w:val="1"/>
                <w:color w:val="auto"/>
              </w:rPr>
            </w:pPr>
          </w:p>
        </w:tc>
      </w:tr>
      <w:tr>
        <w:trPr>
          <w:trHeight w:val="21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 University Avenue, Suite 200, Palo Alto,</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$49,711.93 is an Equity Contribution</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94301, United States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$497,069,630.65 is an Advance</w:t>
            </w:r>
          </w:p>
        </w:tc>
        <w:tc>
          <w:tcPr>
            <w:tcW w:w="0" w:type="dxa"/>
            <w:vAlign w:val="bottom"/>
          </w:tcPr>
          <w:p>
            <w:pPr>
              <w:spacing w:after="0"/>
              <w:rPr>
                <w:sz w:val="1"/>
                <w:szCs w:val="1"/>
                <w:color w:val="auto"/>
              </w:rPr>
            </w:pPr>
          </w:p>
        </w:tc>
      </w:tr>
      <w:tr>
        <w:trPr>
          <w:trHeight w:val="36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Partner</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ProKidney Corp. GP Limited</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 Sir John Rogerson’s Quay, Dublin 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is an Equity Contribution</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232,264,193</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17,500,000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RCUs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9,276,039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5"/>
        </w:trPr>
        <w:tc>
          <w:tcPr>
            <w:tcW w:w="3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ind w:left="4800"/>
        <w:spacing w:after="0"/>
        <w:rPr>
          <w:sz w:val="20"/>
          <w:szCs w:val="20"/>
          <w:color w:val="auto"/>
        </w:rPr>
      </w:pPr>
      <w:r>
        <w:rPr>
          <w:rFonts w:ascii="Times New Roman" w:cs="Times New Roman" w:eastAsia="Times New Roman" w:hAnsi="Times New Roman"/>
          <w:sz w:val="18"/>
          <w:szCs w:val="18"/>
          <w:b w:val="1"/>
          <w:bCs w:val="1"/>
          <w:color w:val="auto"/>
        </w:rPr>
        <w:t>PMEL RCUs</w:t>
      </w:r>
    </w:p>
    <w:p>
      <w:pPr>
        <w:spacing w:after="0" w:line="24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4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and Delivered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and as the deed, of</w:t>
      </w:r>
    </w:p>
    <w:p>
      <w:pPr>
        <w:spacing w:after="0" w:line="9" w:lineRule="exact"/>
        <w:rPr>
          <w:sz w:val="20"/>
          <w:szCs w:val="20"/>
          <w:color w:val="auto"/>
        </w:rPr>
      </w:pPr>
    </w:p>
    <w:p>
      <w:pPr>
        <w:ind w:right="7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PROKIDNEY GP LIMITED </w:t>
      </w:r>
      <w:r>
        <w:rPr>
          <w:rFonts w:ascii="Times New Roman" w:cs="Times New Roman" w:eastAsia="Times New Roman" w:hAnsi="Times New Roman"/>
          <w:sz w:val="18"/>
          <w:szCs w:val="18"/>
          <w:color w:val="auto"/>
        </w:rPr>
        <w:t>by its lawfully appointed attorney Jaime Gomez Sotomayor in the presence of:</w:t>
      </w:r>
    </w:p>
    <w:p>
      <w:pPr>
        <w:spacing w:after="0" w:line="108"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7"/>
          <w:szCs w:val="17"/>
          <w:color w:val="auto"/>
        </w:rPr>
        <w:t>/s/ Erika Santiago Hernandez 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22713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and Delivered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and as the deed, of</w:t>
      </w:r>
    </w:p>
    <w:p>
      <w:pPr>
        <w:spacing w:after="0" w:line="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PROKIDNEY CORP. GP LIMITED </w:t>
      </w:r>
      <w:r>
        <w:rPr>
          <w:rFonts w:ascii="Times New Roman" w:cs="Times New Roman" w:eastAsia="Times New Roman" w:hAnsi="Times New Roman"/>
          <w:sz w:val="18"/>
          <w:szCs w:val="18"/>
          <w:color w:val="auto"/>
        </w:rPr>
        <w:t>by its lawfully appointed attorney Jaime Gomez Sotomayor in the presence of:</w:t>
      </w:r>
    </w:p>
    <w:p>
      <w:pPr>
        <w:spacing w:after="0" w:line="121"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7"/>
          <w:szCs w:val="17"/>
          <w:color w:val="auto"/>
        </w:rPr>
        <w:t>/s/ Erika Santiago Hernandez 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22713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631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Gomez Sotomayor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6314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Gomez Sotomayor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Lawfully Appointed Attorney</w:t>
      </w:r>
    </w:p>
    <w:p>
      <w:pPr>
        <w:spacing w:after="0" w:line="2738" w:lineRule="exact"/>
        <w:rPr>
          <w:sz w:val="20"/>
          <w:szCs w:val="20"/>
          <w:color w:val="auto"/>
        </w:rPr>
      </w:pPr>
    </w:p>
    <w:p>
      <w:pPr>
        <w:sectPr>
          <w:pgSz w:w="11900" w:h="16838" w:orient="portrait"/>
          <w:cols w:equalWidth="0" w:num="2">
            <w:col w:w="3220" w:space="720"/>
            <w:col w:w="6179"/>
          </w:cols>
          <w:pgMar w:left="340" w:top="1427" w:right="1440" w:bottom="1440" w:gutter="0" w:footer="0" w:header="0"/>
          <w:type w:val="continuous"/>
        </w:sectPr>
      </w:pP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4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153"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7"/>
          <w:szCs w:val="17"/>
          <w:color w:val="auto"/>
        </w:rPr>
        <w:t>/s/ Erika Santiago Hernandez 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227139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6314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Gomez Sotomayor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2196465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20" w:space="720"/>
            <w:col w:w="6179"/>
          </w:cols>
          <w:pgMar w:left="340" w:top="1427" w:right="1440"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Executed and Delivered as a Deed by</w:t>
      </w:r>
    </w:p>
    <w:p>
      <w:pPr>
        <w:spacing w:after="0" w:line="27"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b w:val="1"/>
          <w:bCs w:val="1"/>
          <w:color w:val="auto"/>
        </w:rPr>
        <w:t>CONTROL EMPRESARIAL DE CAPITALES, S.A. DE C.V.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139" w:lineRule="exact"/>
        <w:rPr>
          <w:sz w:val="20"/>
          <w:szCs w:val="20"/>
          <w:color w:val="auto"/>
        </w:rPr>
      </w:pPr>
    </w:p>
    <w:p>
      <w:pPr>
        <w:ind w:right="940"/>
        <w:spacing w:after="0" w:line="268" w:lineRule="auto"/>
        <w:rPr>
          <w:sz w:val="20"/>
          <w:szCs w:val="20"/>
          <w:color w:val="auto"/>
        </w:rPr>
      </w:pPr>
      <w:r>
        <w:rPr>
          <w:rFonts w:ascii="Times New Roman" w:cs="Times New Roman" w:eastAsia="Times New Roman" w:hAnsi="Times New Roman"/>
          <w:sz w:val="18"/>
          <w:szCs w:val="18"/>
          <w:color w:val="auto"/>
        </w:rPr>
        <w:t>/s/ Jose Ignacio Jimenez Santos 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22713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right="1160"/>
        <w:spacing w:after="0" w:line="258" w:lineRule="auto"/>
        <w:rPr>
          <w:sz w:val="20"/>
          <w:szCs w:val="20"/>
          <w:color w:val="auto"/>
        </w:rPr>
      </w:pPr>
      <w:r>
        <w:rPr>
          <w:rFonts w:ascii="Times New Roman" w:cs="Times New Roman" w:eastAsia="Times New Roman" w:hAnsi="Times New Roman"/>
          <w:sz w:val="18"/>
          <w:szCs w:val="18"/>
          <w:color w:val="auto"/>
        </w:rPr>
        <w:t>Jose Ignacio Jimenez Santos 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22713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Armando Ibañez Vázquez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6314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Armando Ibañez Vázquez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319" w:lineRule="exact"/>
        <w:rPr>
          <w:sz w:val="20"/>
          <w:szCs w:val="20"/>
          <w:color w:val="auto"/>
        </w:rPr>
      </w:pPr>
    </w:p>
    <w:p>
      <w:pPr>
        <w:sectPr>
          <w:pgSz w:w="11900" w:h="16838" w:orient="portrait"/>
          <w:cols w:equalWidth="0" w:num="2">
            <w:col w:w="3220" w:space="720"/>
            <w:col w:w="6179"/>
          </w:cols>
          <w:pgMar w:left="340" w:top="1431" w:right="1440" w:bottom="1440" w:gutter="0" w:footer="0" w:header="0"/>
        </w:sectPr>
      </w:pPr>
    </w:p>
    <w:p>
      <w:pPr>
        <w:spacing w:after="0" w:line="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4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and Delivered as a Deed by</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PROKIDNEY MANAGEMENT EQUITY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77" w:lineRule="exact"/>
        <w:rPr>
          <w:sz w:val="20"/>
          <w:szCs w:val="20"/>
          <w:color w:val="auto"/>
        </w:rPr>
      </w:pPr>
    </w:p>
    <w:p>
      <w:pPr>
        <w:ind w:right="1160"/>
        <w:spacing w:after="0" w:line="284" w:lineRule="auto"/>
        <w:rPr>
          <w:sz w:val="20"/>
          <w:szCs w:val="20"/>
          <w:color w:val="auto"/>
        </w:rPr>
      </w:pPr>
      <w:r>
        <w:rPr>
          <w:rFonts w:ascii="Times New Roman" w:cs="Times New Roman" w:eastAsia="Times New Roman" w:hAnsi="Times New Roman"/>
          <w:sz w:val="17"/>
          <w:szCs w:val="17"/>
          <w:color w:val="auto"/>
        </w:rPr>
        <w:t>/s/ Erika Santiago Hernandez 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22713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2713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6314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Gomez Sotomayor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right="2719"/>
        <w:spacing w:after="0" w:line="255" w:lineRule="auto"/>
        <w:rPr>
          <w:sz w:val="20"/>
          <w:szCs w:val="20"/>
          <w:color w:val="auto"/>
        </w:rPr>
      </w:pPr>
      <w:r>
        <w:rPr>
          <w:rFonts w:ascii="Times New Roman" w:cs="Times New Roman" w:eastAsia="Times New Roman" w:hAnsi="Times New Roman"/>
          <w:sz w:val="18"/>
          <w:szCs w:val="18"/>
          <w:color w:val="auto"/>
        </w:rPr>
        <w:t>For and on behalf of Tolerantia, LLC, in its capacity as manager of ProKidney Management Equity LLC</w:t>
      </w:r>
    </w:p>
    <w:p>
      <w:pPr>
        <w:spacing w:after="0" w:line="1941" w:lineRule="exact"/>
        <w:rPr>
          <w:sz w:val="20"/>
          <w:szCs w:val="20"/>
          <w:color w:val="auto"/>
        </w:rPr>
      </w:pPr>
    </w:p>
    <w:p>
      <w:pPr>
        <w:sectPr>
          <w:pgSz w:w="11900" w:h="16838" w:orient="portrait"/>
          <w:cols w:equalWidth="0" w:num="2">
            <w:col w:w="3260" w:space="680"/>
            <w:col w:w="6179"/>
          </w:cols>
          <w:pgMar w:left="340" w:top="1431" w:right="1440"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Executed and Delivered as a Deed 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Kishan Mehta</w:t>
            </w:r>
          </w:p>
        </w:tc>
      </w:tr>
      <w:tr>
        <w:trPr>
          <w:trHeight w:val="174"/>
        </w:trPr>
        <w:tc>
          <w:tcPr>
            <w:tcW w:w="39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SOCIAL CAPITAL SUVRETTA HOLDINGS</w:t>
            </w:r>
          </w:p>
        </w:tc>
        <w:tc>
          <w:tcPr>
            <w:tcW w:w="35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Kishan Mehta</w:t>
            </w:r>
          </w:p>
        </w:tc>
      </w:tr>
      <w:tr>
        <w:trPr>
          <w:trHeight w:val="22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CORP. III</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560" w:type="dxa"/>
            <w:vAlign w:val="bottom"/>
          </w:tcPr>
          <w:p>
            <w:pPr>
              <w:spacing w:after="0"/>
              <w:rPr>
                <w:sz w:val="20"/>
                <w:szCs w:val="20"/>
                <w:color w:val="auto"/>
              </w:rPr>
            </w:pPr>
          </w:p>
        </w:tc>
      </w:t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Nathanson</w:t>
            </w:r>
          </w:p>
        </w:tc>
        <w:tc>
          <w:tcPr>
            <w:tcW w:w="3560" w:type="dxa"/>
            <w:vAlign w:val="bottom"/>
          </w:tcPr>
          <w:p>
            <w:pPr>
              <w:spacing w:after="0"/>
              <w:rPr>
                <w:sz w:val="22"/>
                <w:szCs w:val="22"/>
                <w:color w:val="auto"/>
              </w:rPr>
            </w:pP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Witness Signature:</w:t>
            </w: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Nathanson</w:t>
            </w:r>
          </w:p>
        </w:tc>
        <w:tc>
          <w:tcPr>
            <w:tcW w:w="3560" w:type="dxa"/>
            <w:vAlign w:val="bottom"/>
          </w:tcPr>
          <w:p>
            <w:pPr>
              <w:spacing w:after="0"/>
              <w:rPr>
                <w:sz w:val="20"/>
                <w:szCs w:val="20"/>
                <w:color w:val="auto"/>
              </w:rPr>
            </w:pP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Witness Name:</w:t>
            </w: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34"/>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Address:</w:t>
            </w: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34"/>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60" w:type="dxa"/>
            <w:vAlign w:val="bottom"/>
          </w:tcPr>
          <w:p>
            <w:pPr>
              <w:spacing w:after="0"/>
              <w:rPr>
                <w:sz w:val="19"/>
                <w:szCs w:val="19"/>
                <w:color w:val="auto"/>
              </w:rPr>
            </w:pPr>
          </w:p>
        </w:tc>
        <w:tc>
          <w:tcPr>
            <w:tcW w:w="3560" w:type="dxa"/>
            <w:vAlign w:val="bottom"/>
          </w:tcPr>
          <w:p>
            <w:pPr>
              <w:spacing w:after="0"/>
              <w:rPr>
                <w:sz w:val="19"/>
                <w:szCs w:val="19"/>
                <w:color w:val="auto"/>
              </w:rPr>
            </w:pPr>
          </w:p>
        </w:tc>
      </w:tr>
    </w:tbl>
    <w:p>
      <w:pPr>
        <w:spacing w:after="0" w:line="20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884555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31" w:right="1440" w:bottom="1440" w:gutter="0" w:footer="0" w:header="0"/>
          <w:type w:val="continuous"/>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2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20" w:type="dxa"/>
            <w:vAlign w:val="bottom"/>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tcPr>
          <w:p>
            <w:pPr>
              <w:spacing w:after="0"/>
              <w:rPr>
                <w:sz w:val="21"/>
                <w:szCs w:val="21"/>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Corp. GP Limited</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LP</w:t>
            </w:r>
          </w:p>
        </w:tc>
        <w:tc>
          <w:tcPr>
            <w:tcW w:w="2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20" w:type="dxa"/>
            <w:vAlign w:val="bottom"/>
          </w:tcPr>
          <w:p>
            <w:pPr>
              <w:spacing w:after="0"/>
              <w:rPr>
                <w:sz w:val="21"/>
                <w:szCs w:val="21"/>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(f/k/a RegenMed (Cayman) Ltd.)</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LLC (f/k/a Twin City Bio LLC)</w:t>
            </w:r>
          </w:p>
        </w:tc>
        <w:tc>
          <w:tcPr>
            <w:tcW w:w="2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20" w:type="dxa"/>
            <w:vAlign w:val="bottom"/>
          </w:tcPr>
          <w:p>
            <w:pPr>
              <w:spacing w:after="0"/>
              <w:rPr>
                <w:sz w:val="21"/>
                <w:szCs w:val="21"/>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ProKidney Acquisition Company, LLC</w:t>
            </w: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5"/>
        </w:trPr>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08" w:lineRule="exact"/>
        <w:rPr>
          <w:sz w:val="20"/>
          <w:szCs w:val="20"/>
          <w:color w:val="auto"/>
        </w:rPr>
      </w:pPr>
    </w:p>
    <w:p>
      <w:pPr>
        <w:ind w:right="2860" w:firstLine="2858"/>
        <w:spacing w:after="0" w:line="315" w:lineRule="auto"/>
        <w:rPr>
          <w:sz w:val="20"/>
          <w:szCs w:val="20"/>
          <w:color w:val="auto"/>
        </w:rPr>
      </w:pPr>
      <w:r>
        <w:rPr>
          <w:rFonts w:ascii="Times New Roman" w:cs="Times New Roman" w:eastAsia="Times New Roman" w:hAnsi="Times New Roman"/>
          <w:sz w:val="22"/>
          <w:szCs w:val="22"/>
          <w:b w:val="1"/>
          <w:bCs w:val="1"/>
          <w:color w:val="333333"/>
        </w:rPr>
        <w:t xml:space="preserve">Consent of Independent Registered Public Accounting Firm </w:t>
      </w:r>
      <w:r>
        <w:rPr>
          <w:rFonts w:ascii="Times New Roman" w:cs="Times New Roman" w:eastAsia="Times New Roman" w:hAnsi="Times New Roman"/>
          <w:sz w:val="22"/>
          <w:szCs w:val="22"/>
          <w:color w:val="333333"/>
        </w:rPr>
        <w:t>We consent to the incorporation by reference in the following Registration Statements:</w:t>
      </w:r>
    </w:p>
    <w:p>
      <w:pPr>
        <w:spacing w:after="0" w:line="1" w:lineRule="exact"/>
        <w:rPr>
          <w:sz w:val="20"/>
          <w:szCs w:val="20"/>
          <w:color w:val="auto"/>
        </w:rPr>
      </w:pPr>
    </w:p>
    <w:p>
      <w:pPr>
        <w:ind w:left="780" w:right="1460" w:hanging="398"/>
        <w:spacing w:after="0" w:line="258" w:lineRule="auto"/>
        <w:tabs>
          <w:tab w:leader="none" w:pos="780" w:val="left"/>
        </w:tabs>
        <w:numPr>
          <w:ilvl w:val="0"/>
          <w:numId w:val="1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(Post-Effective Amendment No. 2 to Form S-1 on Form S-3 No. 333-266683) of ProKidney Corp.,</w:t>
      </w:r>
    </w:p>
    <w:p>
      <w:pPr>
        <w:spacing w:after="0" w:line="36" w:lineRule="exact"/>
        <w:rPr>
          <w:rFonts w:ascii="Times New Roman" w:cs="Times New Roman" w:eastAsia="Times New Roman" w:hAnsi="Times New Roman"/>
          <w:sz w:val="22"/>
          <w:szCs w:val="22"/>
          <w:color w:val="333333"/>
        </w:rPr>
      </w:pPr>
    </w:p>
    <w:p>
      <w:pPr>
        <w:ind w:left="780" w:hanging="398"/>
        <w:spacing w:after="0"/>
        <w:tabs>
          <w:tab w:leader="none" w:pos="780" w:val="left"/>
        </w:tabs>
        <w:numPr>
          <w:ilvl w:val="0"/>
          <w:numId w:val="1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S-3 No. 333-275701) of ProKidney Corp.,</w:t>
      </w:r>
    </w:p>
    <w:p>
      <w:pPr>
        <w:spacing w:after="0" w:line="71" w:lineRule="exact"/>
        <w:rPr>
          <w:rFonts w:ascii="Times New Roman" w:cs="Times New Roman" w:eastAsia="Times New Roman" w:hAnsi="Times New Roman"/>
          <w:sz w:val="22"/>
          <w:szCs w:val="22"/>
          <w:color w:val="333333"/>
        </w:rPr>
      </w:pPr>
    </w:p>
    <w:p>
      <w:pPr>
        <w:ind w:left="780" w:right="580" w:hanging="398"/>
        <w:spacing w:after="0" w:line="258" w:lineRule="auto"/>
        <w:tabs>
          <w:tab w:leader="none" w:pos="780" w:val="left"/>
        </w:tabs>
        <w:numPr>
          <w:ilvl w:val="0"/>
          <w:numId w:val="1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333-267414) pertaining to the ProKidney Corp. 2022 Incentive Equity Plan and the ProKidney Corp. Employee Stock Purchase Plan; and</w:t>
      </w:r>
    </w:p>
    <w:p>
      <w:pPr>
        <w:spacing w:after="0" w:line="36" w:lineRule="exact"/>
        <w:rPr>
          <w:rFonts w:ascii="Times New Roman" w:cs="Times New Roman" w:eastAsia="Times New Roman" w:hAnsi="Times New Roman"/>
          <w:sz w:val="22"/>
          <w:szCs w:val="22"/>
          <w:color w:val="333333"/>
        </w:rPr>
      </w:pPr>
    </w:p>
    <w:p>
      <w:pPr>
        <w:ind w:left="780" w:right="1020" w:hanging="398"/>
        <w:spacing w:after="0" w:line="258" w:lineRule="auto"/>
        <w:tabs>
          <w:tab w:leader="none" w:pos="780" w:val="left"/>
        </w:tabs>
        <w:numPr>
          <w:ilvl w:val="0"/>
          <w:numId w:val="122"/>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333-270920) pertaining to the ProKidney Corp. 2022 Incentive Equity Plan;</w:t>
      </w:r>
    </w:p>
    <w:p>
      <w:pPr>
        <w:spacing w:after="0" w:line="37"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333333"/>
        </w:rPr>
        <w:t>of our report dated March 21, 2023, with respect to the consolidated financial statements of ProKidney Corp. included in this Annual Report (Form 10-K) of ProKidney Corp. for the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/s/ Ernst &amp; Young LLP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Raleigh, North Carolina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1097280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76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30"/>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76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205"/>
        </w:trPr>
        <w:tc>
          <w:tcPr>
            <w:tcW w:w="3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1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30"/>
        </w:trPr>
        <w:tc>
          <w:tcPr>
            <w:tcW w:w="3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2"/>
        </w:trPr>
        <w:tc>
          <w:tcPr>
            <w:tcW w:w="3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spacing w:after="0" w:line="176" w:lineRule="exact"/>
        <w:rPr>
          <w:sz w:val="20"/>
          <w:szCs w:val="20"/>
          <w:color w:val="auto"/>
        </w:rPr>
      </w:pPr>
    </w:p>
    <w:p>
      <w:pPr>
        <w:ind w:left="1020" w:right="12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2023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29"/>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6"/>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spacing w:after="0" w:line="176" w:lineRule="exact"/>
        <w:rPr>
          <w:sz w:val="20"/>
          <w:szCs w:val="20"/>
          <w:color w:val="auto"/>
        </w:rPr>
      </w:pPr>
    </w:p>
    <w:p>
      <w:pPr>
        <w:ind w:left="1020" w:right="12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2023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205"/>
        </w:trPr>
        <w:tc>
          <w:tcPr>
            <w:tcW w:w="36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29"/>
        </w:trPr>
        <w:tc>
          <w:tcPr>
            <w:tcW w:w="3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56"/>
        </w:trPr>
        <w:tc>
          <w:tcPr>
            <w:tcW w:w="36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PROKIDNEY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CLAWBACK POLICY</w:t>
      </w:r>
    </w:p>
    <w:p>
      <w:pPr>
        <w:spacing w:after="0" w:line="225"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Introduction</w:t>
      </w:r>
    </w:p>
    <w:p>
      <w:pPr>
        <w:spacing w:after="0" w:line="1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52525"/>
        </w:rPr>
        <w:t>The Board of Directors (the “</w:t>
      </w:r>
      <w:r>
        <w:rPr>
          <w:rFonts w:ascii="Times New Roman" w:cs="Times New Roman" w:eastAsia="Times New Roman" w:hAnsi="Times New Roman"/>
          <w:sz w:val="18"/>
          <w:szCs w:val="18"/>
          <w:b w:val="1"/>
          <w:bCs w:val="1"/>
          <w:color w:val="252525"/>
        </w:rPr>
        <w:t>Board</w:t>
      </w:r>
      <w:r>
        <w:rPr>
          <w:rFonts w:ascii="Times New Roman" w:cs="Times New Roman" w:eastAsia="Times New Roman" w:hAnsi="Times New Roman"/>
          <w:sz w:val="18"/>
          <w:szCs w:val="18"/>
          <w:color w:val="252525"/>
        </w:rPr>
        <w:t>”) of ProKidney Corp. (the “</w:t>
      </w:r>
      <w:r>
        <w:rPr>
          <w:rFonts w:ascii="Times New Roman" w:cs="Times New Roman" w:eastAsia="Times New Roman" w:hAnsi="Times New Roman"/>
          <w:sz w:val="18"/>
          <w:szCs w:val="18"/>
          <w:b w:val="1"/>
          <w:bCs w:val="1"/>
          <w:color w:val="252525"/>
        </w:rPr>
        <w:t>Company</w:t>
      </w:r>
      <w:r>
        <w:rPr>
          <w:rFonts w:ascii="Times New Roman" w:cs="Times New Roman" w:eastAsia="Times New Roman" w:hAnsi="Times New Roman"/>
          <w:sz w:val="18"/>
          <w:szCs w:val="18"/>
          <w:color w:val="252525"/>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252525"/>
        </w:rPr>
        <w:t>Policy</w:t>
      </w:r>
      <w:r>
        <w:rPr>
          <w:rFonts w:ascii="Times New Roman" w:cs="Times New Roman" w:eastAsia="Times New Roman" w:hAnsi="Times New Roman"/>
          <w:sz w:val="18"/>
          <w:szCs w:val="18"/>
          <w:color w:val="252525"/>
        </w:rPr>
        <w:t>”). This Policy is designed to comply with Section 10D of the Securities Exchange Act of 1934, as amended (the “</w:t>
      </w:r>
      <w:r>
        <w:rPr>
          <w:rFonts w:ascii="Times New Roman" w:cs="Times New Roman" w:eastAsia="Times New Roman" w:hAnsi="Times New Roman"/>
          <w:sz w:val="18"/>
          <w:szCs w:val="18"/>
          <w:b w:val="1"/>
          <w:bCs w:val="1"/>
          <w:color w:val="252525"/>
        </w:rPr>
        <w:t>Exchange Act</w:t>
      </w:r>
      <w:r>
        <w:rPr>
          <w:rFonts w:ascii="Times New Roman" w:cs="Times New Roman" w:eastAsia="Times New Roman" w:hAnsi="Times New Roman"/>
          <w:sz w:val="18"/>
          <w:szCs w:val="18"/>
          <w:color w:val="252525"/>
        </w:rPr>
        <w:t>”), the final rules and amendments adopted by the Securities and Exchange Commission (the “</w:t>
      </w:r>
      <w:r>
        <w:rPr>
          <w:rFonts w:ascii="Times New Roman" w:cs="Times New Roman" w:eastAsia="Times New Roman" w:hAnsi="Times New Roman"/>
          <w:sz w:val="18"/>
          <w:szCs w:val="18"/>
          <w:b w:val="1"/>
          <w:bCs w:val="1"/>
          <w:color w:val="252525"/>
        </w:rPr>
        <w:t>SEC</w:t>
      </w:r>
      <w:r>
        <w:rPr>
          <w:rFonts w:ascii="Times New Roman" w:cs="Times New Roman" w:eastAsia="Times New Roman" w:hAnsi="Times New Roman"/>
          <w:sz w:val="18"/>
          <w:szCs w:val="18"/>
          <w:color w:val="252525"/>
        </w:rPr>
        <w:t>”) to implement the aforementioned legislation, and the rules and regulations of The Nasdaq Stock Market.</w:t>
      </w:r>
    </w:p>
    <w:p>
      <w:pPr>
        <w:spacing w:after="0" w:line="75"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cs="Times New Roman" w:eastAsia="Times New Roman" w:hAnsi="Times New Roman"/>
          <w:sz w:val="18"/>
          <w:szCs w:val="18"/>
          <w:b w:val="1"/>
          <w:bCs w:val="1"/>
          <w:color w:val="252525"/>
        </w:rPr>
        <w:t>Covered Executives</w:t>
      </w:r>
      <w:r>
        <w:rPr>
          <w:rFonts w:ascii="Times New Roman" w:cs="Times New Roman" w:eastAsia="Times New Roman" w:hAnsi="Times New Roman"/>
          <w:sz w:val="18"/>
          <w:szCs w:val="18"/>
          <w:color w:val="252525"/>
        </w:rPr>
        <w:t>”).</w:t>
      </w:r>
    </w:p>
    <w:p>
      <w:pPr>
        <w:spacing w:after="0" w:line="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Incentive-Based Compensation</w:t>
      </w:r>
    </w:p>
    <w:p>
      <w:pPr>
        <w:spacing w:after="0" w:line="1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52525"/>
        </w:rPr>
        <w:t>For purposes of this Policy, incentive-based compensation (“</w:t>
      </w:r>
      <w:r>
        <w:rPr>
          <w:rFonts w:ascii="Times New Roman" w:cs="Times New Roman" w:eastAsia="Times New Roman" w:hAnsi="Times New Roman"/>
          <w:sz w:val="18"/>
          <w:szCs w:val="18"/>
          <w:b w:val="1"/>
          <w:bCs w:val="1"/>
          <w:color w:val="252525"/>
        </w:rPr>
        <w:t>Incentive-Based Compensation</w:t>
      </w:r>
      <w:r>
        <w:rPr>
          <w:rFonts w:ascii="Times New Roman" w:cs="Times New Roman" w:eastAsia="Times New Roman" w:hAnsi="Times New Roman"/>
          <w:sz w:val="18"/>
          <w:szCs w:val="18"/>
          <w:color w:val="252525"/>
        </w:rPr>
        <w:t>”) includes any compensation that is granted, earned, or vested based wholly or in part upon the attainment of any financial reporting measures that are determined and presented in accordance with the accounting principles (“</w:t>
      </w:r>
      <w:r>
        <w:rPr>
          <w:rFonts w:ascii="Times New Roman" w:cs="Times New Roman" w:eastAsia="Times New Roman" w:hAnsi="Times New Roman"/>
          <w:sz w:val="18"/>
          <w:szCs w:val="18"/>
          <w:b w:val="1"/>
          <w:bCs w:val="1"/>
          <w:color w:val="252525"/>
        </w:rPr>
        <w:t>GAAP Measures</w:t>
      </w:r>
      <w:r>
        <w:rPr>
          <w:rFonts w:ascii="Times New Roman" w:cs="Times New Roman" w:eastAsia="Times New Roman" w:hAnsi="Times New Roman"/>
          <w:sz w:val="18"/>
          <w:szCs w:val="18"/>
          <w:color w:val="252525"/>
        </w:rPr>
        <w:t>”) used in preparing the Company’s financial statements and any measures derived wholly or in part from such measures, as well as non-GAAP Measures, stock price, and total shareholder return (collectively, “</w:t>
      </w:r>
      <w:r>
        <w:rPr>
          <w:rFonts w:ascii="Times New Roman" w:cs="Times New Roman" w:eastAsia="Times New Roman" w:hAnsi="Times New Roman"/>
          <w:sz w:val="18"/>
          <w:szCs w:val="18"/>
          <w:b w:val="1"/>
          <w:bCs w:val="1"/>
          <w:color w:val="252525"/>
        </w:rPr>
        <w:t>Financial Reporting Measures</w:t>
      </w:r>
      <w:r>
        <w:rPr>
          <w:rFonts w:ascii="Times New Roman" w:cs="Times New Roman" w:eastAsia="Times New Roman" w:hAnsi="Times New Roman"/>
          <w:sz w:val="18"/>
          <w:szCs w:val="18"/>
          <w:color w:val="252525"/>
        </w:rPr>
        <w:t>”); however, it does not include: (i) base salaries; (ii) 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For the avoidance of doubt, a Financial Reporting Measure need not be presented in the Company’s financial statements or included in a filing with the SEC.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52525"/>
        </w:rPr>
        <w:t>For the purposes of this Policy, Incentive-Based Compensation may include, among other things, any of the following:</w:t>
      </w:r>
    </w:p>
    <w:p>
      <w:pPr>
        <w:spacing w:after="0" w:line="117" w:lineRule="exact"/>
        <w:rPr>
          <w:sz w:val="20"/>
          <w:szCs w:val="20"/>
          <w:color w:val="auto"/>
        </w:rPr>
      </w:pPr>
    </w:p>
    <w:p>
      <w:pPr>
        <w:ind w:left="1140" w:hanging="383"/>
        <w:spacing w:after="0"/>
        <w:tabs>
          <w:tab w:leader="none" w:pos="1140" w:val="left"/>
        </w:tabs>
        <w:numPr>
          <w:ilvl w:val="0"/>
          <w:numId w:val="13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Annual bonuses and other short- and long-term cash incentives.</w:t>
      </w:r>
    </w:p>
    <w:p>
      <w:pPr>
        <w:spacing w:after="0" w:line="27"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Stock options.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Stock appreciation rights.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Restricted stock or restricted stock units.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Performance shares or performance units.</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52525"/>
        </w:rPr>
        <w:t>For purposes of this Policy, Financial Reporting Measures may include, among other things, any of the following:</w:t>
      </w:r>
    </w:p>
    <w:p>
      <w:pPr>
        <w:spacing w:after="0" w:line="117" w:lineRule="exact"/>
        <w:rPr>
          <w:sz w:val="20"/>
          <w:szCs w:val="20"/>
          <w:color w:val="auto"/>
        </w:rPr>
      </w:pPr>
    </w:p>
    <w:p>
      <w:pPr>
        <w:ind w:left="1140" w:hanging="383"/>
        <w:spacing w:after="0"/>
        <w:tabs>
          <w:tab w:leader="none" w:pos="1140" w:val="left"/>
        </w:tabs>
        <w:numPr>
          <w:ilvl w:val="0"/>
          <w:numId w:val="13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Company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17" w:name="page218"/>
    <w:bookmarkEnd w:id="217"/>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Total shareholder return.</w:t>
      </w:r>
    </w:p>
    <w:p>
      <w:pPr>
        <w:spacing w:after="0" w:line="27"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Revenues.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Net income.</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Earnings before interest, taxes, depreciation, and amortization (EBITDA).</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Funds from operations.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Liquidity measures such as working capital or operating cash flow.</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Return measures such as return on invested capital or return on assets.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1"/>
          <w:numId w:val="13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Earnings measures such as earnings per share.</w:t>
      </w:r>
    </w:p>
    <w:p>
      <w:pPr>
        <w:spacing w:after="0" w:line="202" w:lineRule="exact"/>
        <w:rPr>
          <w:rFonts w:ascii="Times New Roman" w:cs="Times New Roman" w:eastAsia="Times New Roman" w:hAnsi="Times New Roman"/>
          <w:sz w:val="18"/>
          <w:szCs w:val="18"/>
          <w:color w:val="252525"/>
        </w:rPr>
      </w:pPr>
    </w:p>
    <w:p>
      <w:pPr>
        <w:spacing w:after="0"/>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b w:val="1"/>
          <w:bCs w:val="1"/>
          <w:u w:val="single" w:color="auto"/>
          <w:color w:val="auto"/>
        </w:rPr>
        <w:t>V.Recoupment; Accounting Restatement</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52525"/>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cs="Times New Roman" w:eastAsia="Times New Roman" w:hAnsi="Times New Roman"/>
          <w:sz w:val="18"/>
          <w:szCs w:val="18"/>
          <w:b w:val="1"/>
          <w:bCs w:val="1"/>
          <w:color w:val="252525"/>
        </w:rPr>
        <w:t>Look-Back Period</w:t>
      </w:r>
      <w:r>
        <w:rPr>
          <w:rFonts w:ascii="Times New Roman" w:cs="Times New Roman" w:eastAsia="Times New Roman" w:hAnsi="Times New Roman"/>
          <w:sz w:val="18"/>
          <w:szCs w:val="18"/>
          <w:color w:val="252525"/>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spacing w:after="0" w:line="8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52525"/>
        </w:rPr>
        <w:t>Recovery of the Incentive-Based Compensation is only required when the excess award is received by a Covered Executive (i) on or after October 2, 2023, (ii) after the beginning of their service as a Covered Executive, (iii) who served as an executive officer at any time during the performance period for that Incentive-Based Compensation, (iv) while the Company has a class of securities listed on a national securities exchange or a national securities association, and (v) during the Look-Back Period immediately preceding the date on which the Company is required to prepare an accounting restatement.</w:t>
      </w:r>
    </w:p>
    <w:p>
      <w:pPr>
        <w:spacing w:after="0" w:line="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VI.</w:t>
        <w:tab/>
        <w:t>Excess Incentive Compensation: Amount Subject to Recovery</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spacing w:after="0" w:line="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52525"/>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52525"/>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spacing w:after="0" w:line="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VII.</w:t>
      </w:r>
      <w:r>
        <w:rPr>
          <w:sz w:val="20"/>
          <w:szCs w:val="20"/>
          <w:color w:val="auto"/>
        </w:rPr>
        <w:tab/>
      </w:r>
      <w:r>
        <w:rPr>
          <w:rFonts w:ascii="Times New Roman" w:cs="Times New Roman" w:eastAsia="Times New Roman" w:hAnsi="Times New Roman"/>
          <w:sz w:val="17"/>
          <w:szCs w:val="17"/>
          <w:b w:val="1"/>
          <w:bCs w:val="1"/>
          <w:u w:val="single" w:color="auto"/>
          <w:color w:val="auto"/>
        </w:rPr>
        <w:t>Method of Recoupment</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52525"/>
        </w:rPr>
        <w:t>The Board will determine, in its sole discretion, subject to applicable law, the method for recouping Incentive-Based Compensation hereunder, which may include, without limitation: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8" w:name="page219"/>
    <w:bookmarkEnd w:id="218"/>
    <w:p>
      <w:pPr>
        <w:ind w:left="1140" w:hanging="383"/>
        <w:spacing w:after="0"/>
        <w:tabs>
          <w:tab w:leader="none" w:pos="1140" w:val="left"/>
        </w:tabs>
        <w:numPr>
          <w:ilvl w:val="0"/>
          <w:numId w:val="13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requiring reimbursement of cash Incentive-Based Compensation previously paid;</w:t>
      </w:r>
    </w:p>
    <w:p>
      <w:pPr>
        <w:spacing w:after="0" w:line="27"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seeking recovery of any gain realized on the vesting, exercise, settlement, sale, transfer, or other disposition of any equity-based awards;</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offsetting the recouped amount from any compensation otherwise owed by the Company to the Covered Executive;</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cancelling outstanding vested or unvested equity awards; and/or</w:t>
      </w:r>
    </w:p>
    <w:p>
      <w:pPr>
        <w:spacing w:after="0" w:line="9" w:lineRule="exact"/>
        <w:rPr>
          <w:rFonts w:ascii="Times New Roman" w:cs="Times New Roman" w:eastAsia="Times New Roman" w:hAnsi="Times New Roman"/>
          <w:sz w:val="18"/>
          <w:szCs w:val="18"/>
          <w:color w:val="252525"/>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taking any other remedial and recovery action permitted by law, as determined by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VIII.  No Indemnification; Successors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The Company shall not indemnify any Covered Executives against the loss of any incorrectly awarded Incentive-Based Compensation. This Policy shall be binding and enforceable against all Covered Executives and, in compliance with applicable law, their beneficiaries, heirs, executors, administrators or other legal representatives.</w:t>
      </w:r>
    </w:p>
    <w:p>
      <w:pPr>
        <w:spacing w:after="0" w:line="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IX.</w:t>
        <w:tab/>
        <w:t>Exception to Enforcement</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52525"/>
        </w:rPr>
        <w:t>The Board shall recover any excess Incentive-Based Compensation in accordance with this Policy unless the Compensation Committee of the Board (the “</w:t>
      </w:r>
      <w:r>
        <w:rPr>
          <w:rFonts w:ascii="Times New Roman" w:cs="Times New Roman" w:eastAsia="Times New Roman" w:hAnsi="Times New Roman"/>
          <w:sz w:val="18"/>
          <w:szCs w:val="18"/>
          <w:b w:val="1"/>
          <w:bCs w:val="1"/>
          <w:color w:val="252525"/>
        </w:rPr>
        <w:t>Compensation Committee</w:t>
      </w:r>
      <w:r>
        <w:rPr>
          <w:rFonts w:ascii="Times New Roman" w:cs="Times New Roman" w:eastAsia="Times New Roman" w:hAnsi="Times New Roman"/>
          <w:sz w:val="18"/>
          <w:szCs w:val="18"/>
          <w:color w:val="252525"/>
        </w:rPr>
        <w:t>”), or in the absence of such committee, a majority of independent directors serving on the Board, determines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spacing w:after="0" w:line="68"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Interpretation</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spacing w:after="0" w:line="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XI.</w:t>
        <w:tab/>
        <w:t>Effective Date</w:t>
      </w:r>
    </w:p>
    <w:p>
      <w:pPr>
        <w:spacing w:after="0" w:line="11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252525"/>
        </w:rPr>
        <w:t>This Policy shall be effective as of the date it is adopted by the Board (the “</w:t>
      </w:r>
      <w:r>
        <w:rPr>
          <w:rFonts w:ascii="Times New Roman" w:cs="Times New Roman" w:eastAsia="Times New Roman" w:hAnsi="Times New Roman"/>
          <w:sz w:val="18"/>
          <w:szCs w:val="18"/>
          <w:b w:val="1"/>
          <w:bCs w:val="1"/>
          <w:color w:val="252525"/>
        </w:rPr>
        <w:t>Effective Date</w:t>
      </w:r>
      <w:r>
        <w:rPr>
          <w:rFonts w:ascii="Times New Roman" w:cs="Times New Roman" w:eastAsia="Times New Roman" w:hAnsi="Times New Roman"/>
          <w:sz w:val="18"/>
          <w:szCs w:val="18"/>
          <w:color w:val="252525"/>
        </w:rPr>
        <w:t>”) and shall apply to Incentive-Based Compensation that is received by a Covered Executive on or after October 2, 2023.</w:t>
      </w:r>
    </w:p>
    <w:p>
      <w:pPr>
        <w:spacing w:after="0" w:line="4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XII.</w:t>
      </w:r>
      <w:r>
        <w:rPr>
          <w:sz w:val="20"/>
          <w:szCs w:val="20"/>
          <w:color w:val="auto"/>
        </w:rPr>
        <w:tab/>
      </w:r>
      <w:r>
        <w:rPr>
          <w:rFonts w:ascii="Times New Roman" w:cs="Times New Roman" w:eastAsia="Times New Roman" w:hAnsi="Times New Roman"/>
          <w:sz w:val="17"/>
          <w:szCs w:val="17"/>
          <w:b w:val="1"/>
          <w:bCs w:val="1"/>
          <w:u w:val="single" w:color="auto"/>
          <w:color w:val="auto"/>
        </w:rPr>
        <w:t>Amendment; Termination</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52525"/>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XIII.  Other Recoupment Rights</w:t>
      </w:r>
    </w:p>
    <w:p>
      <w:pPr>
        <w:spacing w:after="0" w:line="200" w:lineRule="exact"/>
        <w:rPr>
          <w:sz w:val="20"/>
          <w:szCs w:val="20"/>
          <w:color w:val="auto"/>
        </w:rPr>
      </w:pPr>
    </w:p>
    <w:p>
      <w:pPr>
        <w:spacing w:after="0" w:line="353" w:lineRule="exact"/>
        <w:rPr>
          <w:sz w:val="20"/>
          <w:szCs w:val="20"/>
          <w:color w:val="auto"/>
        </w:rPr>
      </w:pPr>
    </w:p>
    <w:p>
      <w:pPr>
        <w:jc w:val="both"/>
        <w:ind w:right="40" w:firstLine="40"/>
        <w:spacing w:after="0" w:line="272" w:lineRule="auto"/>
        <w:rPr>
          <w:sz w:val="20"/>
          <w:szCs w:val="20"/>
          <w:color w:val="auto"/>
        </w:rPr>
      </w:pPr>
      <w:r>
        <w:rPr>
          <w:rFonts w:ascii="Times New Roman" w:cs="Times New Roman" w:eastAsia="Times New Roman" w:hAnsi="Times New Roman"/>
          <w:sz w:val="16"/>
          <w:szCs w:val="16"/>
          <w:color w:val="auto"/>
        </w:rPr>
        <w:t>IF " DOCVARIABLE "SWDocIDLocation" 3" = "3" " DOCPROPERTY "SWDocID" 506031948v.1" "" 506031948v.1</w:t>
      </w:r>
      <w:r>
        <w:rPr>
          <w:rFonts w:ascii="Times New Roman" w:cs="Times New Roman" w:eastAsia="Times New Roman" w:hAnsi="Times New Roman"/>
          <w:sz w:val="17"/>
          <w:szCs w:val="17"/>
          <w:color w:val="252525"/>
        </w:rPr>
        <w:t>Any right of recoupment under this Policy is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252525"/>
        </w:rPr>
        <w:t>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u w:val="single" w:color="auto"/>
          <w:color w:val="auto"/>
        </w:rPr>
        <w:t>XIV.</w:t>
        <w:tab/>
        <w:t>Acknowledgement</w:t>
      </w:r>
    </w:p>
    <w:p>
      <w:pPr>
        <w:spacing w:after="0" w:line="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52525"/>
        </w:rPr>
        <w:t xml:space="preserve">To the extent required by the Board or Compensation Committee, each Covered Executive shall be required to sign and return to the Company the acknowledgement form attached hereto as </w:t>
      </w:r>
      <w:r>
        <w:rPr>
          <w:rFonts w:ascii="Times New Roman" w:cs="Times New Roman" w:eastAsia="Times New Roman" w:hAnsi="Times New Roman"/>
          <w:sz w:val="18"/>
          <w:szCs w:val="18"/>
          <w:u w:val="single" w:color="auto"/>
          <w:color w:val="252525"/>
        </w:rPr>
        <w:t>Exhibit A</w:t>
      </w:r>
      <w:r>
        <w:rPr>
          <w:rFonts w:ascii="Times New Roman" w:cs="Times New Roman" w:eastAsia="Times New Roman" w:hAnsi="Times New Roman"/>
          <w:sz w:val="18"/>
          <w:szCs w:val="18"/>
          <w:color w:val="252525"/>
        </w:rPr>
        <w:t xml:space="preserve">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acknowledgement form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9" w:name="page220"/>
    <w:bookmarkEnd w:id="219"/>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52525"/>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Acknowledgement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252525"/>
        </w:rPr>
        <w:t>COVERED EXECUTIVE ACKNOWLEDGMENT AND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52525"/>
        </w:rPr>
        <w:t>PERTAINING TO THE PROKIDNEY CORP. CLAWBACK POLICY</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52525"/>
        </w:rPr>
        <w:t>This Acknowledgment &amp; Agreement (the “Acknowledgment”) is delivered by the undersigned employee (“Covered Executive”), as of the date set forth below, to ProKidney Corp. (the “Company”). Effective as of December 12, 2023 (the “Effective Date”), the Board of Directors (the “Board”) of the Company adopted the ProKidney Corp. Clawback Policy, a copy of which has been provided to the Covered Executive (as amended, restated, supplemented or otherwise modified from time to time by the Board, the “Clawback Policy”).</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252525"/>
        </w:rPr>
        <w:t>In consideration of the continued benefits to be received from the Company (and/or any subsidiary of the Company) and Covered Executive’s right to participate in, and as a condition to the receipt of, Incentive-Based Compensation (as defined in the Clawback Policy), Covered Executive hereby acknowledges and agrees to the following:</w:t>
      </w:r>
    </w:p>
    <w:p>
      <w:pPr>
        <w:spacing w:after="0" w:line="176" w:lineRule="exact"/>
        <w:rPr>
          <w:sz w:val="20"/>
          <w:szCs w:val="20"/>
          <w:color w:val="auto"/>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Covered Executive has read and understands the Clawback Policy and has had an opportunity to ask questions to the Company regarding the Clawback Policy.</w:t>
      </w:r>
    </w:p>
    <w:p>
      <w:pPr>
        <w:spacing w:after="0" w:line="161" w:lineRule="exact"/>
        <w:rPr>
          <w:rFonts w:ascii="Times New Roman" w:cs="Times New Roman" w:eastAsia="Times New Roman" w:hAnsi="Times New Roman"/>
          <w:sz w:val="18"/>
          <w:szCs w:val="18"/>
          <w:color w:val="252525"/>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Covered Executive is bound by and to abide by the terms of the Clawback Policy and intends for the Clawback Policy to be applied to the fullest extent of the law.</w:t>
      </w:r>
    </w:p>
    <w:p>
      <w:pPr>
        <w:spacing w:after="0" w:line="161" w:lineRule="exact"/>
        <w:rPr>
          <w:rFonts w:ascii="Times New Roman" w:cs="Times New Roman" w:eastAsia="Times New Roman" w:hAnsi="Times New Roman"/>
          <w:sz w:val="18"/>
          <w:szCs w:val="18"/>
          <w:color w:val="252525"/>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Clawback Policy shall apply to any and all Incentive-Based Compensation that is (i) approved, awarded or granted to Covered Executive on or after the Effective Date or received by Covered Executive during the Look-Back Period (as defined in the Clawback Policy).</w:t>
      </w:r>
    </w:p>
    <w:p>
      <w:pPr>
        <w:spacing w:after="0" w:line="161" w:lineRule="exact"/>
        <w:rPr>
          <w:rFonts w:ascii="Times New Roman" w:cs="Times New Roman" w:eastAsia="Times New Roman" w:hAnsi="Times New Roman"/>
          <w:sz w:val="18"/>
          <w:szCs w:val="18"/>
          <w:color w:val="252525"/>
        </w:rPr>
      </w:pPr>
    </w:p>
    <w:p>
      <w:pPr>
        <w:ind w:left="760" w:right="20" w:hanging="378"/>
        <w:spacing w:after="0" w:line="282" w:lineRule="auto"/>
        <w:tabs>
          <w:tab w:leader="none" w:pos="760" w:val="left"/>
        </w:tabs>
        <w:numPr>
          <w:ilvl w:val="0"/>
          <w:numId w:val="13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Covered Executive is not entitled to indemnification or right of advancement of expenses in connection with any enforcement of the Clawback Policy by the Company.</w:t>
      </w:r>
    </w:p>
    <w:p>
      <w:pPr>
        <w:spacing w:after="0" w:line="161" w:lineRule="exact"/>
        <w:rPr>
          <w:rFonts w:ascii="Times New Roman" w:cs="Times New Roman" w:eastAsia="Times New Roman" w:hAnsi="Times New Roman"/>
          <w:sz w:val="18"/>
          <w:szCs w:val="18"/>
          <w:color w:val="252525"/>
        </w:rPr>
      </w:pPr>
    </w:p>
    <w:p>
      <w:pPr>
        <w:jc w:val="both"/>
        <w:ind w:left="760" w:hanging="378"/>
        <w:spacing w:after="0" w:line="266" w:lineRule="auto"/>
        <w:tabs>
          <w:tab w:leader="none" w:pos="760" w:val="left"/>
        </w:tabs>
        <w:numPr>
          <w:ilvl w:val="0"/>
          <w:numId w:val="13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 the event of any inconsistency between the provisions of the Clawback Policy and this Acknowledgment or any applicable incentive-based compensation arrangements, employment agreement, equity agreement, indemnification agreement or similar agreement or arrangement setting forth the terms and conditions of any Incentive-Based Compensation, the terms of the Clawback Policy shall govern.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No modifications, waivers or amendments of the terms of this Acknowledgment shall be effective unless signed in writing by Covered Executive and the Company. The provisions of this Acknowledgment shall inure to the benefit of the Company, and shall be binding upon, the successors, administrators, heirs, legal representatives and assigns of Covered Executive.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By signing below, Covered Executive agrees to the application of the Clawback Policy and the other terms of this Acknowledgment.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Name: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lvl w:ilvl="1">
      <w:lvlJc w:val="left"/>
      <w:lvlText w:val="†"/>
      <w:numFmt w:val="bullet"/>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1)"/>
      <w:numFmt w:val="lowerRoman"/>
      <w:start w:val="1"/>
    </w:lvl>
  </w:abstractNum>
  <w:abstractNum w:abstractNumId="73">
    <w:nsid w:val="71C91298"/>
    <w:multiLevelType w:val="hybridMultilevel"/>
    <w:lvl w:ilvl="0">
      <w:lvlJc w:val="left"/>
      <w:lvlText w:val="(%1)"/>
      <w:numFmt w:val="decimal"/>
      <w:start w:val="90"/>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1)"/>
      <w:numFmt w:val="upperLetter"/>
      <w:start w:val="6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5"/>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Letter"/>
      <w:start w:val="2"/>
    </w:lvl>
  </w:abstractNum>
  <w:abstractNum w:abstractNumId="86">
    <w:nsid w:val="53584BCB"/>
    <w:multiLevelType w:val="hybridMultilevel"/>
    <w:lvl w:ilvl="0">
      <w:lvlJc w:val="left"/>
      <w:lvlText w:val="(%1)"/>
      <w:numFmt w:val="lowerLetter"/>
      <w:start w:val="3"/>
    </w:lvl>
  </w:abstractNum>
  <w:abstractNum w:abstractNumId="87">
    <w:nsid w:val="415E286C"/>
    <w:multiLevelType w:val="hybridMultilevel"/>
    <w:lvl w:ilvl="0">
      <w:lvlJc w:val="left"/>
      <w:lvlText w:val="(%1)"/>
      <w:numFmt w:val="lowerRoman"/>
      <w:start w:val="1"/>
    </w:lvl>
  </w:abstractNum>
  <w:abstractNum w:abstractNumId="88">
    <w:nsid w:val="7C58FD05"/>
    <w:multiLevelType w:val="hybridMultilevel"/>
    <w:lvl w:ilvl="0">
      <w:lvlJc w:val="left"/>
      <w:lvlText w:val="(%1)"/>
      <w:numFmt w:val="lowerRoman"/>
      <w:start w:val="2"/>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3"/>
    </w:lvl>
  </w:abstractNum>
  <w:abstractNum w:abstractNumId="91">
    <w:nsid w:val="5C10FE21"/>
    <w:multiLevelType w:val="hybridMultilevel"/>
    <w:lvl w:ilvl="0">
      <w:lvlJc w:val="left"/>
      <w:lvlText w:val="(%1)"/>
      <w:numFmt w:val="lowerLetter"/>
      <w:start w:val="5"/>
    </w:lvl>
  </w:abstractNum>
  <w:abstractNum w:abstractNumId="92">
    <w:nsid w:val="E7FFA2B"/>
    <w:multiLevelType w:val="hybridMultilevel"/>
    <w:lvl w:ilvl="0">
      <w:lvlJc w:val="left"/>
      <w:lvlText w:val="(%1)"/>
      <w:numFmt w:val="lowerRoman"/>
      <w:start w:val="1"/>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3"/>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3"/>
    </w:lvl>
  </w:abstractNum>
  <w:abstractNum w:abstractNumId="99">
    <w:nsid w:val="379E21B5"/>
    <w:multiLevelType w:val="hybridMultilevel"/>
    <w:lvl w:ilvl="0">
      <w:lvlJc w:val="left"/>
      <w:lvlText w:val="(%1)"/>
      <w:numFmt w:val="lowerLetter"/>
      <w:start w:val="1"/>
    </w:lvl>
    <w:lvl w:ilvl="1">
      <w:lvlJc w:val="left"/>
      <w:lvlText w:val="(%2)"/>
      <w:numFmt w:val="lowerRoman"/>
      <w:start w:val="1"/>
    </w:lvl>
  </w:abstractNum>
  <w:abstractNum w:abstractNumId="100">
    <w:nsid w:val="69E373"/>
    <w:multiLevelType w:val="hybridMultilevel"/>
    <w:lvl w:ilvl="0">
      <w:lvlJc w:val="left"/>
      <w:lvlText w:val="(%1)"/>
      <w:numFmt w:val="lowerRoman"/>
      <w:start w:val="2"/>
    </w:lvl>
  </w:abstractNum>
  <w:abstractNum w:abstractNumId="101">
    <w:nsid w:val="2C27173B"/>
    <w:multiLevelType w:val="hybridMultilevel"/>
    <w:lvl w:ilvl="0">
      <w:lvlJc w:val="left"/>
      <w:lvlText w:val="(%1)"/>
      <w:numFmt w:val="lowerLetter"/>
      <w:start w:val="3"/>
    </w:lvl>
  </w:abstractNum>
  <w:abstractNum w:abstractNumId="102">
    <w:nsid w:val="4C9B0904"/>
    <w:multiLevelType w:val="hybridMultilevel"/>
    <w:lvl w:ilvl="0">
      <w:lvlJc w:val="left"/>
      <w:lvlText w:val="%1"/>
      <w:numFmt w:val="lowerLetter"/>
      <w:start w:val="1"/>
    </w:lvl>
    <w:lvl w:ilvl="1">
      <w:lvlJc w:val="left"/>
      <w:lvlText w:val="(%2)"/>
      <w:numFmt w:val="lowerRoman"/>
      <w:start w:val="1"/>
    </w:lvl>
  </w:abstractNum>
  <w:abstractNum w:abstractNumId="103">
    <w:nsid w:val="6AA7B75C"/>
    <w:multiLevelType w:val="hybridMultilevel"/>
    <w:lvl w:ilvl="0">
      <w:lvlJc w:val="left"/>
      <w:lvlText w:val="(%1)"/>
      <w:numFmt w:val="lowerLetter"/>
      <w:start w:val="4"/>
    </w:lvl>
    <w:lvl w:ilvl="1">
      <w:lvlJc w:val="left"/>
      <w:lvlText w:val="%2"/>
      <w:numFmt w:val="lowerRoman"/>
      <w:start w:val="1"/>
    </w:lvl>
  </w:abstractNum>
  <w:abstractNum w:abstractNumId="104">
    <w:nsid w:val="1DF029D3"/>
    <w:multiLevelType w:val="hybridMultilevel"/>
    <w:lvl w:ilvl="0">
      <w:lvlJc w:val="left"/>
      <w:lvlText w:val="(%1)"/>
      <w:numFmt w:val="lowerLetter"/>
      <w:start w:val="1"/>
    </w:lvl>
    <w:lvl w:ilvl="1">
      <w:lvlJc w:val="left"/>
      <w:lvlText w:val="(%2)"/>
      <w:numFmt w:val="lowerRoman"/>
      <w:start w:val="1"/>
    </w:lvl>
  </w:abstractNum>
  <w:abstractNum w:abstractNumId="105">
    <w:nsid w:val="5675FF36"/>
    <w:multiLevelType w:val="hybridMultilevel"/>
    <w:lvl w:ilvl="0">
      <w:lvlJc w:val="left"/>
      <w:lvlText w:val="(%1)"/>
      <w:numFmt w:val="lowerLetter"/>
      <w:start w:val="2"/>
    </w:lvl>
    <w:lvl w:ilvl="1">
      <w:lvlJc w:val="left"/>
      <w:lvlText w:val="(%2)"/>
      <w:numFmt w:val="lowerRoman"/>
      <w:start w:val="1"/>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3"/>
    </w:lvl>
    <w:lvl w:ilvl="1">
      <w:lvlJc w:val="left"/>
      <w:lvlText w:val="(%2)"/>
      <w:numFmt w:val="lowerRoman"/>
      <w:start w:val="1"/>
    </w:lvl>
  </w:abstractNum>
  <w:abstractNum w:abstractNumId="108">
    <w:nsid w:val="2708C9AF"/>
    <w:multiLevelType w:val="hybridMultilevel"/>
    <w:lvl w:ilvl="0">
      <w:lvlJc w:val="left"/>
      <w:lvlText w:val="(%1)"/>
      <w:numFmt w:val="lowerRoman"/>
      <w:start w:val="3"/>
    </w:lvl>
  </w:abstractNum>
  <w:abstractNum w:abstractNumId="109">
    <w:nsid w:val="5B25ACE2"/>
    <w:multiLevelType w:val="hybridMultilevel"/>
    <w:lvl w:ilvl="0">
      <w:lvlJc w:val="left"/>
      <w:lvlText w:val="(%1)"/>
      <w:numFmt w:val="lowerRoman"/>
      <w:start w:val="10"/>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3"/>
    </w:lvl>
  </w:abstractNum>
  <w:abstractNum w:abstractNumId="113">
    <w:nsid w:val="34FD6B4F"/>
    <w:multiLevelType w:val="hybridMultilevel"/>
    <w:lvl w:ilvl="0">
      <w:lvlJc w:val="left"/>
      <w:lvlText w:val="(%1)"/>
      <w:numFmt w:val="lowerLetter"/>
      <w:start w:val="1"/>
    </w:lvl>
  </w:abstractNum>
  <w:abstractNum w:abstractNumId="114">
    <w:nsid w:val="5915FF32"/>
    <w:multiLevelType w:val="hybridMultilevel"/>
    <w:lvl w:ilvl="0">
      <w:lvlJc w:val="left"/>
      <w:lvlText w:val="(%1)"/>
      <w:numFmt w:val="lowerLetter"/>
      <w:start w:val="1"/>
    </w:lvl>
  </w:abstractNum>
  <w:abstractNum w:abstractNumId="115">
    <w:nsid w:val="56438D15"/>
    <w:multiLevelType w:val="hybridMultilevel"/>
    <w:lvl w:ilvl="0">
      <w:lvlJc w:val="left"/>
      <w:lvlText w:val="(%1)"/>
      <w:numFmt w:val="lowerLetter"/>
      <w:start w:val="3"/>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lowerLetter"/>
      <w:start w:val="2"/>
    </w:lvl>
  </w:abstractNum>
  <w:abstractNum w:abstractNumId="118">
    <w:nsid w:val="17A1B582"/>
    <w:multiLevelType w:val="hybridMultilevel"/>
    <w:lvl w:ilvl="0">
      <w:lvlJc w:val="left"/>
      <w:lvlText w:val="(%1)"/>
      <w:numFmt w:val="lowerRoman"/>
      <w:start w:val="1"/>
    </w:lvl>
  </w:abstractNum>
  <w:abstractNum w:abstractNumId="119">
    <w:nsid w:val="4DF72E4E"/>
    <w:multiLevelType w:val="hybridMultilevel"/>
    <w:lvl w:ilvl="0">
      <w:lvlJc w:val="left"/>
      <w:lvlText w:val="(%1)"/>
      <w:numFmt w:val="lowerLetter"/>
      <w:start w:val="1"/>
    </w:lvl>
  </w:abstractNum>
  <w:abstractNum w:abstractNumId="120">
    <w:nsid w:val="5046B5A9"/>
    <w:multiLevelType w:val="hybridMultilevel"/>
    <w:lvl w:ilvl="0">
      <w:lvlJc w:val="left"/>
      <w:lvlText w:val="(%1)"/>
      <w:numFmt w:val="lowerLetter"/>
      <w:start w:val="3"/>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1"/>
    </w:lvl>
    <w:lvl w:ilvl="1">
      <w:lvlJc w:val="left"/>
      <w:lvlText w:val="(%2)"/>
      <w:numFmt w:val="lowerLetter"/>
      <w:start w:val="1"/>
    </w:lvl>
  </w:abstractNum>
  <w:abstractNum w:abstractNumId="123">
    <w:nsid w:val="5EC6AFD4"/>
    <w:multiLevelType w:val="hybridMultilevel"/>
    <w:lvl w:ilvl="0">
      <w:lvlJc w:val="left"/>
      <w:lvlText w:val="%1."/>
      <w:numFmt w:val="decimal"/>
      <w:start w:val="1"/>
    </w:lvl>
    <w:lvl w:ilvl="1">
      <w:lvlJc w:val="left"/>
      <w:lvlText w:val="(%2)"/>
      <w:numFmt w:val="lowerLetter"/>
      <w:start w:val="1"/>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1."/>
      <w:numFmt w:val="upperLetter"/>
      <w:start w:val="9"/>
    </w:lvl>
  </w:abstractNum>
  <w:abstractNum w:abstractNumId="127">
    <w:nsid w:val="5399C654"/>
    <w:multiLevelType w:val="hybridMultilevel"/>
    <w:lvl w:ilvl="0">
      <w:lvlJc w:val="left"/>
      <w:lvlText w:val="%1."/>
      <w:numFmt w:val="upperLetter"/>
      <w:start w:val="35"/>
    </w:lvl>
  </w:abstractNum>
  <w:abstractNum w:abstractNumId="128">
    <w:nsid w:val="20EE1348"/>
    <w:multiLevelType w:val="hybridMultilevel"/>
    <w:lvl w:ilvl="0">
      <w:lvlJc w:val="left"/>
      <w:lvlText w:val="%1."/>
      <w:numFmt w:val="upperLetter"/>
      <w:start w:val="6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1"/>
      <w:numFmt w:val="upperLetter"/>
      <w:start w:val="1"/>
    </w:lvl>
    <w:lvl w:ilvl="1">
      <w:lvlJc w:val="left"/>
      <w:lvlText w:val="•"/>
      <w:numFmt w:val="bullet"/>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1."/>
      <w:numFmt w:val="upperLetter"/>
      <w:start w:val="24"/>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451"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png"/><Relationship Id="rId455" Type="http://schemas.openxmlformats.org/officeDocument/2006/relationships/image" Target="media/image414.png"/><Relationship Id="rId456" Type="http://schemas.openxmlformats.org/officeDocument/2006/relationships/image" Target="media/image415.png"/><Relationship Id="rId457" Type="http://schemas.openxmlformats.org/officeDocument/2006/relationships/image" Target="media/image416.png"/><Relationship Id="rId458" Type="http://schemas.openxmlformats.org/officeDocument/2006/relationships/image" Target="media/image417.pn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463" Type="http://schemas.openxmlformats.org/officeDocument/2006/relationships/image" Target="media/image422.png"/><Relationship Id="rId464"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68" Type="http://schemas.openxmlformats.org/officeDocument/2006/relationships/image" Target="media/image427.png"/><Relationship Id="rId469" Type="http://schemas.openxmlformats.org/officeDocument/2006/relationships/image" Target="media/image428.png"/><Relationship Id="rId470" Type="http://schemas.openxmlformats.org/officeDocument/2006/relationships/image" Target="media/image429.png"/><Relationship Id="rId471" Type="http://schemas.openxmlformats.org/officeDocument/2006/relationships/image" Target="media/image430.png"/><Relationship Id="rId472" Type="http://schemas.openxmlformats.org/officeDocument/2006/relationships/image" Target="media/image431.png"/><Relationship Id="rId473" Type="http://schemas.openxmlformats.org/officeDocument/2006/relationships/image" Target="media/image432.png"/><Relationship Id="rId474" Type="http://schemas.openxmlformats.org/officeDocument/2006/relationships/image" Target="media/image433.png"/><Relationship Id="rId475" Type="http://schemas.openxmlformats.org/officeDocument/2006/relationships/image" Target="media/image434.png"/><Relationship Id="rId476" Type="http://schemas.openxmlformats.org/officeDocument/2006/relationships/image" Target="media/image435.png"/><Relationship Id="rId477" Type="http://schemas.openxmlformats.org/officeDocument/2006/relationships/image" Target="media/image436.png"/><Relationship Id="rId478" Type="http://schemas.openxmlformats.org/officeDocument/2006/relationships/image" Target="media/image437.png"/><Relationship Id="rId479" Type="http://schemas.openxmlformats.org/officeDocument/2006/relationships/image" Target="media/image438.png"/><Relationship Id="rId480" Type="http://schemas.openxmlformats.org/officeDocument/2006/relationships/image" Target="media/image439.png"/><Relationship Id="rId481" Type="http://schemas.openxmlformats.org/officeDocument/2006/relationships/image" Target="media/image440.png"/><Relationship Id="rId482" Type="http://schemas.openxmlformats.org/officeDocument/2006/relationships/image" Target="media/image441.png"/><Relationship Id="rId483" Type="http://schemas.openxmlformats.org/officeDocument/2006/relationships/image" Target="media/image442.png"/><Relationship Id="rId484" Type="http://schemas.openxmlformats.org/officeDocument/2006/relationships/image" Target="media/image443.png"/><Relationship Id="rId485" Type="http://schemas.openxmlformats.org/officeDocument/2006/relationships/image" Target="media/image444.png"/><Relationship Id="rId486" Type="http://schemas.openxmlformats.org/officeDocument/2006/relationships/image" Target="media/image445.png"/><Relationship Id="rId487" Type="http://schemas.openxmlformats.org/officeDocument/2006/relationships/image" Target="media/image446.png"/><Relationship Id="rId488" Type="http://schemas.openxmlformats.org/officeDocument/2006/relationships/image" Target="media/image447.png"/><Relationship Id="rId489" Type="http://schemas.openxmlformats.org/officeDocument/2006/relationships/image" Target="media/image448.png"/><Relationship Id="rId490" Type="http://schemas.openxmlformats.org/officeDocument/2006/relationships/image" Target="media/image449.png"/><Relationship Id="rId491" Type="http://schemas.openxmlformats.org/officeDocument/2006/relationships/image" Target="media/image450.png"/><Relationship Id="rId492" Type="http://schemas.openxmlformats.org/officeDocument/2006/relationships/image" Target="media/image451.png"/><Relationship Id="rId493" Type="http://schemas.openxmlformats.org/officeDocument/2006/relationships/image" Target="media/image452.png"/><Relationship Id="rId494" Type="http://schemas.openxmlformats.org/officeDocument/2006/relationships/image" Target="media/image453.png"/><Relationship Id="rId495"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8" Type="http://schemas.openxmlformats.org/officeDocument/2006/relationships/image" Target="media/image457.png"/><Relationship Id="rId499" Type="http://schemas.openxmlformats.org/officeDocument/2006/relationships/image" Target="media/image458.png"/><Relationship Id="rId500"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506" Type="http://schemas.openxmlformats.org/officeDocument/2006/relationships/image" Target="media/image465.png"/><Relationship Id="rId507" Type="http://schemas.openxmlformats.org/officeDocument/2006/relationships/image" Target="media/image466.png"/><Relationship Id="rId508" Type="http://schemas.openxmlformats.org/officeDocument/2006/relationships/image" Target="media/image467.png"/><Relationship Id="rId509" Type="http://schemas.openxmlformats.org/officeDocument/2006/relationships/image" Target="media/image468.png"/><Relationship Id="rId510" Type="http://schemas.openxmlformats.org/officeDocument/2006/relationships/image" Target="media/image469.png"/><Relationship Id="rId511" Type="http://schemas.openxmlformats.org/officeDocument/2006/relationships/image" Target="media/image470.png"/><Relationship Id="rId512" Type="http://schemas.openxmlformats.org/officeDocument/2006/relationships/image" Target="media/image471.png"/><Relationship Id="rId513" Type="http://schemas.openxmlformats.org/officeDocument/2006/relationships/image" Target="media/image472.png"/><Relationship Id="rId514" Type="http://schemas.openxmlformats.org/officeDocument/2006/relationships/image" Target="media/image473.png"/><Relationship Id="rId515"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8" Type="http://schemas.openxmlformats.org/officeDocument/2006/relationships/image" Target="media/image477.png"/><Relationship Id="rId519" Type="http://schemas.openxmlformats.org/officeDocument/2006/relationships/image" Target="media/image478.png"/><Relationship Id="rId520" Type="http://schemas.openxmlformats.org/officeDocument/2006/relationships/image" Target="media/image479.png"/><Relationship Id="rId521" Type="http://schemas.openxmlformats.org/officeDocument/2006/relationships/image" Target="media/image480.png"/><Relationship Id="rId522" Type="http://schemas.openxmlformats.org/officeDocument/2006/relationships/image" Target="media/image481.png"/><Relationship Id="rId523" Type="http://schemas.openxmlformats.org/officeDocument/2006/relationships/image" Target="media/image482.png"/><Relationship Id="rId524" Type="http://schemas.openxmlformats.org/officeDocument/2006/relationships/image" Target="media/image483.png"/><Relationship Id="rId525" Type="http://schemas.openxmlformats.org/officeDocument/2006/relationships/image" Target="media/image484.png"/><Relationship Id="rId526" Type="http://schemas.openxmlformats.org/officeDocument/2006/relationships/image" Target="media/image485.png"/><Relationship Id="rId527" Type="http://schemas.openxmlformats.org/officeDocument/2006/relationships/image" Target="media/image486.png"/><Relationship Id="rId528" Type="http://schemas.openxmlformats.org/officeDocument/2006/relationships/image" Target="media/image487.png"/><Relationship Id="rId529" Type="http://schemas.openxmlformats.org/officeDocument/2006/relationships/image" Target="media/image488.png"/><Relationship Id="rId530" Type="http://schemas.openxmlformats.org/officeDocument/2006/relationships/image" Target="media/image489.png"/><Relationship Id="rId531" Type="http://schemas.openxmlformats.org/officeDocument/2006/relationships/image" Target="media/image490.png"/><Relationship Id="rId532" Type="http://schemas.openxmlformats.org/officeDocument/2006/relationships/image" Target="media/image491.png"/><Relationship Id="rId533" Type="http://schemas.openxmlformats.org/officeDocument/2006/relationships/image" Target="media/image492.png"/><Relationship Id="rId534" Type="http://schemas.openxmlformats.org/officeDocument/2006/relationships/image" Target="media/image493.png"/><Relationship Id="rId535" Type="http://schemas.openxmlformats.org/officeDocument/2006/relationships/image" Target="media/image494.png"/><Relationship Id="rId536" Type="http://schemas.openxmlformats.org/officeDocument/2006/relationships/image" Target="media/image495.png"/><Relationship Id="rId537" Type="http://schemas.openxmlformats.org/officeDocument/2006/relationships/image" Target="media/image496.png"/><Relationship Id="rId538" Type="http://schemas.openxmlformats.org/officeDocument/2006/relationships/image" Target="media/image497.png"/><Relationship Id="rId539" Type="http://schemas.openxmlformats.org/officeDocument/2006/relationships/image" Target="media/image498.png"/><Relationship Id="rId540" Type="http://schemas.openxmlformats.org/officeDocument/2006/relationships/image" Target="media/image499.png"/><Relationship Id="rId541" Type="http://schemas.openxmlformats.org/officeDocument/2006/relationships/image" Target="media/image500.png"/><Relationship Id="rId542" Type="http://schemas.openxmlformats.org/officeDocument/2006/relationships/image" Target="media/image501.png"/><Relationship Id="rId543" Type="http://schemas.openxmlformats.org/officeDocument/2006/relationships/image" Target="media/image502.png"/><Relationship Id="rId544" Type="http://schemas.openxmlformats.org/officeDocument/2006/relationships/image" Target="media/image503.png"/><Relationship Id="rId545" Type="http://schemas.openxmlformats.org/officeDocument/2006/relationships/image" Target="media/image504.png"/><Relationship Id="rId546" Type="http://schemas.openxmlformats.org/officeDocument/2006/relationships/image" Target="media/image505.png"/><Relationship Id="rId547" Type="http://schemas.openxmlformats.org/officeDocument/2006/relationships/image" Target="media/image506.png"/><Relationship Id="rId548" Type="http://schemas.openxmlformats.org/officeDocument/2006/relationships/image" Target="media/image507.png"/><Relationship Id="rId549" Type="http://schemas.openxmlformats.org/officeDocument/2006/relationships/image" Target="media/image508.png"/><Relationship Id="rId550" Type="http://schemas.openxmlformats.org/officeDocument/2006/relationships/image" Target="media/image509.png"/><Relationship Id="rId551" Type="http://schemas.openxmlformats.org/officeDocument/2006/relationships/image" Target="media/image510.png"/><Relationship Id="rId552" Type="http://schemas.openxmlformats.org/officeDocument/2006/relationships/image" Target="media/image511.png"/><Relationship Id="rId553" Type="http://schemas.openxmlformats.org/officeDocument/2006/relationships/image" Target="media/image512.png"/><Relationship Id="rId554" Type="http://schemas.openxmlformats.org/officeDocument/2006/relationships/image" Target="media/image513.png"/><Relationship Id="rId555" Type="http://schemas.openxmlformats.org/officeDocument/2006/relationships/image" Target="media/image514.png"/><Relationship Id="rId145" Type="http://schemas.openxmlformats.org/officeDocument/2006/relationships/hyperlink" Target="https://www.sec.gov/Archives/edgar/data/1850270/000119312522014862/d259568dex21.htm" TargetMode="External"/><Relationship Id="rId146" Type="http://schemas.openxmlformats.org/officeDocument/2006/relationships/hyperlink" Target="https://www.sec.gov/Archives/edgar/data/1850270/000119312522172036/d546367ddefm14a.htm#toc546367_44" TargetMode="External"/><Relationship Id="rId147" Type="http://schemas.openxmlformats.org/officeDocument/2006/relationships/hyperlink" Target="https://www.sec.gov/Archives/edgar/data/1850270/000119312522195148/d285643dex31.htm" TargetMode="External"/><Relationship Id="rId148" Type="http://schemas.openxmlformats.org/officeDocument/2006/relationships/hyperlink" Target="https://www.sec.gov/Archives/edgar/data/1850270/000119312522195148/d285643dex101.htm" TargetMode="External"/><Relationship Id="rId149" Type="http://schemas.openxmlformats.org/officeDocument/2006/relationships/hyperlink" Target="https://www.sec.gov/Archives/edgar/data/1850270/000119312522195148/d285643dex102.htm" TargetMode="External"/><Relationship Id="rId150" Type="http://schemas.openxmlformats.org/officeDocument/2006/relationships/hyperlink" Target="https://www.sec.gov/Archives/edgar/data/1850270/000119312522195148/d285643dex103.htm" TargetMode="External"/><Relationship Id="rId151" Type="http://schemas.openxmlformats.org/officeDocument/2006/relationships/hyperlink" Target="https://www.sec.gov/Archives/edgar/data/1850270/000119312522195148/d285643dex104.htm" TargetMode="External"/><Relationship Id="rId154" Type="http://schemas.openxmlformats.org/officeDocument/2006/relationships/hyperlink" Target="https://www.sec.gov/Archives/edgar/data/1850270/000119312522014862/d259568dex101.htm" TargetMode="External"/><Relationship Id="rId155" Type="http://schemas.openxmlformats.org/officeDocument/2006/relationships/hyperlink" Target="https://www.sec.gov/Archives/edgar/data/1850270/000119312522014862/d259568dex102.htm" TargetMode="External"/><Relationship Id="rId156" Type="http://schemas.openxmlformats.org/officeDocument/2006/relationships/hyperlink" Target="https://www.sec.gov/Archives/edgar/data/1850270/000119312522014862/d259568dex103.htm" TargetMode="External"/><Relationship Id="rId157" Type="http://schemas.openxmlformats.org/officeDocument/2006/relationships/hyperlink" Target="https://www.sec.gov/Archives/edgar/data/1850270/000119312522172036/d546367ddefm14a.htm#toc546367_56b" TargetMode="External"/><Relationship Id="rId158" Type="http://schemas.openxmlformats.org/officeDocument/2006/relationships/hyperlink" Target="https://www.sec.gov/Archives/edgar/data/1850270/000119312522195148/d285643dex1011.htm" TargetMode="External"/><Relationship Id="rId159" Type="http://schemas.openxmlformats.org/officeDocument/2006/relationships/hyperlink" Target="https://www.sec.gov/Archives/edgar/data/1850270/000119312522195148/d285643dex1012.htm" TargetMode="External"/><Relationship Id="rId160" Type="http://schemas.openxmlformats.org/officeDocument/2006/relationships/hyperlink" Target="https://www.sec.gov/Archives/edgar/data/1850270/000119312522195148/d285643dex1013.htm" TargetMode="External"/><Relationship Id="rId161" Type="http://schemas.openxmlformats.org/officeDocument/2006/relationships/hyperlink" Target="https://www.sec.gov/Archives/edgar/data/1850270/000095017023010324/prok-ex10_14.htm" TargetMode="External"/><Relationship Id="rId162" Type="http://schemas.openxmlformats.org/officeDocument/2006/relationships/hyperlink" Target="https://www.sec.gov/Archives/edgar/data/1850270/000095017023010324/prok-ex10_17.htm" TargetMode="External"/><Relationship Id="rId163" Type="http://schemas.openxmlformats.org/officeDocument/2006/relationships/hyperlink" Target="https://www.sec.gov/Archives/edgar/data/1850270/000095017023010324/prok-ex10_18.htm" TargetMode="External"/><Relationship Id="rId164" Type="http://schemas.openxmlformats.org/officeDocument/2006/relationships/hyperlink" Target="https://www.sec.gov/Archives/edgar/data/1850270/000095017023010324/prok-ex10_20.htm" TargetMode="External"/><Relationship Id="rId165" Type="http://schemas.openxmlformats.org/officeDocument/2006/relationships/hyperlink" Target="https://www.sec.gov/Archives/edgar/data/1850270/000095017023000923/prok-ex10_1.htm" TargetMode="External"/><Relationship Id="rId166" Type="http://schemas.openxmlformats.org/officeDocument/2006/relationships/hyperlink" Target="https://www.sec.gov/Archives/edgar/data/1850270/000095017023068152/prok-ex10_1.htm" TargetMode="External"/><Relationship Id="rId167" Type="http://schemas.openxmlformats.org/officeDocument/2006/relationships/hyperlink" Target="https://www.sec.gov/Archives/edgar/data/1850270/000119312522215250/d373959dex1013.htm" TargetMode="External"/><Relationship Id="rId168" Type="http://schemas.openxmlformats.org/officeDocument/2006/relationships/hyperlink" Target="https://www.sec.gov/Archives/edgar/data/1850270/000119312522215250/d373959dex1014.htm" TargetMode="External"/><Relationship Id="rId169" Type="http://schemas.openxmlformats.org/officeDocument/2006/relationships/hyperlink" Target="https://www.sec.gov/Archives/edgar/data/1850270/000119312522215250/d373959dex1016.htm" TargetMode="External"/><Relationship Id="rId170" Type="http://schemas.openxmlformats.org/officeDocument/2006/relationships/hyperlink" Target="https://www.sec.gov/Archives/edgar/data/1850270/000119312522215250/d373959dex1017.htm" TargetMode="External"/><Relationship Id="rId171" Type="http://schemas.openxmlformats.org/officeDocument/2006/relationships/hyperlink" Target="https://www.sec.gov/Archives/edgar/data/1850270/000119312522215250/d373959dex1018.htm" TargetMode="External"/><Relationship Id="rId172" Type="http://schemas.openxmlformats.org/officeDocument/2006/relationships/hyperlink" Target="https://www.sec.gov/Archives/edgar/data/1850270/000119312522215250/d373959dex1019.htm" TargetMode="External"/><Relationship Id="rId175" Type="http://schemas.openxmlformats.org/officeDocument/2006/relationships/hyperlink" Target="https://www.sec.gov/Archives/edgar/data/1850270/000119312522215250/d373959dex1020.htm" TargetMode="External"/><Relationship Id="rId176" Type="http://schemas.openxmlformats.org/officeDocument/2006/relationships/hyperlink" Target="https://www.sec.gov/Archives/edgar/data/1850270/000119312522215250/d373959dex1021.htm" TargetMode="External"/><Relationship Id="rId177" Type="http://schemas.openxmlformats.org/officeDocument/2006/relationships/hyperlink" Target="https://www.sec.gov/Archives/edgar/data/1850270/000119312522215250/d373959dex1022.htm" TargetMode="External"/><Relationship Id="rId178" Type="http://schemas.openxmlformats.org/officeDocument/2006/relationships/hyperlink" Target="https://www.sec.gov/Archives/edgar/data/1850270/000095017023010324/prok-ex10_30.htm" TargetMode="External"/><Relationship Id="rId179" Type="http://schemas.openxmlformats.org/officeDocument/2006/relationships/hyperlink" Target="https://www.sec.gov/Archives/edgar/data/1850270/000095017023010324/prok-ex10_31.htm" TargetMode="External"/><Relationship Id="rId180" Type="http://schemas.openxmlformats.org/officeDocument/2006/relationships/hyperlink" Target="https://www.sec.gov/Archives/edgar/data/1850270/000095017023041374/prok-ex10_1.htm" TargetMode="External"/><Relationship Id="rId181" Type="http://schemas.openxmlformats.org/officeDocument/2006/relationships/hyperlink" Target="https://www.sec.gov/Archives/edgar/data/1850270/000095017023041374/prok-ex10_2.htm" TargetMode="External"/><Relationship Id="rId182" Type="http://schemas.openxmlformats.org/officeDocument/2006/relationships/hyperlink" Target="https://www.sec.gov/Archives/edgar/data/1850270/000119312524011267/d664610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2024-03-22T05:23:41Z</dcterms:created>
  <dcterms:modified xsi:type="dcterms:W3CDTF">2024-03-22T05:23:41Z</dcterms:modified>
</cp:coreProperties>
</file>