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ok-20230331.htm"/>
      <w:bookmarkStart w:id="1" w:name="ksprok20230331"/>
      <w:bookmarkEnd w:id="0"/>
      <w:bookmarkEnd w:id="1"/>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60" w:after="120"/>
        <w:jc w:val="center"/>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60" w:after="120"/>
        <w:jc w:val="center"/>
        <w:rPr/>
      </w:pPr>
      <w:r>
        <w:rPr/>
        <w:t> </w:t>
      </w:r>
    </w:p>
    <w:p>
      <w:pPr>
        <w:pStyle w:val="TextBody"/>
        <w:bidi w:val="0"/>
        <w:spacing w:before="9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bidi w:val="0"/>
        <w:spacing w:before="12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12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Commission File Number: 001-40560</w:t>
      </w:r>
    </w:p>
    <w:p>
      <w:pPr>
        <w:pStyle w:val="TextBody"/>
        <w:pBdr>
          <w:bottom w:val="single" w:sz="4" w:space="1" w:color="000000"/>
        </w:pBdr>
        <w:bidi w:val="0"/>
        <w:spacing w:before="60" w:after="120"/>
        <w:jc w:val="center"/>
        <w:rPr/>
      </w:pPr>
      <w:r>
        <w:rPr/>
        <w:t> </w:t>
      </w:r>
    </w:p>
    <w:p>
      <w:pPr>
        <w:pStyle w:val="TextBody"/>
        <w:bidi w:val="0"/>
        <w:spacing w:before="0" w:after="0"/>
        <w:jc w:val="center"/>
        <w:rPr>
          <w:rFonts w:ascii="Times New Roman;serif" w:hAnsi="Times New Roman;serif"/>
          <w:b/>
          <w:sz w:val="48"/>
        </w:rPr>
      </w:pPr>
      <w:r>
        <w:rPr>
          <w:rFonts w:ascii="Times New Roman;serif" w:hAnsi="Times New Roman;serif"/>
          <w:b/>
          <w:sz w:val="48"/>
        </w:rPr>
        <w:t>ProKidney Corp.</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60" w:after="0"/>
        <w:jc w:val="center"/>
        <w:rPr/>
      </w:pPr>
      <w:r>
        <w:rPr/>
        <w:t> </w:t>
      </w:r>
    </w:p>
    <w:p>
      <w:pPr>
        <w:pStyle w:val="TextBody"/>
        <w:bidi w:val="0"/>
        <w:spacing w:before="0" w:after="0"/>
        <w:jc w:val="left"/>
        <w:rPr/>
      </w:pPr>
      <w:r>
        <w:rPr/>
        <w:t> </w:t>
      </w:r>
    </w:p>
    <w:tbl>
      <w:tblPr>
        <w:tblW w:w="4337" w:type="dxa"/>
        <w:jc w:val="left"/>
        <w:tblInd w:w="0" w:type="dxa"/>
        <w:tblLayout w:type="fixed"/>
        <w:tblCellMar>
          <w:top w:w="28" w:type="dxa"/>
          <w:left w:w="28" w:type="dxa"/>
          <w:bottom w:w="28" w:type="dxa"/>
          <w:right w:w="28" w:type="dxa"/>
        </w:tblCellMar>
      </w:tblPr>
      <w:tblGrid>
        <w:gridCol w:w="3091"/>
        <w:gridCol w:w="1246"/>
      </w:tblGrid>
      <w:tr>
        <w:trPr/>
        <w:tc>
          <w:tcPr>
            <w:tcW w:w="309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Cayman Islands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98-1586514</w:t>
            </w:r>
          </w:p>
        </w:tc>
      </w:tr>
      <w:tr>
        <w:trPr/>
        <w:tc>
          <w:tcPr>
            <w:tcW w:w="30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3091" w:type="dxa"/>
            <w:tcBorders/>
            <w:tcMar>
              <w:top w:w="0" w:type="dxa"/>
              <w:left w:w="0" w:type="dxa"/>
              <w:bottom w:w="0" w:type="dxa"/>
              <w:right w:w="0" w:type="dxa"/>
            </w:tcMar>
            <w:vAlign w:val="center"/>
          </w:tcPr>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2000 Frontis Plaza Blvd., Suite 250</w:t>
            </w:r>
          </w:p>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Winston-Salem, NC</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27103</w:t>
            </w:r>
          </w:p>
        </w:tc>
      </w:tr>
      <w:tr>
        <w:trPr/>
        <w:tc>
          <w:tcPr>
            <w:tcW w:w="30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Registrant’s telephone number, including area code: (336) 999-7028</w:t>
      </w:r>
    </w:p>
    <w:p>
      <w:pPr>
        <w:pStyle w:val="TextBody"/>
        <w:pBdr>
          <w:bottom w:val="single" w:sz="4" w:space="1" w:color="000000"/>
        </w:pBdr>
        <w:bidi w:val="0"/>
        <w:spacing w:before="60" w:after="0"/>
        <w:jc w:val="center"/>
        <w:rPr/>
      </w:pPr>
      <w:r>
        <w:rPr/>
        <w:t> </w:t>
      </w:r>
    </w:p>
    <w:p>
      <w:pPr>
        <w:pStyle w:val="TextBody"/>
        <w:bidi w:val="0"/>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8320" w:type="dxa"/>
        <w:jc w:val="left"/>
        <w:tblInd w:w="0" w:type="dxa"/>
        <w:tblLayout w:type="fixed"/>
        <w:tblCellMar>
          <w:top w:w="28" w:type="dxa"/>
          <w:left w:w="28" w:type="dxa"/>
          <w:bottom w:w="28" w:type="dxa"/>
          <w:right w:w="28" w:type="dxa"/>
        </w:tblCellMar>
      </w:tblPr>
      <w:tblGrid>
        <w:gridCol w:w="3886"/>
        <w:gridCol w:w="146"/>
        <w:gridCol w:w="826"/>
        <w:gridCol w:w="146"/>
        <w:gridCol w:w="331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8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Class A ordinary shares, $0.0001 par value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PROK</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18"/>
              </w:rPr>
              <w:t>The Nasdaq</w:t>
            </w:r>
            <w:r>
              <w:rPr>
                <w:rFonts w:ascii="Times New Roman" w:hAnsi="Times New Roman"/>
                <w:sz w:val="20"/>
              </w:rPr>
              <w:t> </w:t>
            </w:r>
            <w:r>
              <w:rPr>
                <w:rFonts w:ascii="Times New Roman;serif" w:hAnsi="Times New Roman;serif"/>
                <w:b w:val="false"/>
                <w:sz w:val="18"/>
              </w:rPr>
              <w:t>Stock Market</w:t>
            </w:r>
          </w:p>
        </w:tc>
      </w:tr>
    </w:tbl>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w:t>
      </w:r>
    </w:p>
    <w:tbl>
      <w:tblPr>
        <w:tblW w:w="7198" w:type="dxa"/>
        <w:jc w:val="left"/>
        <w:tblInd w:w="0" w:type="dxa"/>
        <w:tblLayout w:type="fixed"/>
        <w:tblCellMar>
          <w:top w:w="28" w:type="dxa"/>
          <w:left w:w="28" w:type="dxa"/>
          <w:bottom w:w="28" w:type="dxa"/>
          <w:right w:w="28" w:type="dxa"/>
        </w:tblCellMar>
      </w:tblPr>
      <w:tblGrid>
        <w:gridCol w:w="3886"/>
        <w:gridCol w:w="146"/>
        <w:gridCol w:w="316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4" w:space="0" w:color="000000"/>
            </w:tcBorders>
            <w:tcMar>
              <w:top w:w="0" w:type="dxa"/>
              <w:left w:w="0" w:type="dxa"/>
              <w:right w:w="0" w:type="dxa"/>
            </w:tcMar>
            <w:vAlign w:val="center"/>
          </w:tcPr>
          <w:p>
            <w:pPr>
              <w:pStyle w:val="TableContents"/>
              <w:bidi w:val="0"/>
              <w:spacing w:before="80" w:after="0"/>
              <w:ind w:left="0" w:right="0" w:hanging="0"/>
              <w:jc w:val="left"/>
              <w:rPr>
                <w:rFonts w:ascii="Times New Roman;serif" w:hAnsi="Times New Roman;serif"/>
                <w:b/>
                <w:sz w:val="18"/>
              </w:rPr>
            </w:pPr>
            <w:r>
              <w:rPr>
                <w:rFonts w:ascii="Times New Roman;serif" w:hAnsi="Times New Roman;serif"/>
                <w:b/>
                <w:sz w:val="18"/>
              </w:rPr>
              <w:t>Class of Stock</w:t>
            </w:r>
          </w:p>
        </w:tc>
        <w:tc>
          <w:tcPr>
            <w:tcW w:w="146" w:type="dxa"/>
            <w:tcBorders>
              <w:bottom w:val="single" w:sz="4" w:space="0" w:color="000000"/>
            </w:tcBorders>
            <w:tcMar>
              <w:top w:w="0" w:type="dxa"/>
              <w:left w:w="0" w:type="dxa"/>
              <w:right w:w="0" w:type="dxa"/>
            </w:tcMar>
            <w:vAlign w:val="center"/>
          </w:tcPr>
          <w:p>
            <w:pPr>
              <w:pStyle w:val="TableContents"/>
              <w:bidi w:val="0"/>
              <w:spacing w:before="80" w:after="0"/>
              <w:ind w:left="0" w:right="0" w:hanging="0"/>
              <w:jc w:val="left"/>
              <w:rPr/>
            </w:pPr>
            <w:r>
              <w:rPr/>
              <w:t> </w:t>
            </w:r>
          </w:p>
        </w:tc>
        <w:tc>
          <w:tcPr>
            <w:tcW w:w="3166" w:type="dxa"/>
            <w:tcBorders>
              <w:bottom w:val="single" w:sz="4" w:space="0" w:color="000000"/>
            </w:tcBorders>
            <w:tcMar>
              <w:top w:w="0" w:type="dxa"/>
              <w:left w:w="0" w:type="dxa"/>
              <w:right w:w="0" w:type="dxa"/>
            </w:tcMar>
            <w:vAlign w:val="center"/>
          </w:tcPr>
          <w:p>
            <w:pPr>
              <w:pStyle w:val="TableContents"/>
              <w:bidi w:val="0"/>
              <w:spacing w:before="80" w:after="0"/>
              <w:ind w:left="0" w:right="0" w:hanging="0"/>
              <w:jc w:val="left"/>
              <w:rPr>
                <w:rFonts w:ascii="Times New Roman;serif" w:hAnsi="Times New Roman;serif"/>
                <w:b/>
                <w:sz w:val="18"/>
              </w:rPr>
            </w:pPr>
            <w:r>
              <w:rPr>
                <w:rFonts w:ascii="Times New Roman;serif" w:hAnsi="Times New Roman;serif"/>
                <w:b/>
                <w:sz w:val="18"/>
              </w:rPr>
              <w:t>Shares Outstanding as of May 11, 2023</w:t>
            </w:r>
          </w:p>
        </w:tc>
      </w:tr>
      <w:tr>
        <w:trPr/>
        <w:tc>
          <w:tcPr>
            <w:tcW w:w="3886" w:type="dxa"/>
            <w:tcBorders/>
            <w:tcMar>
              <w:top w:w="0" w:type="dxa"/>
              <w:left w:w="0" w:type="dxa"/>
              <w:bottom w:w="0" w:type="dxa"/>
              <w:right w:w="0" w:type="dxa"/>
            </w:tcMar>
            <w:vAlign w:val="center"/>
          </w:tcPr>
          <w:p>
            <w:pPr>
              <w:pStyle w:val="TableContents"/>
              <w:bidi w:val="0"/>
              <w:spacing w:before="80" w:after="0"/>
              <w:ind w:left="0" w:right="0" w:hanging="0"/>
              <w:jc w:val="left"/>
              <w:rPr>
                <w:rFonts w:ascii="Times New Roman;serif" w:hAnsi="Times New Roman;serif"/>
                <w:b w:val="false"/>
                <w:sz w:val="18"/>
              </w:rPr>
            </w:pPr>
            <w:r>
              <w:rPr>
                <w:rFonts w:ascii="Times New Roman;serif" w:hAnsi="Times New Roman;serif"/>
                <w:b w:val="false"/>
                <w:sz w:val="18"/>
              </w:rPr>
              <w:t>Class A ordinary shares, par value $0.0001 per share</w:t>
            </w:r>
          </w:p>
        </w:tc>
        <w:tc>
          <w:tcPr>
            <w:tcW w:w="146" w:type="dxa"/>
            <w:tcBorders/>
            <w:tcMar>
              <w:top w:w="0" w:type="dxa"/>
              <w:left w:w="0" w:type="dxa"/>
              <w:bottom w:w="0" w:type="dxa"/>
              <w:right w:w="0" w:type="dxa"/>
            </w:tcMar>
            <w:vAlign w:val="center"/>
          </w:tcPr>
          <w:p>
            <w:pPr>
              <w:pStyle w:val="TableContents"/>
              <w:bidi w:val="0"/>
              <w:spacing w:before="80" w:after="0"/>
              <w:ind w:left="0" w:right="0" w:hanging="0"/>
              <w:jc w:val="left"/>
              <w:rPr/>
            </w:pPr>
            <w:r>
              <w:rPr/>
              <w:t> </w:t>
            </w:r>
          </w:p>
        </w:tc>
        <w:tc>
          <w:tcPr>
            <w:tcW w:w="3166" w:type="dxa"/>
            <w:tcBorders/>
            <w:tcMar>
              <w:top w:w="0" w:type="dxa"/>
              <w:left w:w="0" w:type="dxa"/>
              <w:bottom w:w="0" w:type="dxa"/>
              <w:right w:w="0" w:type="dxa"/>
            </w:tcMar>
            <w:vAlign w:val="center"/>
          </w:tcPr>
          <w:p>
            <w:pPr>
              <w:pStyle w:val="TableContents"/>
              <w:bidi w:val="0"/>
              <w:spacing w:before="80" w:after="0"/>
              <w:ind w:left="0" w:right="0" w:hanging="0"/>
              <w:jc w:val="right"/>
              <w:rPr>
                <w:rFonts w:ascii="Times New Roman;serif" w:hAnsi="Times New Roman;serif"/>
                <w:b w:val="false"/>
                <w:sz w:val="18"/>
              </w:rPr>
            </w:pPr>
            <w:r>
              <w:rPr>
                <w:rFonts w:ascii="Times New Roman;serif" w:hAnsi="Times New Roman;serif"/>
                <w:b w:val="false"/>
                <w:sz w:val="18"/>
              </w:rPr>
              <w:t>61,590,231</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113" w:type="dxa"/>
        <w:jc w:val="left"/>
        <w:tblInd w:w="0" w:type="dxa"/>
        <w:tblLayout w:type="fixed"/>
        <w:tblCellMar>
          <w:top w:w="28" w:type="dxa"/>
          <w:left w:w="28" w:type="dxa"/>
          <w:bottom w:w="28" w:type="dxa"/>
          <w:right w:w="28" w:type="dxa"/>
        </w:tblCellMar>
      </w:tblPr>
      <w:tblGrid>
        <w:gridCol w:w="3871"/>
        <w:gridCol w:w="146"/>
        <w:gridCol w:w="109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spacing w:before="80" w:after="0"/>
              <w:ind w:left="0" w:right="0" w:hanging="0"/>
              <w:jc w:val="left"/>
              <w:rPr>
                <w:rFonts w:ascii="Times New Roman;serif" w:hAnsi="Times New Roman;serif"/>
                <w:b w:val="false"/>
                <w:sz w:val="18"/>
              </w:rPr>
            </w:pPr>
            <w:r>
              <w:rPr>
                <w:rFonts w:ascii="Times New Roman;serif" w:hAnsi="Times New Roman;serif"/>
                <w:b w:val="false"/>
                <w:sz w:val="18"/>
              </w:rPr>
              <w:t>Class B ordinary shares, par value $0.0001 per share</w:t>
            </w:r>
          </w:p>
        </w:tc>
        <w:tc>
          <w:tcPr>
            <w:tcW w:w="146" w:type="dxa"/>
            <w:tcBorders/>
            <w:tcMar>
              <w:top w:w="0" w:type="dxa"/>
              <w:left w:w="0" w:type="dxa"/>
              <w:bottom w:w="0" w:type="dxa"/>
              <w:right w:w="0" w:type="dxa"/>
            </w:tcMar>
            <w:vAlign w:val="center"/>
          </w:tcPr>
          <w:p>
            <w:pPr>
              <w:pStyle w:val="TableContents"/>
              <w:bidi w:val="0"/>
              <w:spacing w:before="80" w:after="0"/>
              <w:ind w:left="0" w:right="0" w:hanging="0"/>
              <w:jc w:val="left"/>
              <w:rPr/>
            </w:pPr>
            <w:r>
              <w:rPr/>
              <w:t> </w:t>
            </w:r>
          </w:p>
        </w:tc>
        <w:tc>
          <w:tcPr>
            <w:tcW w:w="1096" w:type="dxa"/>
            <w:tcBorders/>
            <w:tcMar>
              <w:top w:w="0" w:type="dxa"/>
              <w:left w:w="0" w:type="dxa"/>
              <w:bottom w:w="0" w:type="dxa"/>
              <w:right w:w="0" w:type="dxa"/>
            </w:tcMar>
            <w:vAlign w:val="center"/>
          </w:tcPr>
          <w:p>
            <w:pPr>
              <w:pStyle w:val="TableContents"/>
              <w:bidi w:val="0"/>
              <w:spacing w:before="80" w:after="0"/>
              <w:ind w:left="0" w:right="0" w:hanging="0"/>
              <w:jc w:val="right"/>
              <w:rPr>
                <w:rFonts w:ascii="Times New Roman" w:hAnsi="Times New Roman"/>
                <w:sz w:val="20"/>
              </w:rPr>
            </w:pPr>
            <w:r>
              <w:rPr>
                <w:rFonts w:ascii="Times New Roman;serif" w:hAnsi="Times New Roman;serif"/>
                <w:b w:val="false"/>
                <w:sz w:val="18"/>
              </w:rPr>
              <w:t>173,537,435</w:t>
            </w:r>
            <w:r>
              <w:rPr>
                <w:rFonts w:ascii="Times New Roman" w:hAnsi="Times New Roman"/>
                <w:sz w:val="20"/>
              </w:rPr>
              <w:t xml:space="preserve"> </w:t>
            </w:r>
          </w:p>
        </w:tc>
      </w:tr>
    </w:tbl>
    <w:p>
      <w:pPr>
        <w:pStyle w:val="TextBody"/>
        <w:pBdr>
          <w:bottom w:val="double" w:sz="6" w:space="1" w:color="000000"/>
        </w:pBdr>
        <w:bidi w:val="0"/>
        <w:spacing w:before="0" w:after="0"/>
        <w:jc w:val="left"/>
        <w:rPr>
          <w:rFonts w:ascii="Times New Roman;serif" w:hAnsi="Times New Roman;serif"/>
          <w:b w:val="false"/>
          <w:sz w:val="4"/>
        </w:rPr>
      </w:pPr>
      <w:r>
        <w:rPr>
          <w:rFonts w:ascii="Times New Roman;serif" w:hAnsi="Times New Roman;serif"/>
          <w:b w:val="false"/>
          <w:sz w:val="4"/>
        </w:rPr>
        <w: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34"/>
        <w:gridCol w:w="8859"/>
        <w:gridCol w:w="512"/>
      </w:tblGrid>
      <w:tr>
        <w:trPr/>
        <w:tc>
          <w:tcPr>
            <w:tcW w:w="834" w:type="dxa"/>
            <w:tcBorders/>
            <w:vAlign w:val="center"/>
          </w:tcPr>
          <w:p>
            <w:pPr>
              <w:pStyle w:val="TableContents"/>
              <w:bidi w:val="0"/>
              <w:spacing w:before="0" w:after="283"/>
              <w:jc w:val="left"/>
              <w:rPr>
                <w:sz w:val="4"/>
                <w:szCs w:val="4"/>
              </w:rPr>
            </w:pPr>
            <w:r>
              <w:rPr>
                <w:sz w:val="4"/>
                <w:szCs w:val="4"/>
              </w:rPr>
            </w:r>
          </w:p>
        </w:tc>
        <w:tc>
          <w:tcPr>
            <w:tcW w:w="885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34"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9"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512" w:type="dxa"/>
            <w:tcBorders>
              <w:bottom w:val="single" w:sz="2" w:space="0" w:color="000000"/>
            </w:tcBorders>
            <w:tcMar>
              <w:top w:w="0" w:type="dxa"/>
              <w:left w:w="0" w:type="dxa"/>
              <w:right w:w="0" w:type="dxa"/>
            </w:tcMar>
            <w:vAlign w:val="center"/>
          </w:tcPr>
          <w:p>
            <w:pPr>
              <w:pStyle w:val="TableContents"/>
              <w:bidi w:val="0"/>
              <w:spacing w:before="0" w:after="0"/>
              <w:ind w:left="137" w:right="0" w:hanging="0"/>
              <w:jc w:val="left"/>
              <w:rPr>
                <w:rFonts w:ascii="Times New Roman;serif" w:hAnsi="Times New Roman;serif"/>
                <w:b/>
                <w:sz w:val="16"/>
              </w:rPr>
            </w:pPr>
            <w:r>
              <w:rPr>
                <w:rFonts w:ascii="Times New Roman;serif" w:hAnsi="Times New Roman;serif"/>
                <w:b/>
                <w:sz w:val="16"/>
              </w:rPr>
              <w:t>Page</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val="false"/>
                  <w:sz w:val="20"/>
                  <w:u w:val="single"/>
                </w:rPr>
                <w:t>Financial Information (Unaudited)</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1">
              <w:r>
                <w:rPr>
                  <w:rStyle w:val="InternetLink"/>
                  <w:rFonts w:ascii="Times New Roman;serif" w:hAnsi="Times New Roman;serif"/>
                  <w:b w:val="false"/>
                  <w:sz w:val="20"/>
                  <w:u w:val="single"/>
                </w:rPr>
                <w:t>Financial Statements</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34"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balance_sheets">
              <w:r>
                <w:rPr>
                  <w:rStyle w:val="InternetLink"/>
                  <w:rFonts w:ascii="Times New Roman;serif" w:hAnsi="Times New Roman;serif"/>
                  <w:b w:val="false"/>
                  <w:sz w:val="20"/>
                  <w:u w:val="single"/>
                </w:rPr>
                <w:t>Condensed Consolidated Balance Sheets</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34"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of_operations">
              <w:r>
                <w:rPr>
                  <w:rStyle w:val="InternetLink"/>
                  <w:rFonts w:ascii="Times New Roman;serif" w:hAnsi="Times New Roman;serif"/>
                  <w:b w:val="false"/>
                  <w:sz w:val="20"/>
                  <w:u w:val="single"/>
                </w:rPr>
                <w:t>Condensed Consolidated Statements of Operations</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34"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atements_of_comp_loss">
              <w:r>
                <w:rPr>
                  <w:rStyle w:val="InternetLink"/>
                  <w:rFonts w:ascii="Times New Roman;serif" w:hAnsi="Times New Roman;serif"/>
                  <w:b w:val="false"/>
                  <w:sz w:val="20"/>
                  <w:u w:val="single"/>
                </w:rPr>
                <w:t>Condensed Consolidated Statements of Comprehensive Loss</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34"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ockholders_deficit">
              <w:r>
                <w:rPr>
                  <w:rStyle w:val="InternetLink"/>
                  <w:rFonts w:ascii="Times New Roman;serif" w:hAnsi="Times New Roman;serif"/>
                  <w:b w:val="false"/>
                  <w:sz w:val="20"/>
                  <w:u w:val="single"/>
                </w:rPr>
                <w:t>Condensed Consolidated Statements of Changes in Redeemable Noncontrolling Interest and Shareholders’ Deficit / Members’ Equity</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34"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ash_flows">
              <w:r>
                <w:rPr>
                  <w:rStyle w:val="InternetLink"/>
                  <w:rFonts w:ascii="Times New Roman;serif" w:hAnsi="Times New Roman;serif"/>
                  <w:b w:val="false"/>
                  <w:sz w:val="20"/>
                  <w:u w:val="single"/>
                </w:rPr>
                <w:t>Condensed Consolidated Statements of Cash Flows</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34"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unaudited_condensed">
              <w:r>
                <w:rPr>
                  <w:rStyle w:val="InternetLink"/>
                  <w:rFonts w:ascii="Times New Roman;serif" w:hAnsi="Times New Roman;serif"/>
                  <w:b w:val="false"/>
                  <w:sz w:val="20"/>
                  <w:u w:val="single"/>
                </w:rPr>
                <w:t>Notes to Unaudited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2">
              <w:r>
                <w:rPr>
                  <w:rStyle w:val="InternetLink"/>
                  <w:rFonts w:ascii="Times New Roman;serif" w:hAnsi="Times New Roman;serif"/>
                  <w:b w:val="false"/>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3">
              <w:r>
                <w:rPr>
                  <w:rStyle w:val="InternetLink"/>
                  <w:rFonts w:ascii="Times New Roman;serif" w:hAnsi="Times New Roman;serif"/>
                  <w:b w:val="false"/>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_item4">
              <w:r>
                <w:rPr>
                  <w:rStyle w:val="InternetLink"/>
                  <w:rFonts w:ascii="Times New Roman;serif" w:hAnsi="Times New Roman;serif"/>
                  <w:b w:val="false"/>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_other_information">
              <w:r>
                <w:rPr>
                  <w:rStyle w:val="InternetLink"/>
                  <w:rFonts w:ascii="Times New Roman;serif" w:hAnsi="Times New Roman;serif"/>
                  <w:b w:val="false"/>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1">
              <w:r>
                <w:rPr>
                  <w:rStyle w:val="InternetLink"/>
                  <w:rFonts w:ascii="Times New Roman;serif" w:hAnsi="Times New Roman;serif"/>
                  <w:b w:val="false"/>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1a">
              <w:r>
                <w:rPr>
                  <w:rStyle w:val="InternetLink"/>
                  <w:rFonts w:ascii="Times New Roman;serif" w:hAnsi="Times New Roman;serif"/>
                  <w:b w:val="false"/>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2">
              <w:r>
                <w:rPr>
                  <w:rStyle w:val="InternetLink"/>
                  <w:rFonts w:ascii="Times New Roman;serif" w:hAnsi="Times New Roman;serif"/>
                  <w:b w:val="false"/>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3">
              <w:r>
                <w:rPr>
                  <w:rStyle w:val="InternetLink"/>
                  <w:rFonts w:ascii="Times New Roman;serif" w:hAnsi="Times New Roman;serif"/>
                  <w:b w:val="false"/>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4">
              <w:r>
                <w:rPr>
                  <w:rStyle w:val="InternetLink"/>
                  <w:rFonts w:ascii="Times New Roman;serif" w:hAnsi="Times New Roman;serif"/>
                  <w:b w:val="false"/>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5">
              <w:r>
                <w:rPr>
                  <w:rStyle w:val="InternetLink"/>
                  <w:rFonts w:ascii="Times New Roman;serif" w:hAnsi="Times New Roman;serif"/>
                  <w:b w:val="false"/>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85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i_item6">
              <w:r>
                <w:rPr>
                  <w:rStyle w:val="InternetLink"/>
                  <w:rFonts w:ascii="Times New Roman;serif" w:hAnsi="Times New Roman;serif"/>
                  <w:b w:val="false"/>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9693"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part_i_financial_information"/>
      <w:bookmarkEnd w:id="2"/>
      <w:r>
        <w:rPr>
          <w:rFonts w:ascii="Times New Roman;serif" w:hAnsi="Times New Roman;serif"/>
          <w:b/>
          <w:sz w:val="20"/>
        </w:rPr>
        <w:t>PART I—FINANCIAL INFORMATION</w:t>
      </w:r>
    </w:p>
    <w:p>
      <w:pPr>
        <w:pStyle w:val="TextBody"/>
        <w:bidi w:val="0"/>
        <w:spacing w:before="360" w:after="0"/>
        <w:jc w:val="left"/>
        <w:rPr>
          <w:rFonts w:ascii="Times New Roman;serif" w:hAnsi="Times New Roman;serif"/>
          <w:b/>
          <w:sz w:val="20"/>
        </w:rPr>
      </w:pPr>
      <w:bookmarkStart w:id="3" w:name="i_item1"/>
      <w:bookmarkEnd w:id="3"/>
      <w:r>
        <w:rPr>
          <w:rFonts w:ascii="Times New Roman;serif" w:hAnsi="Times New Roman;serif"/>
          <w:b/>
          <w:sz w:val="20"/>
        </w:rPr>
        <w:t>Item 1. Condensed Consolidated Financial Statements.</w:t>
      </w:r>
    </w:p>
    <w:p>
      <w:pPr>
        <w:pStyle w:val="TextBody"/>
        <w:bidi w:val="0"/>
        <w:spacing w:before="360" w:after="0"/>
        <w:jc w:val="center"/>
        <w:rPr>
          <w:rFonts w:ascii="Times New Roman;serif" w:hAnsi="Times New Roman;serif"/>
          <w:b/>
          <w:sz w:val="20"/>
        </w:rPr>
      </w:pPr>
      <w:r>
        <w:rPr>
          <w:rFonts w:ascii="Times New Roman;serif" w:hAnsi="Times New Roman;serif"/>
          <w:b/>
          <w:sz w:val="20"/>
        </w:rPr>
        <w:t>ProKidney Corp.</w:t>
      </w:r>
    </w:p>
    <w:p>
      <w:pPr>
        <w:pStyle w:val="TextBody"/>
        <w:bidi w:val="0"/>
        <w:spacing w:before="0" w:after="0"/>
        <w:jc w:val="center"/>
        <w:rPr>
          <w:rFonts w:ascii="Times New Roman;serif" w:hAnsi="Times New Roman;serif"/>
          <w:b/>
          <w:sz w:val="20"/>
        </w:rPr>
      </w:pPr>
      <w:bookmarkStart w:id="4" w:name="balance_sheets"/>
      <w:bookmarkEnd w:id="4"/>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data)</w:t>
      </w:r>
    </w:p>
    <w:p>
      <w:pPr>
        <w:pStyle w:val="TextBody"/>
        <w:bidi w:val="0"/>
        <w:spacing w:before="0" w:after="0"/>
        <w:jc w:val="left"/>
        <w:rPr/>
      </w:pPr>
      <w:r>
        <w:rPr/>
        <w:t> </w:t>
      </w:r>
    </w:p>
    <w:tbl>
      <w:tblPr>
        <w:tblW w:w="10044" w:type="dxa"/>
        <w:jc w:val="left"/>
        <w:tblInd w:w="0" w:type="dxa"/>
        <w:tblLayout w:type="fixed"/>
        <w:tblCellMar>
          <w:top w:w="28" w:type="dxa"/>
          <w:left w:w="28" w:type="dxa"/>
          <w:bottom w:w="28" w:type="dxa"/>
          <w:right w:w="28" w:type="dxa"/>
        </w:tblCellMar>
      </w:tblPr>
      <w:tblGrid>
        <w:gridCol w:w="5776"/>
        <w:gridCol w:w="252"/>
        <w:gridCol w:w="1188"/>
        <w:gridCol w:w="266"/>
        <w:gridCol w:w="146"/>
        <w:gridCol w:w="302"/>
        <w:gridCol w:w="1423"/>
        <w:gridCol w:w="691"/>
      </w:tblGrid>
      <w:tr>
        <w:trPr/>
        <w:tc>
          <w:tcPr>
            <w:tcW w:w="57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5776" w:type="dxa"/>
            <w:tcBorders/>
            <w:vAlign w:val="center"/>
          </w:tcPr>
          <w:p>
            <w:pPr>
              <w:pStyle w:val="TableContents"/>
              <w:bidi w:val="0"/>
              <w:spacing w:before="0" w:after="0"/>
              <w:ind w:left="0" w:right="0" w:hanging="0"/>
              <w:jc w:val="both"/>
              <w:rPr/>
            </w:pPr>
            <w:r>
              <w:rPr/>
              <w:t> </w:t>
            </w:r>
          </w:p>
        </w:tc>
        <w:tc>
          <w:tcPr>
            <w:tcW w:w="144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both"/>
              <w:rPr/>
            </w:pPr>
            <w:r>
              <w:rPr/>
              <w:t> </w:t>
            </w:r>
          </w:p>
        </w:tc>
        <w:tc>
          <w:tcPr>
            <w:tcW w:w="172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691" w:type="dxa"/>
            <w:tcBorders/>
            <w:vAlign w:val="center"/>
          </w:tcPr>
          <w:p>
            <w:pPr>
              <w:pStyle w:val="TableContents"/>
              <w:bidi w:val="0"/>
              <w:spacing w:before="0" w:after="0"/>
              <w:ind w:left="0" w:right="0" w:hanging="0"/>
              <w:jc w:val="center"/>
              <w:rPr/>
            </w:pPr>
            <w:r>
              <w:rPr/>
              <w:t> </w:t>
            </w:r>
          </w:p>
        </w:tc>
      </w:tr>
      <w:tr>
        <w:trPr/>
        <w:tc>
          <w:tcPr>
            <w:tcW w:w="5776" w:type="dxa"/>
            <w:tcBorders/>
            <w:vAlign w:val="center"/>
          </w:tcPr>
          <w:p>
            <w:pPr>
              <w:pStyle w:val="TableContents"/>
              <w:bidi w:val="0"/>
              <w:spacing w:before="0" w:after="0"/>
              <w:ind w:left="0" w:right="0" w:hanging="0"/>
              <w:jc w:val="both"/>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(Unaudited)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both"/>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7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40"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both"/>
              <w:rPr/>
            </w:pPr>
            <w:r>
              <w:rPr/>
              <w:t> </w:t>
            </w:r>
          </w:p>
        </w:tc>
        <w:tc>
          <w:tcPr>
            <w:tcW w:w="691" w:type="dxa"/>
            <w:tcBorders/>
            <w:vAlign w:val="center"/>
          </w:tcPr>
          <w:p>
            <w:pPr>
              <w:pStyle w:val="TableContents"/>
              <w:bidi w:val="0"/>
              <w:spacing w:before="0" w:after="0"/>
              <w:ind w:left="0" w:right="0" w:firstLine="200"/>
              <w:jc w:val="both"/>
              <w:rPr/>
            </w:pPr>
            <w:r>
              <w:rPr/>
              <w:t> </w:t>
            </w:r>
          </w:p>
        </w:tc>
      </w:tr>
      <w:tr>
        <w:trPr/>
        <w:tc>
          <w:tcPr>
            <w:tcW w:w="57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271,635</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490,252</w:t>
            </w:r>
          </w:p>
        </w:tc>
        <w:tc>
          <w:tcPr>
            <w:tcW w:w="691" w:type="dxa"/>
            <w:tcBorders/>
            <w:vAlign w:val="center"/>
          </w:tcPr>
          <w:p>
            <w:pPr>
              <w:pStyle w:val="TableContents"/>
              <w:bidi w:val="0"/>
              <w:spacing w:before="0" w:after="0"/>
              <w:ind w:left="0" w:right="0" w:firstLine="200"/>
              <w:jc w:val="left"/>
              <w:rPr/>
            </w:pPr>
            <w:r>
              <w:rPr/>
              <w:t> </w:t>
            </w:r>
          </w:p>
        </w:tc>
      </w:tr>
      <w:tr>
        <w:trPr/>
        <w:tc>
          <w:tcPr>
            <w:tcW w:w="57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25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192,046</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firstLine="200"/>
              <w:jc w:val="left"/>
              <w:rPr/>
            </w:pPr>
            <w:r>
              <w:rPr/>
              <w:t> </w:t>
            </w:r>
          </w:p>
        </w:tc>
      </w:tr>
      <w:tr>
        <w:trPr/>
        <w:tc>
          <w:tcPr>
            <w:tcW w:w="57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receivable</w:t>
            </w:r>
          </w:p>
        </w:tc>
        <w:tc>
          <w:tcPr>
            <w:tcW w:w="25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5,476</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firstLine="200"/>
              <w:jc w:val="left"/>
              <w:rPr/>
            </w:pPr>
            <w:r>
              <w:rPr/>
              <w:t> </w:t>
            </w:r>
          </w:p>
        </w:tc>
      </w:tr>
      <w:tr>
        <w:trPr/>
        <w:tc>
          <w:tcPr>
            <w:tcW w:w="57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assets</w:t>
            </w:r>
          </w:p>
        </w:tc>
        <w:tc>
          <w:tcPr>
            <w:tcW w:w="25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4,950</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2,624</w:t>
            </w:r>
          </w:p>
        </w:tc>
        <w:tc>
          <w:tcPr>
            <w:tcW w:w="691" w:type="dxa"/>
            <w:tcBorders/>
            <w:vAlign w:val="center"/>
          </w:tcPr>
          <w:p>
            <w:pPr>
              <w:pStyle w:val="TableContents"/>
              <w:bidi w:val="0"/>
              <w:spacing w:before="0" w:after="0"/>
              <w:ind w:left="0" w:right="0" w:firstLine="200"/>
              <w:jc w:val="left"/>
              <w:rPr/>
            </w:pPr>
            <w:r>
              <w:rPr/>
              <w:t> </w:t>
            </w:r>
          </w:p>
        </w:tc>
      </w:tr>
      <w:tr>
        <w:trPr/>
        <w:tc>
          <w:tcPr>
            <w:tcW w:w="57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clinical</w:t>
            </w:r>
          </w:p>
        </w:tc>
        <w:tc>
          <w:tcPr>
            <w:tcW w:w="25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5,828</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10,459</w:t>
            </w:r>
          </w:p>
        </w:tc>
        <w:tc>
          <w:tcPr>
            <w:tcW w:w="691" w:type="dxa"/>
            <w:tcBorders/>
            <w:vAlign w:val="center"/>
          </w:tcPr>
          <w:p>
            <w:pPr>
              <w:pStyle w:val="TableContents"/>
              <w:bidi w:val="0"/>
              <w:spacing w:before="0" w:after="0"/>
              <w:ind w:left="0" w:right="0" w:firstLine="200"/>
              <w:jc w:val="left"/>
              <w:rPr/>
            </w:pPr>
            <w:r>
              <w:rPr/>
              <w:t> </w:t>
            </w:r>
          </w:p>
        </w:tc>
      </w:tr>
      <w:tr>
        <w:trPr/>
        <w:tc>
          <w:tcPr>
            <w:tcW w:w="57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1,384</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5776"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25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480,143</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504,719</w:t>
            </w:r>
          </w:p>
        </w:tc>
        <w:tc>
          <w:tcPr>
            <w:tcW w:w="691" w:type="dxa"/>
            <w:tcBorders/>
            <w:vAlign w:val="center"/>
          </w:tcPr>
          <w:p>
            <w:pPr>
              <w:pStyle w:val="TableContents"/>
              <w:bidi w:val="0"/>
              <w:spacing w:before="0" w:after="0"/>
              <w:ind w:left="0" w:right="0" w:firstLine="500"/>
              <w:jc w:val="left"/>
              <w:rPr/>
            </w:pPr>
            <w:r>
              <w:rPr/>
              <w:t> </w:t>
            </w:r>
          </w:p>
        </w:tc>
      </w:tr>
      <w:tr>
        <w:trPr/>
        <w:tc>
          <w:tcPr>
            <w:tcW w:w="5776" w:type="dxa"/>
            <w:tcBorders/>
            <w:vAlign w:val="center"/>
          </w:tcPr>
          <w:p>
            <w:pPr>
              <w:pStyle w:val="TableContents"/>
              <w:bidi w:val="0"/>
              <w:spacing w:before="0" w:after="0"/>
              <w:ind w:left="500" w:right="0" w:hanging="0"/>
              <w:jc w:val="left"/>
              <w:rPr/>
            </w:pPr>
            <w:r>
              <w:rPr/>
              <w:t> </w:t>
            </w:r>
          </w:p>
        </w:tc>
        <w:tc>
          <w:tcPr>
            <w:tcW w:w="1440"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r>
      <w:tr>
        <w:trPr/>
        <w:tc>
          <w:tcPr>
            <w:tcW w:w="5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Fixed assets, net</w:t>
            </w:r>
          </w:p>
        </w:tc>
        <w:tc>
          <w:tcPr>
            <w:tcW w:w="25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11,810</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10,708</w:t>
            </w:r>
          </w:p>
        </w:tc>
        <w:tc>
          <w:tcPr>
            <w:tcW w:w="691" w:type="dxa"/>
            <w:tcBorders/>
            <w:vAlign w:val="center"/>
          </w:tcPr>
          <w:p>
            <w:pPr>
              <w:pStyle w:val="TableContents"/>
              <w:bidi w:val="0"/>
              <w:spacing w:before="0" w:after="0"/>
              <w:ind w:left="0" w:right="0" w:hanging="0"/>
              <w:jc w:val="left"/>
              <w:rPr/>
            </w:pPr>
            <w:r>
              <w:rPr/>
              <w:t> </w:t>
            </w:r>
          </w:p>
        </w:tc>
      </w:tr>
      <w:tr>
        <w:trPr/>
        <w:tc>
          <w:tcPr>
            <w:tcW w:w="5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 of use assets, net</w:t>
            </w:r>
          </w:p>
        </w:tc>
        <w:tc>
          <w:tcPr>
            <w:tcW w:w="25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3,039</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2,356</w:t>
            </w:r>
          </w:p>
        </w:tc>
        <w:tc>
          <w:tcPr>
            <w:tcW w:w="691" w:type="dxa"/>
            <w:tcBorders/>
            <w:vAlign w:val="center"/>
          </w:tcPr>
          <w:p>
            <w:pPr>
              <w:pStyle w:val="TableContents"/>
              <w:bidi w:val="0"/>
              <w:spacing w:before="0" w:after="0"/>
              <w:ind w:left="0" w:right="0" w:hanging="0"/>
              <w:jc w:val="left"/>
              <w:rPr/>
            </w:pPr>
            <w:r>
              <w:rPr/>
              <w:t> </w:t>
            </w:r>
          </w:p>
        </w:tc>
      </w:tr>
      <w:tr>
        <w:trPr/>
        <w:tc>
          <w:tcPr>
            <w:tcW w:w="5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5776"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assets</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495,151</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517,996</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776" w:type="dxa"/>
            <w:tcBorders/>
            <w:vAlign w:val="center"/>
          </w:tcPr>
          <w:p>
            <w:pPr>
              <w:pStyle w:val="TableContents"/>
              <w:bidi w:val="0"/>
              <w:spacing w:before="0" w:after="0"/>
              <w:ind w:left="200" w:right="0" w:hanging="0"/>
              <w:jc w:val="left"/>
              <w:rPr/>
            </w:pPr>
            <w:r>
              <w:rPr/>
              <w:t> </w:t>
            </w:r>
          </w:p>
        </w:tc>
        <w:tc>
          <w:tcPr>
            <w:tcW w:w="1440"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r>
      <w:tr>
        <w:trPr/>
        <w:tc>
          <w:tcPr>
            <w:tcW w:w="57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Shareholders' Deficit/Members' Equity</w:t>
            </w:r>
          </w:p>
        </w:tc>
        <w:tc>
          <w:tcPr>
            <w:tcW w:w="1440"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firstLine="200"/>
              <w:jc w:val="left"/>
              <w:rPr/>
            </w:pPr>
            <w:r>
              <w:rPr/>
              <w:t> </w:t>
            </w:r>
          </w:p>
        </w:tc>
      </w:tr>
      <w:tr>
        <w:trPr/>
        <w:tc>
          <w:tcPr>
            <w:tcW w:w="57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3,801</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3,044</w:t>
            </w:r>
          </w:p>
        </w:tc>
        <w:tc>
          <w:tcPr>
            <w:tcW w:w="691" w:type="dxa"/>
            <w:tcBorders/>
            <w:vAlign w:val="center"/>
          </w:tcPr>
          <w:p>
            <w:pPr>
              <w:pStyle w:val="TableContents"/>
              <w:bidi w:val="0"/>
              <w:spacing w:before="0" w:after="0"/>
              <w:ind w:left="0" w:right="0" w:firstLine="200"/>
              <w:jc w:val="left"/>
              <w:rPr/>
            </w:pPr>
            <w:r>
              <w:rPr/>
              <w:t> </w:t>
            </w:r>
          </w:p>
        </w:tc>
      </w:tr>
      <w:tr>
        <w:trPr/>
        <w:tc>
          <w:tcPr>
            <w:tcW w:w="57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25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624</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493</w:t>
            </w:r>
          </w:p>
        </w:tc>
        <w:tc>
          <w:tcPr>
            <w:tcW w:w="691" w:type="dxa"/>
            <w:tcBorders/>
            <w:vAlign w:val="center"/>
          </w:tcPr>
          <w:p>
            <w:pPr>
              <w:pStyle w:val="TableContents"/>
              <w:bidi w:val="0"/>
              <w:spacing w:before="0" w:after="0"/>
              <w:ind w:left="0" w:right="0" w:firstLine="200"/>
              <w:jc w:val="left"/>
              <w:rPr/>
            </w:pPr>
            <w:r>
              <w:rPr/>
              <w:t> </w:t>
            </w:r>
          </w:p>
        </w:tc>
      </w:tr>
      <w:tr>
        <w:trPr/>
        <w:tc>
          <w:tcPr>
            <w:tcW w:w="57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7,336</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5776"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25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11,279</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10,873</w:t>
            </w:r>
          </w:p>
        </w:tc>
        <w:tc>
          <w:tcPr>
            <w:tcW w:w="691" w:type="dxa"/>
            <w:tcBorders/>
            <w:vAlign w:val="center"/>
          </w:tcPr>
          <w:p>
            <w:pPr>
              <w:pStyle w:val="TableContents"/>
              <w:bidi w:val="0"/>
              <w:spacing w:before="0" w:after="0"/>
              <w:ind w:left="0" w:right="0" w:firstLine="200"/>
              <w:jc w:val="left"/>
              <w:rPr/>
            </w:pPr>
            <w:r>
              <w:rPr/>
              <w:t> </w:t>
            </w:r>
          </w:p>
        </w:tc>
      </w:tr>
      <w:tr>
        <w:trPr/>
        <w:tc>
          <w:tcPr>
            <w:tcW w:w="5776" w:type="dxa"/>
            <w:tcBorders/>
            <w:vAlign w:val="center"/>
          </w:tcPr>
          <w:p>
            <w:pPr>
              <w:pStyle w:val="TableContents"/>
              <w:bidi w:val="0"/>
              <w:spacing w:before="0" w:after="0"/>
              <w:ind w:left="200" w:right="0" w:hanging="0"/>
              <w:jc w:val="left"/>
              <w:rPr/>
            </w:pPr>
            <w:r>
              <w:rPr/>
              <w:t> </w:t>
            </w:r>
          </w:p>
        </w:tc>
        <w:tc>
          <w:tcPr>
            <w:tcW w:w="1440"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r>
      <w:tr>
        <w:trPr/>
        <w:tc>
          <w:tcPr>
            <w:tcW w:w="5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payable, net of current portion</w:t>
            </w:r>
          </w:p>
        </w:tc>
        <w:tc>
          <w:tcPr>
            <w:tcW w:w="25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691" w:type="dxa"/>
            <w:tcBorders/>
            <w:vAlign w:val="center"/>
          </w:tcPr>
          <w:p>
            <w:pPr>
              <w:pStyle w:val="TableContents"/>
              <w:bidi w:val="0"/>
              <w:spacing w:before="0" w:after="0"/>
              <w:ind w:left="0" w:right="0" w:hanging="0"/>
              <w:jc w:val="left"/>
              <w:rPr/>
            </w:pPr>
            <w:r>
              <w:rPr/>
              <w:t> </w:t>
            </w:r>
          </w:p>
        </w:tc>
      </w:tr>
      <w:tr>
        <w:trPr/>
        <w:tc>
          <w:tcPr>
            <w:tcW w:w="5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 net of current portion</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1,906</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5776"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25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14,173</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13,057</w:t>
            </w:r>
          </w:p>
        </w:tc>
        <w:tc>
          <w:tcPr>
            <w:tcW w:w="691" w:type="dxa"/>
            <w:tcBorders/>
            <w:vAlign w:val="center"/>
          </w:tcPr>
          <w:p>
            <w:pPr>
              <w:pStyle w:val="TableContents"/>
              <w:bidi w:val="0"/>
              <w:spacing w:before="0" w:after="0"/>
              <w:ind w:left="0" w:right="0" w:hanging="0"/>
              <w:jc w:val="left"/>
              <w:rPr/>
            </w:pPr>
            <w:r>
              <w:rPr/>
              <w:t> </w:t>
            </w:r>
          </w:p>
        </w:tc>
      </w:tr>
      <w:tr>
        <w:trPr/>
        <w:tc>
          <w:tcPr>
            <w:tcW w:w="5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w:t>
            </w:r>
          </w:p>
        </w:tc>
        <w:tc>
          <w:tcPr>
            <w:tcW w:w="1440"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r>
      <w:tr>
        <w:trPr/>
        <w:tc>
          <w:tcPr>
            <w:tcW w:w="5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Redeemable noncontrolling interest</w:t>
            </w:r>
          </w:p>
        </w:tc>
        <w:tc>
          <w:tcPr>
            <w:tcW w:w="25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2,082,488</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1,601,555</w:t>
            </w:r>
          </w:p>
        </w:tc>
        <w:tc>
          <w:tcPr>
            <w:tcW w:w="691" w:type="dxa"/>
            <w:tcBorders/>
            <w:vAlign w:val="center"/>
          </w:tcPr>
          <w:p>
            <w:pPr>
              <w:pStyle w:val="TableContents"/>
              <w:bidi w:val="0"/>
              <w:spacing w:before="0" w:after="0"/>
              <w:ind w:left="0" w:right="0" w:hanging="0"/>
              <w:jc w:val="left"/>
              <w:rPr/>
            </w:pPr>
            <w:r>
              <w:rPr/>
              <w:t> </w:t>
            </w:r>
          </w:p>
        </w:tc>
      </w:tr>
      <w:tr>
        <w:trPr/>
        <w:tc>
          <w:tcPr>
            <w:tcW w:w="5776" w:type="dxa"/>
            <w:tcBorders/>
            <w:vAlign w:val="center"/>
          </w:tcPr>
          <w:p>
            <w:pPr>
              <w:pStyle w:val="TableContents"/>
              <w:bidi w:val="0"/>
              <w:spacing w:before="0" w:after="0"/>
              <w:ind w:left="0" w:right="0" w:hanging="0"/>
              <w:jc w:val="left"/>
              <w:rPr/>
            </w:pPr>
            <w:r>
              <w:rPr/>
              <w:t> </w:t>
            </w:r>
          </w:p>
        </w:tc>
        <w:tc>
          <w:tcPr>
            <w:tcW w:w="1440"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 </w:t>
            </w:r>
          </w:p>
        </w:tc>
      </w:tr>
      <w:tr>
        <w:trPr/>
        <w:tc>
          <w:tcPr>
            <w:tcW w:w="5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Shareholders’ deficit / members' equity:</w:t>
            </w:r>
          </w:p>
        </w:tc>
        <w:tc>
          <w:tcPr>
            <w:tcW w:w="1440"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firstLine="100"/>
              <w:jc w:val="left"/>
              <w:rPr/>
            </w:pPr>
            <w:r>
              <w:rPr/>
              <w:t> </w:t>
            </w:r>
          </w:p>
        </w:tc>
      </w:tr>
      <w:tr>
        <w:trPr/>
        <w:tc>
          <w:tcPr>
            <w:tcW w:w="5776"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Class A ordinary shares, $0.0001</w:t>
            </w:r>
            <w:r>
              <w:rPr>
                <w:rFonts w:ascii="Times New Roman" w:hAnsi="Times New Roman"/>
                <w:sz w:val="20"/>
              </w:rPr>
              <w:t> </w:t>
            </w:r>
            <w:r>
              <w:rPr>
                <w:rFonts w:ascii="Times New Roman;serif" w:hAnsi="Times New Roman;serif"/>
                <w:b w:val="false"/>
                <w:sz w:val="20"/>
              </w:rPr>
              <w:t>par value; 500,000,000</w:t>
            </w:r>
            <w:r>
              <w:rPr>
                <w:rFonts w:ascii="Times New Roman" w:hAnsi="Times New Roman"/>
                <w:sz w:val="20"/>
              </w:rPr>
              <w:t> </w:t>
            </w:r>
            <w:r>
              <w:rPr>
                <w:rFonts w:ascii="Times New Roman;serif" w:hAnsi="Times New Roman;serif"/>
                <w:b w:val="false"/>
                <w:sz w:val="20"/>
              </w:rPr>
              <w:t xml:space="preserve">shares </w:t>
              <w:br/>
              <w:t>   authorized; 61,540,231</w:t>
            </w:r>
            <w:r>
              <w:rPr>
                <w:rFonts w:ascii="Times New Roman" w:hAnsi="Times New Roman"/>
                <w:sz w:val="20"/>
              </w:rPr>
              <w:t> </w:t>
            </w:r>
            <w:r>
              <w:rPr>
                <w:rFonts w:ascii="Times New Roman;serif" w:hAnsi="Times New Roman;serif"/>
                <w:b w:val="false"/>
                <w:sz w:val="20"/>
              </w:rPr>
              <w:t xml:space="preserve">issued and outstanding as of March 31, </w:t>
              <w:br/>
              <w:t>   2023 and December 31, 2022</w:t>
            </w:r>
          </w:p>
        </w:tc>
        <w:tc>
          <w:tcPr>
            <w:tcW w:w="25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691" w:type="dxa"/>
            <w:tcBorders/>
            <w:vAlign w:val="center"/>
          </w:tcPr>
          <w:p>
            <w:pPr>
              <w:pStyle w:val="TableContents"/>
              <w:bidi w:val="0"/>
              <w:spacing w:before="0" w:after="0"/>
              <w:ind w:left="0" w:right="0" w:firstLine="100"/>
              <w:jc w:val="left"/>
              <w:rPr/>
            </w:pPr>
            <w:r>
              <w:rPr/>
              <w:t> </w:t>
            </w:r>
          </w:p>
        </w:tc>
      </w:tr>
      <w:tr>
        <w:trPr/>
        <w:tc>
          <w:tcPr>
            <w:tcW w:w="5776" w:type="dxa"/>
            <w:tcBorders/>
            <w:vAlign w:val="center"/>
          </w:tcPr>
          <w:p>
            <w:pPr>
              <w:pStyle w:val="TableContents"/>
              <w:bidi w:val="0"/>
              <w:spacing w:before="0" w:after="0"/>
              <w:ind w:left="100" w:right="0" w:hanging="0"/>
              <w:jc w:val="left"/>
              <w:rPr>
                <w:rFonts w:ascii="Times New Roman" w:hAnsi="Times New Roman"/>
                <w:sz w:val="20"/>
              </w:rPr>
            </w:pPr>
            <w:r>
              <w:rPr>
                <w:rFonts w:ascii="Times New Roman;serif" w:hAnsi="Times New Roman;serif"/>
                <w:b w:val="false"/>
                <w:sz w:val="20"/>
              </w:rPr>
              <w:t>Class B ordinary shares, $0.0001</w:t>
            </w:r>
            <w:r>
              <w:rPr>
                <w:rFonts w:ascii="Times New Roman" w:hAnsi="Times New Roman"/>
                <w:sz w:val="20"/>
              </w:rPr>
              <w:t> </w:t>
            </w:r>
            <w:r>
              <w:rPr>
                <w:rFonts w:ascii="Times New Roman;serif" w:hAnsi="Times New Roman;serif"/>
                <w:b w:val="false"/>
                <w:sz w:val="20"/>
              </w:rPr>
              <w:t>par value; 500,000,000</w:t>
            </w:r>
            <w:r>
              <w:rPr>
                <w:rFonts w:ascii="Times New Roman" w:hAnsi="Times New Roman"/>
                <w:sz w:val="20"/>
              </w:rPr>
              <w:t> </w:t>
            </w:r>
            <w:r>
              <w:rPr>
                <w:rFonts w:ascii="Times New Roman;serif" w:hAnsi="Times New Roman;serif"/>
                <w:b w:val="false"/>
                <w:sz w:val="20"/>
              </w:rPr>
              <w:t>shares</w:t>
              <w:br/>
              <w:t>   authorized; 173,444,861and 171,578,320</w:t>
            </w:r>
            <w:r>
              <w:rPr>
                <w:rFonts w:ascii="Times New Roman" w:hAnsi="Times New Roman"/>
                <w:sz w:val="20"/>
              </w:rPr>
              <w:t> </w:t>
            </w:r>
            <w:r>
              <w:rPr>
                <w:rFonts w:ascii="Times New Roman;serif" w:hAnsi="Times New Roman;serif"/>
                <w:b w:val="false"/>
                <w:sz w:val="20"/>
              </w:rPr>
              <w:t>issued and outstanding as</w:t>
              <w:br/>
              <w:t>   of March 31, 2023 and December 31, 2022, respectively</w:t>
            </w:r>
          </w:p>
        </w:tc>
        <w:tc>
          <w:tcPr>
            <w:tcW w:w="25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691" w:type="dxa"/>
            <w:tcBorders/>
            <w:vAlign w:val="center"/>
          </w:tcPr>
          <w:p>
            <w:pPr>
              <w:pStyle w:val="TableContents"/>
              <w:bidi w:val="0"/>
              <w:spacing w:before="0" w:after="0"/>
              <w:ind w:left="0" w:right="0" w:firstLine="100"/>
              <w:jc w:val="left"/>
              <w:rPr/>
            </w:pPr>
            <w:r>
              <w:rPr/>
              <w:t> </w:t>
            </w:r>
          </w:p>
        </w:tc>
      </w:tr>
      <w:tr>
        <w:trPr/>
        <w:tc>
          <w:tcPr>
            <w:tcW w:w="57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25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21,792</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7,476</w:t>
            </w:r>
          </w:p>
        </w:tc>
        <w:tc>
          <w:tcPr>
            <w:tcW w:w="691" w:type="dxa"/>
            <w:tcBorders/>
            <w:vAlign w:val="center"/>
          </w:tcPr>
          <w:p>
            <w:pPr>
              <w:pStyle w:val="TableContents"/>
              <w:bidi w:val="0"/>
              <w:spacing w:before="0" w:after="0"/>
              <w:ind w:left="0" w:right="0" w:firstLine="100"/>
              <w:jc w:val="left"/>
              <w:rPr/>
            </w:pPr>
            <w:r>
              <w:rPr/>
              <w:t> </w:t>
            </w:r>
          </w:p>
        </w:tc>
      </w:tr>
      <w:tr>
        <w:trPr/>
        <w:tc>
          <w:tcPr>
            <w:tcW w:w="57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252" w:type="dxa"/>
            <w:tcBorders/>
            <w:vAlign w:val="center"/>
          </w:tcPr>
          <w:p>
            <w:pPr>
              <w:pStyle w:val="TableContents"/>
              <w:bidi w:val="0"/>
              <w:spacing w:before="0" w:after="0"/>
              <w:ind w:left="0" w:right="0" w:hanging="0"/>
              <w:jc w:val="left"/>
              <w:rPr/>
            </w:pPr>
            <w:r>
              <w:rPr/>
              <w:t> </w:t>
            </w:r>
          </w:p>
        </w:tc>
        <w:tc>
          <w:tcPr>
            <w:tcW w:w="11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302" w:type="dxa"/>
            <w:tcBorders/>
            <w:vAlign w:val="center"/>
          </w:tcPr>
          <w:p>
            <w:pPr>
              <w:pStyle w:val="TableContents"/>
              <w:bidi w:val="0"/>
              <w:spacing w:before="0" w:after="0"/>
              <w:ind w:left="0" w:right="0" w:hanging="0"/>
              <w:jc w:val="left"/>
              <w:rPr/>
            </w:pPr>
            <w:r>
              <w:rPr/>
              <w:t> </w:t>
            </w:r>
          </w:p>
        </w:tc>
        <w:tc>
          <w:tcPr>
            <w:tcW w:w="1423"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firstLine="100"/>
              <w:jc w:val="left"/>
              <w:rPr/>
            </w:pPr>
            <w:r>
              <w:rPr/>
              <w:t> </w:t>
            </w:r>
          </w:p>
        </w:tc>
      </w:tr>
      <w:tr>
        <w:trPr/>
        <w:tc>
          <w:tcPr>
            <w:tcW w:w="57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(1,623,307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(1,104,116</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shareholders' deficit / members’ equity</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(1,601,510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(1,096,616</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7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 and shareholders' deficit/members' equity</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495,151</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517,996</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z w:val="20"/>
        </w:rPr>
      </w:pPr>
      <w:r>
        <w:rPr>
          <w:rFonts w:ascii="Times New Roman;serif" w:hAnsi="Times New Roman;serif"/>
          <w:b/>
          <w:sz w:val="20"/>
        </w:rPr>
        <w:t>ProKidney Corp.</w:t>
      </w:r>
    </w:p>
    <w:p>
      <w:pPr>
        <w:pStyle w:val="TextBody"/>
        <w:bidi w:val="0"/>
        <w:spacing w:before="0" w:after="0"/>
        <w:jc w:val="center"/>
        <w:rPr>
          <w:rFonts w:ascii="Times New Roman" w:hAnsi="Times New Roman"/>
          <w:sz w:val="20"/>
        </w:rPr>
      </w:pPr>
      <w:bookmarkStart w:id="5" w:name="consolidated_statements_of_operations"/>
      <w:bookmarkEnd w:id="5"/>
      <w:r>
        <w:rPr>
          <w:rFonts w:ascii="Times New Roman;serif" w:hAnsi="Times New Roman;serif"/>
          <w:b/>
          <w:sz w:val="20"/>
        </w:rPr>
        <w:t>Condensed Consolidated Statements of Operations</w:t>
      </w:r>
      <w:r>
        <w:rPr>
          <w:rFonts w:ascii="Times New Roman" w:hAnsi="Times New Roman"/>
          <w:sz w:val="20"/>
        </w:rPr>
        <w:t xml:space="preserve"> </w:t>
      </w:r>
      <w:r>
        <w:rPr>
          <w:rFonts w:ascii="Times New Roman;serif" w:hAnsi="Times New Roman;serif"/>
          <w:b/>
          <w:sz w:val="20"/>
        </w:rPr>
        <w:t>-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for share and per share data)</w:t>
      </w:r>
    </w:p>
    <w:p>
      <w:pPr>
        <w:pStyle w:val="TextBody"/>
        <w:bidi w:val="0"/>
        <w:spacing w:before="0" w:after="0"/>
        <w:jc w:val="left"/>
        <w:rPr/>
      </w:pPr>
      <w:r>
        <w:rPr/>
        <w:t> </w:t>
      </w:r>
    </w:p>
    <w:tbl>
      <w:tblPr>
        <w:tblW w:w="8699" w:type="dxa"/>
        <w:jc w:val="left"/>
        <w:tblInd w:w="0" w:type="dxa"/>
        <w:tblLayout w:type="fixed"/>
        <w:tblCellMar>
          <w:top w:w="28" w:type="dxa"/>
          <w:left w:w="28" w:type="dxa"/>
          <w:bottom w:w="28" w:type="dxa"/>
          <w:right w:w="28" w:type="dxa"/>
        </w:tblCellMar>
      </w:tblPr>
      <w:tblGrid>
        <w:gridCol w:w="4936"/>
        <w:gridCol w:w="146"/>
        <w:gridCol w:w="211"/>
        <w:gridCol w:w="1036"/>
        <w:gridCol w:w="666"/>
        <w:gridCol w:w="146"/>
        <w:gridCol w:w="211"/>
        <w:gridCol w:w="736"/>
        <w:gridCol w:w="61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006"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611" w:type="dxa"/>
            <w:tcBorders/>
            <w:vAlign w:val="center"/>
          </w:tcPr>
          <w:p>
            <w:pPr>
              <w:pStyle w:val="TableContents"/>
              <w:bidi w:val="0"/>
              <w:spacing w:before="0" w:after="0"/>
              <w:ind w:left="0" w:right="0" w:hanging="0"/>
              <w:jc w:val="center"/>
              <w:rPr/>
            </w:pPr>
            <w:r>
              <w:rPr/>
              <w:t> </w:t>
            </w:r>
          </w:p>
        </w:tc>
      </w:tr>
      <w:tr>
        <w:trPr/>
        <w:tc>
          <w:tcPr>
            <w:tcW w:w="4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both"/>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93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25,617</w:t>
            </w:r>
          </w:p>
        </w:tc>
        <w:tc>
          <w:tcPr>
            <w:tcW w:w="66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28,490</w:t>
            </w:r>
          </w:p>
        </w:tc>
        <w:tc>
          <w:tcPr>
            <w:tcW w:w="611" w:type="dxa"/>
            <w:tcBorders/>
            <w:vAlign w:val="center"/>
          </w:tcPr>
          <w:p>
            <w:pPr>
              <w:pStyle w:val="TableContents"/>
              <w:bidi w:val="0"/>
              <w:spacing w:before="0" w:after="0"/>
              <w:ind w:left="0" w:right="0" w:firstLine="200"/>
              <w:jc w:val="left"/>
              <w:rPr/>
            </w:pPr>
            <w:r>
              <w:rPr/>
              <w:t> </w:t>
            </w:r>
          </w:p>
        </w:tc>
      </w:tr>
      <w:tr>
        <w:trPr/>
        <w:tc>
          <w:tcPr>
            <w:tcW w:w="493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15,259</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37,972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40,876</w:t>
            </w:r>
          </w:p>
        </w:tc>
        <w:tc>
          <w:tcPr>
            <w:tcW w:w="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66,462</w:t>
            </w:r>
          </w:p>
        </w:tc>
        <w:tc>
          <w:tcPr>
            <w:tcW w:w="611" w:type="dxa"/>
            <w:tcBorders/>
            <w:vAlign w:val="center"/>
          </w:tcPr>
          <w:p>
            <w:pPr>
              <w:pStyle w:val="TableContents"/>
              <w:bidi w:val="0"/>
              <w:spacing w:before="0" w:after="0"/>
              <w:ind w:left="0" w:right="0" w:hanging="0"/>
              <w:jc w:val="left"/>
              <w:rPr/>
            </w:pPr>
            <w:r>
              <w:rPr/>
              <w:t> </w:t>
            </w:r>
          </w:p>
        </w:tc>
      </w:tr>
      <w:tr>
        <w:trPr/>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(40,876</w:t>
            </w:r>
          </w:p>
        </w:tc>
        <w:tc>
          <w:tcPr>
            <w:tcW w:w="6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(66,462</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93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66" w:type="dxa"/>
            <w:tcBorders/>
            <w:vAlign w:val="center"/>
          </w:tcPr>
          <w:p>
            <w:pPr>
              <w:pStyle w:val="TableContents"/>
              <w:bidi w:val="0"/>
              <w:spacing w:before="0" w:after="0"/>
              <w:ind w:left="0" w:right="0" w:firstLine="200"/>
              <w:jc w:val="right"/>
              <w:rPr/>
            </w:pPr>
            <w:r>
              <w:rPr/>
              <w:t> </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493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vAlign w:val="center"/>
          </w:tcPr>
          <w:p>
            <w:pPr>
              <w:pStyle w:val="TableContents"/>
              <w:bidi w:val="0"/>
              <w:spacing w:before="0" w:after="0"/>
              <w:ind w:left="20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66" w:type="dxa"/>
            <w:tcBorders/>
            <w:vAlign w:val="center"/>
          </w:tcPr>
          <w:p>
            <w:pPr>
              <w:pStyle w:val="TableContents"/>
              <w:bidi w:val="0"/>
              <w:spacing w:before="0" w:after="0"/>
              <w:ind w:left="0" w:right="0" w:firstLine="200"/>
              <w:jc w:val="right"/>
              <w:rPr/>
            </w:pPr>
            <w:r>
              <w:rPr/>
              <w:t> </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9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5,297</w:t>
            </w:r>
          </w:p>
        </w:tc>
        <w:tc>
          <w:tcPr>
            <w:tcW w:w="66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49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93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Net loss before income taxes</w:t>
            </w:r>
          </w:p>
        </w:tc>
        <w:tc>
          <w:tcPr>
            <w:tcW w:w="1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(35,582</w:t>
            </w:r>
          </w:p>
        </w:tc>
        <w:tc>
          <w:tcPr>
            <w:tcW w:w="66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(66,476</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1,327</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93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Net loss before noncontrolling</w:t>
              <w:br/>
              <w:t>   interest</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(36,909</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(67,486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(27,244</w:t>
            </w:r>
          </w:p>
        </w:tc>
        <w:tc>
          <w:tcPr>
            <w:tcW w:w="6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93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available to Class A ordinary shareholders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(9,665</w:t>
            </w:r>
          </w:p>
        </w:tc>
        <w:tc>
          <w:tcPr>
            <w:tcW w:w="6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(67,486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93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66" w:type="dxa"/>
            <w:tcBorders/>
            <w:vAlign w:val="center"/>
          </w:tcPr>
          <w:p>
            <w:pPr>
              <w:pStyle w:val="TableContents"/>
              <w:bidi w:val="0"/>
              <w:spacing w:before="0" w:after="0"/>
              <w:ind w:left="0" w:right="0" w:firstLine="200"/>
              <w:jc w:val="right"/>
              <w:rPr/>
            </w:pPr>
            <w:r>
              <w:rPr/>
              <w:t> </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493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Weighted average Class A ordinary shares outstanding: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93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Basic and diluted</w:t>
            </w:r>
          </w:p>
        </w:tc>
        <w:tc>
          <w:tcPr>
            <w:tcW w:w="1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61,540,231</w:t>
            </w:r>
          </w:p>
        </w:tc>
        <w:tc>
          <w:tcPr>
            <w:tcW w:w="666" w:type="dxa"/>
            <w:tcBorders/>
            <w:vAlign w:val="center"/>
          </w:tcPr>
          <w:p>
            <w:pPr>
              <w:pStyle w:val="TableContents"/>
              <w:bidi w:val="0"/>
              <w:spacing w:before="0" w:after="0"/>
              <w:ind w:left="0" w:right="0" w:firstLine="200"/>
              <w:jc w:val="left"/>
              <w:rPr/>
            </w:pPr>
            <w:r>
              <w:rPr/>
              <w:t> </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493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Net loss per share attributable to Class A ordinary shares: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both"/>
              <w:rPr/>
            </w:pPr>
            <w:r>
              <w:rPr/>
              <w:t> </w:t>
            </w:r>
          </w:p>
        </w:tc>
        <w:tc>
          <w:tcPr>
            <w:tcW w:w="666"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both"/>
              <w:rPr/>
            </w:pPr>
            <w:r>
              <w:rPr/>
              <w:t> </w:t>
            </w:r>
          </w:p>
        </w:tc>
        <w:tc>
          <w:tcPr>
            <w:tcW w:w="611" w:type="dxa"/>
            <w:tcBorders/>
            <w:vAlign w:val="center"/>
          </w:tcPr>
          <w:p>
            <w:pPr>
              <w:pStyle w:val="TableContents"/>
              <w:bidi w:val="0"/>
              <w:spacing w:before="0" w:after="0"/>
              <w:ind w:left="0" w:right="0" w:firstLine="200"/>
              <w:jc w:val="both"/>
              <w:rPr/>
            </w:pPr>
            <w:r>
              <w:rPr/>
              <w:t> </w:t>
            </w:r>
          </w:p>
        </w:tc>
      </w:tr>
      <w:tr>
        <w:trPr/>
        <w:tc>
          <w:tcPr>
            <w:tcW w:w="493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Basic and diluted</w:t>
            </w:r>
          </w:p>
        </w:tc>
        <w:tc>
          <w:tcPr>
            <w:tcW w:w="146" w:type="dxa"/>
            <w:tcBorders/>
            <w:vAlign w:val="center"/>
          </w:tcPr>
          <w:p>
            <w:pPr>
              <w:pStyle w:val="TableContents"/>
              <w:bidi w:val="0"/>
              <w:spacing w:before="0" w:after="0"/>
              <w:ind w:left="2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(0.16</w:t>
            </w:r>
          </w:p>
        </w:tc>
        <w:tc>
          <w:tcPr>
            <w:tcW w:w="66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2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The Company analyzed the calculation of net loss per share for periods prior to the Business Combination, as defined in Note 1, on July 11, 2022 and determined that it resulted in values that would not be meaningful to the users of the consolidated financial statements, as the capital structure completely changed as a result of the Business Combination. Therefore, net loss per share information has not been presented for periods prior to the Business Combination. For more information refer to Note 8.</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z w:val="20"/>
        </w:rPr>
      </w:pPr>
      <w:r>
        <w:rPr>
          <w:rFonts w:ascii="Times New Roman;serif" w:hAnsi="Times New Roman;serif"/>
          <w:b/>
          <w:sz w:val="20"/>
        </w:rPr>
        <w:t>ProKidney Corp.</w:t>
      </w:r>
    </w:p>
    <w:p>
      <w:pPr>
        <w:pStyle w:val="TextBody"/>
        <w:bidi w:val="0"/>
        <w:spacing w:before="0" w:after="0"/>
        <w:jc w:val="center"/>
        <w:rPr>
          <w:rFonts w:ascii="Times New Roman;serif" w:hAnsi="Times New Roman;serif"/>
          <w:b/>
          <w:sz w:val="20"/>
        </w:rPr>
      </w:pPr>
      <w:bookmarkStart w:id="6" w:name="consolidated_statements_of_comp_loss"/>
      <w:bookmarkEnd w:id="6"/>
      <w:r>
        <w:rPr>
          <w:rFonts w:ascii="Times New Roman;serif" w:hAnsi="Times New Roman;serif"/>
          <w:b/>
          <w:sz w:val="20"/>
        </w:rPr>
        <w:t>Condensed Consolidated Statements of Comprehensive Loss -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for share and per share data)</w:t>
      </w:r>
    </w:p>
    <w:p>
      <w:pPr>
        <w:pStyle w:val="TextBody"/>
        <w:bidi w:val="0"/>
        <w:spacing w:before="0" w:after="0"/>
        <w:jc w:val="center"/>
        <w:rPr/>
      </w:pPr>
      <w:r>
        <w:rPr/>
        <w:t> </w:t>
      </w:r>
    </w:p>
    <w:tbl>
      <w:tblPr>
        <w:tblW w:w="9300" w:type="dxa"/>
        <w:jc w:val="left"/>
        <w:tblInd w:w="0" w:type="dxa"/>
        <w:tblLayout w:type="fixed"/>
        <w:tblCellMar>
          <w:top w:w="28" w:type="dxa"/>
          <w:left w:w="28" w:type="dxa"/>
          <w:bottom w:w="28" w:type="dxa"/>
          <w:right w:w="28" w:type="dxa"/>
        </w:tblCellMar>
      </w:tblPr>
      <w:tblGrid>
        <w:gridCol w:w="5976"/>
        <w:gridCol w:w="146"/>
        <w:gridCol w:w="244"/>
        <w:gridCol w:w="853"/>
        <w:gridCol w:w="424"/>
        <w:gridCol w:w="169"/>
        <w:gridCol w:w="244"/>
        <w:gridCol w:w="853"/>
        <w:gridCol w:w="391"/>
      </w:tblGrid>
      <w:tr>
        <w:trPr/>
        <w:tc>
          <w:tcPr>
            <w:tcW w:w="5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787"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391" w:type="dxa"/>
            <w:tcBorders/>
            <w:vAlign w:val="center"/>
          </w:tcPr>
          <w:p>
            <w:pPr>
              <w:pStyle w:val="TableContents"/>
              <w:bidi w:val="0"/>
              <w:spacing w:before="0" w:after="0"/>
              <w:ind w:left="0" w:right="0" w:hanging="0"/>
              <w:jc w:val="center"/>
              <w:rPr/>
            </w:pPr>
            <w:r>
              <w:rPr/>
              <w:t> </w:t>
            </w:r>
          </w:p>
        </w:tc>
      </w:tr>
      <w:tr>
        <w:trPr/>
        <w:tc>
          <w:tcPr>
            <w:tcW w:w="59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10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4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9" w:type="dxa"/>
            <w:tcBorders/>
            <w:vAlign w:val="center"/>
          </w:tcPr>
          <w:p>
            <w:pPr>
              <w:pStyle w:val="TableContents"/>
              <w:bidi w:val="0"/>
              <w:spacing w:before="0" w:after="0"/>
              <w:ind w:left="0" w:right="0" w:hanging="0"/>
              <w:jc w:val="both"/>
              <w:rPr/>
            </w:pPr>
            <w:r>
              <w:rPr/>
              <w:t> </w:t>
            </w:r>
          </w:p>
        </w:tc>
        <w:tc>
          <w:tcPr>
            <w:tcW w:w="10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Net loss including noncontrolling interest</w:t>
            </w:r>
          </w:p>
        </w:tc>
        <w:tc>
          <w:tcPr>
            <w:tcW w:w="146" w:type="dxa"/>
            <w:tcBorders/>
            <w:vAlign w:val="center"/>
          </w:tcPr>
          <w:p>
            <w:pPr>
              <w:pStyle w:val="TableContents"/>
              <w:bidi w:val="0"/>
              <w:spacing w:before="0" w:after="0"/>
              <w:ind w:left="20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(36,909</w:t>
            </w:r>
          </w:p>
        </w:tc>
        <w:tc>
          <w:tcPr>
            <w:tcW w:w="42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69" w:type="dxa"/>
            <w:tcBorders/>
            <w:vAlign w:val="center"/>
          </w:tcPr>
          <w:p>
            <w:pPr>
              <w:pStyle w:val="TableContents"/>
              <w:bidi w:val="0"/>
              <w:spacing w:before="0" w:after="0"/>
              <w:ind w:left="20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(67,486</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Other comprehensive (loss) income:</w:t>
            </w:r>
          </w:p>
        </w:tc>
        <w:tc>
          <w:tcPr>
            <w:tcW w:w="146" w:type="dxa"/>
            <w:tcBorders/>
            <w:vAlign w:val="center"/>
          </w:tcPr>
          <w:p>
            <w:pPr>
              <w:pStyle w:val="TableContents"/>
              <w:bidi w:val="0"/>
              <w:spacing w:before="0" w:after="0"/>
              <w:ind w:left="200" w:right="0" w:hanging="0"/>
              <w:jc w:val="left"/>
              <w:rPr/>
            </w:pPr>
            <w:r>
              <w:rPr/>
              <w:t> </w:t>
            </w:r>
          </w:p>
        </w:tc>
        <w:tc>
          <w:tcPr>
            <w:tcW w:w="1097" w:type="dxa"/>
            <w:gridSpan w:val="2"/>
            <w:tcBorders/>
            <w:vAlign w:val="center"/>
          </w:tcPr>
          <w:p>
            <w:pPr>
              <w:pStyle w:val="TableContents"/>
              <w:bidi w:val="0"/>
              <w:spacing w:before="0" w:after="0"/>
              <w:ind w:left="0" w:right="0" w:hanging="0"/>
              <w:jc w:val="right"/>
              <w:rPr/>
            </w:pPr>
            <w:r>
              <w:rPr/>
              <w:t> </w:t>
            </w:r>
          </w:p>
        </w:tc>
        <w:tc>
          <w:tcPr>
            <w:tcW w:w="424" w:type="dxa"/>
            <w:tcBorders/>
            <w:vAlign w:val="center"/>
          </w:tcPr>
          <w:p>
            <w:pPr>
              <w:pStyle w:val="TableContents"/>
              <w:bidi w:val="0"/>
              <w:spacing w:before="0" w:after="0"/>
              <w:ind w:left="0" w:right="0" w:firstLine="200"/>
              <w:jc w:val="right"/>
              <w:rPr/>
            </w:pPr>
            <w:r>
              <w:rPr/>
              <w:t> </w:t>
            </w:r>
          </w:p>
        </w:tc>
        <w:tc>
          <w:tcPr>
            <w:tcW w:w="169" w:type="dxa"/>
            <w:tcBorders/>
            <w:vAlign w:val="center"/>
          </w:tcPr>
          <w:p>
            <w:pPr>
              <w:pStyle w:val="TableContents"/>
              <w:bidi w:val="0"/>
              <w:spacing w:before="0" w:after="0"/>
              <w:ind w:left="200" w:right="0" w:hanging="0"/>
              <w:jc w:val="left"/>
              <w:rPr/>
            </w:pPr>
            <w:r>
              <w:rPr/>
              <w:t> </w:t>
            </w:r>
          </w:p>
        </w:tc>
        <w:tc>
          <w:tcPr>
            <w:tcW w:w="109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100"/>
              <w:jc w:val="right"/>
              <w:rPr/>
            </w:pPr>
            <w:r>
              <w:rPr/>
              <w:t> </w:t>
            </w:r>
          </w:p>
        </w:tc>
      </w:tr>
      <w:tr>
        <w:trPr/>
        <w:tc>
          <w:tcPr>
            <w:tcW w:w="59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Unrealized gain (loss) on marketable securities</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4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9"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4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9"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59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 comprehensive loss including noncontrolling interest</w:t>
            </w:r>
          </w:p>
        </w:tc>
        <w:tc>
          <w:tcPr>
            <w:tcW w:w="146" w:type="dxa"/>
            <w:tcBorders/>
            <w:vAlign w:val="center"/>
          </w:tcPr>
          <w:p>
            <w:pPr>
              <w:pStyle w:val="TableContents"/>
              <w:bidi w:val="0"/>
              <w:spacing w:before="0" w:after="0"/>
              <w:ind w:left="20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(36,981</w:t>
            </w:r>
          </w:p>
        </w:tc>
        <w:tc>
          <w:tcPr>
            <w:tcW w:w="42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69" w:type="dxa"/>
            <w:tcBorders/>
            <w:vAlign w:val="center"/>
          </w:tcPr>
          <w:p>
            <w:pPr>
              <w:pStyle w:val="TableContents"/>
              <w:bidi w:val="0"/>
              <w:spacing w:before="0" w:after="0"/>
              <w:ind w:left="20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(67,486</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7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Less: Total comprehensive loss attributable to noncontrolling interest</w:t>
            </w:r>
          </w:p>
        </w:tc>
        <w:tc>
          <w:tcPr>
            <w:tcW w:w="146" w:type="dxa"/>
            <w:tcBorders/>
            <w:vAlign w:val="center"/>
          </w:tcPr>
          <w:p>
            <w:pPr>
              <w:pStyle w:val="TableContents"/>
              <w:bidi w:val="0"/>
              <w:spacing w:before="0" w:after="0"/>
              <w:ind w:left="20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(27,297</w:t>
            </w:r>
          </w:p>
        </w:tc>
        <w:tc>
          <w:tcPr>
            <w:tcW w:w="42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69" w:type="dxa"/>
            <w:tcBorders/>
            <w:vAlign w:val="center"/>
          </w:tcPr>
          <w:p>
            <w:pPr>
              <w:pStyle w:val="TableContents"/>
              <w:bidi w:val="0"/>
              <w:spacing w:before="0" w:after="0"/>
              <w:ind w:left="20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9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comprehensive loss attributable to Class A ordinary shareholders</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(9,684</w:t>
            </w:r>
          </w:p>
        </w:tc>
        <w:tc>
          <w:tcPr>
            <w:tcW w:w="424"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169" w:type="dxa"/>
            <w:tcBorders/>
            <w:vAlign w:val="center"/>
          </w:tcPr>
          <w:p>
            <w:pPr>
              <w:pStyle w:val="TableContents"/>
              <w:bidi w:val="0"/>
              <w:spacing w:before="0" w:after="0"/>
              <w:ind w:left="20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(67,486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ProKidney Corp.</w:t>
      </w:r>
    </w:p>
    <w:p>
      <w:pPr>
        <w:pStyle w:val="TextBody"/>
        <w:bidi w:val="0"/>
        <w:spacing w:before="0" w:after="0"/>
        <w:jc w:val="center"/>
        <w:rPr>
          <w:rFonts w:ascii="Times New Roman" w:hAnsi="Times New Roman"/>
          <w:sz w:val="20"/>
        </w:rPr>
      </w:pPr>
      <w:bookmarkStart w:id="7" w:name="stockholders_deficit"/>
      <w:bookmarkEnd w:id="7"/>
      <w:r>
        <w:rPr>
          <w:rFonts w:ascii="Times New Roman;serif" w:hAnsi="Times New Roman;serif"/>
          <w:b/>
          <w:sz w:val="20"/>
        </w:rPr>
        <w:t>Condensed Consolidated Statements of Changes in Redeemable Noncontrolling Interest and Shareholders’ Deficit</w:t>
      </w:r>
      <w:r>
        <w:rPr>
          <w:rFonts w:ascii="Times New Roman" w:hAnsi="Times New Roman"/>
          <w:sz w:val="20"/>
        </w:rPr>
        <w:t xml:space="preserve"> </w:t>
      </w:r>
      <w:r>
        <w:rPr>
          <w:rFonts w:ascii="Times New Roman;serif" w:hAnsi="Times New Roman;serif"/>
          <w:b/>
          <w:sz w:val="20"/>
        </w:rPr>
        <w:t>/ Members’ Equity - 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for share and per share data)</w:t>
      </w:r>
    </w:p>
    <w:p>
      <w:pPr>
        <w:pStyle w:val="TextBody"/>
        <w:bidi w:val="0"/>
        <w:spacing w:before="0" w:after="0"/>
        <w:jc w:val="left"/>
        <w:rPr/>
      </w:pPr>
      <w:r>
        <w:rPr/>
        <w:t> </w:t>
      </w:r>
    </w:p>
    <w:tbl>
      <w:tblPr>
        <w:tblW w:w="14916" w:type="dxa"/>
        <w:jc w:val="left"/>
        <w:tblInd w:w="0" w:type="dxa"/>
        <w:tblLayout w:type="fixed"/>
        <w:tblCellMar>
          <w:top w:w="28" w:type="dxa"/>
          <w:left w:w="28" w:type="dxa"/>
          <w:bottom w:w="28" w:type="dxa"/>
          <w:right w:w="28" w:type="dxa"/>
        </w:tblCellMar>
      </w:tblPr>
      <w:tblGrid>
        <w:gridCol w:w="1451"/>
        <w:gridCol w:w="146"/>
        <w:gridCol w:w="257"/>
        <w:gridCol w:w="1139"/>
        <w:gridCol w:w="166"/>
        <w:gridCol w:w="146"/>
        <w:gridCol w:w="146"/>
        <w:gridCol w:w="146"/>
        <w:gridCol w:w="1036"/>
        <w:gridCol w:w="146"/>
        <w:gridCol w:w="146"/>
        <w:gridCol w:w="377"/>
        <w:gridCol w:w="404"/>
        <w:gridCol w:w="146"/>
        <w:gridCol w:w="146"/>
        <w:gridCol w:w="146"/>
        <w:gridCol w:w="1141"/>
        <w:gridCol w:w="146"/>
        <w:gridCol w:w="146"/>
        <w:gridCol w:w="312"/>
        <w:gridCol w:w="469"/>
        <w:gridCol w:w="146"/>
        <w:gridCol w:w="146"/>
        <w:gridCol w:w="239"/>
        <w:gridCol w:w="767"/>
        <w:gridCol w:w="146"/>
        <w:gridCol w:w="146"/>
        <w:gridCol w:w="512"/>
        <w:gridCol w:w="914"/>
        <w:gridCol w:w="166"/>
        <w:gridCol w:w="146"/>
        <w:gridCol w:w="213"/>
        <w:gridCol w:w="1003"/>
        <w:gridCol w:w="166"/>
        <w:gridCol w:w="146"/>
        <w:gridCol w:w="226"/>
        <w:gridCol w:w="1065"/>
        <w:gridCol w:w="411"/>
      </w:tblGrid>
      <w:tr>
        <w:trPr/>
        <w:tc>
          <w:tcPr>
            <w:tcW w:w="1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908" w:type="dxa"/>
            <w:gridSpan w:val="3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 March 31, 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9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2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91"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1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9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Class A Ordinary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6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Class B Ordinary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91"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1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Redeemable Noncontrolling Interest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Additional Paid-in 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 Other Comprehensive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 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 Shareholders' Deficit / Members' Equity</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January 1, 2023</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1,601,555</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61,540,231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171,578,320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(1,104,116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(1,096,616</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vAlign w:val="center"/>
          </w:tcPr>
          <w:p>
            <w:pPr>
              <w:pStyle w:val="TableContents"/>
              <w:bidi w:val="0"/>
              <w:spacing w:before="0" w:after="0"/>
              <w:ind w:left="10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2,457</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10,563</w:t>
            </w:r>
          </w:p>
        </w:tc>
        <w:tc>
          <w:tcPr>
            <w:tcW w:w="411" w:type="dxa"/>
            <w:tcBorders/>
            <w:vAlign w:val="center"/>
          </w:tcPr>
          <w:p>
            <w:pPr>
              <w:pStyle w:val="TableContents"/>
              <w:bidi w:val="0"/>
              <w:spacing w:before="0" w:after="0"/>
              <w:ind w:left="0" w:right="0" w:firstLine="200"/>
              <w:jc w:val="left"/>
              <w:rPr/>
            </w:pPr>
            <w:r>
              <w:rPr/>
              <w:t> </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Vesting of Class B restricted stock rights</w:t>
            </w:r>
          </w:p>
        </w:tc>
        <w:tc>
          <w:tcPr>
            <w:tcW w:w="146" w:type="dxa"/>
            <w:tcBorders/>
            <w:vAlign w:val="center"/>
          </w:tcPr>
          <w:p>
            <w:pPr>
              <w:pStyle w:val="TableContents"/>
              <w:bidi w:val="0"/>
              <w:spacing w:before="0" w:after="0"/>
              <w:ind w:left="10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1,866,541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Impact of equity transactions on redeemable noncontrolling interest</w:t>
            </w:r>
          </w:p>
        </w:tc>
        <w:tc>
          <w:tcPr>
            <w:tcW w:w="146" w:type="dxa"/>
            <w:tcBorders/>
            <w:vAlign w:val="center"/>
          </w:tcPr>
          <w:p>
            <w:pPr>
              <w:pStyle w:val="TableContents"/>
              <w:bidi w:val="0"/>
              <w:spacing w:before="0" w:after="0"/>
              <w:ind w:left="10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3,753</w:t>
            </w:r>
          </w:p>
        </w:tc>
        <w:tc>
          <w:tcPr>
            <w:tcW w:w="411" w:type="dxa"/>
            <w:tcBorders/>
            <w:vAlign w:val="center"/>
          </w:tcPr>
          <w:p>
            <w:pPr>
              <w:pStyle w:val="TableContents"/>
              <w:bidi w:val="0"/>
              <w:spacing w:before="0" w:after="0"/>
              <w:ind w:left="0" w:right="0" w:firstLine="200"/>
              <w:jc w:val="left"/>
              <w:rPr/>
            </w:pPr>
            <w:r>
              <w:rPr/>
              <w:t> </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Unrealized loss on marketable securities</w:t>
            </w:r>
          </w:p>
        </w:tc>
        <w:tc>
          <w:tcPr>
            <w:tcW w:w="146" w:type="dxa"/>
            <w:tcBorders/>
            <w:vAlign w:val="center"/>
          </w:tcPr>
          <w:p>
            <w:pPr>
              <w:pStyle w:val="TableContents"/>
              <w:bidi w:val="0"/>
              <w:spacing w:before="0" w:after="0"/>
              <w:ind w:left="10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10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11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40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4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0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Change in redemption value of noncontrolling interest</w:t>
            </w:r>
          </w:p>
        </w:tc>
        <w:tc>
          <w:tcPr>
            <w:tcW w:w="146" w:type="dxa"/>
            <w:tcBorders/>
            <w:vAlign w:val="center"/>
          </w:tcPr>
          <w:p>
            <w:pPr>
              <w:pStyle w:val="TableContents"/>
              <w:bidi w:val="0"/>
              <w:spacing w:before="0" w:after="0"/>
              <w:ind w:left="10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509,526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(509,526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(509,526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2,082,488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61,540,231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173,444,861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(1,623,307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(1,601,510</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384"/>
        <w:gridCol w:w="146"/>
        <w:gridCol w:w="146"/>
        <w:gridCol w:w="1141"/>
        <w:gridCol w:w="146"/>
        <w:gridCol w:w="146"/>
        <w:gridCol w:w="211"/>
        <w:gridCol w:w="781"/>
        <w:gridCol w:w="146"/>
        <w:gridCol w:w="146"/>
        <w:gridCol w:w="304"/>
        <w:gridCol w:w="976"/>
        <w:gridCol w:w="146"/>
        <w:gridCol w:w="146"/>
        <w:gridCol w:w="243"/>
        <w:gridCol w:w="973"/>
        <w:gridCol w:w="166"/>
        <w:gridCol w:w="146"/>
        <w:gridCol w:w="293"/>
        <w:gridCol w:w="1026"/>
        <w:gridCol w:w="393"/>
      </w:tblGrid>
      <w:tr>
        <w:trPr/>
        <w:tc>
          <w:tcPr>
            <w:tcW w:w="2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3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82"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 March 31, 2022</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Class 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Class B</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19"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 Members'</w:t>
            </w:r>
          </w:p>
        </w:tc>
        <w:tc>
          <w:tcPr>
            <w:tcW w:w="393" w:type="dxa"/>
            <w:tcBorders/>
            <w:vAlign w:val="center"/>
          </w:tcPr>
          <w:p>
            <w:pPr>
              <w:pStyle w:val="TableContents"/>
              <w:bidi w:val="0"/>
              <w:spacing w:before="0" w:after="0"/>
              <w:ind w:left="0" w:right="0" w:hanging="0"/>
              <w:jc w:val="center"/>
              <w:rPr/>
            </w:pPr>
            <w:r>
              <w:rPr/>
              <w:t> </w:t>
            </w:r>
          </w:p>
        </w:tc>
      </w:tr>
      <w:tr>
        <w:trPr/>
        <w:tc>
          <w:tcPr>
            <w:tcW w:w="238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Units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Profits Interests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Equity</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(161,510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26,917</w:t>
            </w:r>
          </w:p>
        </w:tc>
        <w:tc>
          <w:tcPr>
            <w:tcW w:w="393" w:type="dxa"/>
            <w:tcBorders/>
            <w:vAlign w:val="center"/>
          </w:tcPr>
          <w:p>
            <w:pPr>
              <w:pStyle w:val="TableContents"/>
              <w:bidi w:val="0"/>
              <w:spacing w:before="0" w:after="0"/>
              <w:ind w:left="0" w:right="0" w:firstLine="200"/>
              <w:jc w:val="left"/>
              <w:rPr/>
            </w:pPr>
            <w:r>
              <w:rPr/>
              <w:t> </w:t>
            </w:r>
          </w:p>
        </w:tc>
      </w:tr>
      <w:tr>
        <w:trPr/>
        <w:tc>
          <w:tcPr>
            <w:tcW w:w="23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Capital contribution</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5,550</w:t>
            </w:r>
          </w:p>
        </w:tc>
        <w:tc>
          <w:tcPr>
            <w:tcW w:w="393" w:type="dxa"/>
            <w:tcBorders/>
            <w:vAlign w:val="center"/>
          </w:tcPr>
          <w:p>
            <w:pPr>
              <w:pStyle w:val="TableContents"/>
              <w:bidi w:val="0"/>
              <w:spacing w:before="0" w:after="0"/>
              <w:ind w:left="0" w:right="0" w:firstLine="200"/>
              <w:jc w:val="left"/>
              <w:rPr/>
            </w:pPr>
            <w:r>
              <w:rPr/>
              <w:t> </w:t>
            </w:r>
          </w:p>
        </w:tc>
      </w:tr>
      <w:tr>
        <w:trPr/>
        <w:tc>
          <w:tcPr>
            <w:tcW w:w="23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Equity-based payments</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55,186</w:t>
            </w:r>
          </w:p>
        </w:tc>
        <w:tc>
          <w:tcPr>
            <w:tcW w:w="393" w:type="dxa"/>
            <w:tcBorders/>
            <w:vAlign w:val="center"/>
          </w:tcPr>
          <w:p>
            <w:pPr>
              <w:pStyle w:val="TableContents"/>
              <w:bidi w:val="0"/>
              <w:spacing w:before="0" w:after="0"/>
              <w:ind w:left="0" w:right="0" w:firstLine="200"/>
              <w:jc w:val="left"/>
              <w:rPr/>
            </w:pPr>
            <w:r>
              <w:rPr/>
              <w:t> </w:t>
            </w:r>
          </w:p>
        </w:tc>
      </w:tr>
      <w:tr>
        <w:trPr/>
        <w:tc>
          <w:tcPr>
            <w:tcW w:w="23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10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(67,486</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186,500,000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186,500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(228,996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20,167</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ProKidney Corp.</w:t>
      </w:r>
    </w:p>
    <w:p>
      <w:pPr>
        <w:pStyle w:val="TextBody"/>
        <w:bidi w:val="0"/>
        <w:spacing w:before="0" w:after="0"/>
        <w:jc w:val="center"/>
        <w:rPr>
          <w:rFonts w:ascii="Times New Roman" w:hAnsi="Times New Roman"/>
          <w:sz w:val="20"/>
        </w:rPr>
      </w:pPr>
      <w:bookmarkStart w:id="8" w:name="cash_flows"/>
      <w:bookmarkEnd w:id="8"/>
      <w:r>
        <w:rPr>
          <w:rFonts w:ascii="Times New Roman;serif" w:hAnsi="Times New Roman;serif"/>
          <w:b/>
          <w:sz w:val="20"/>
        </w:rPr>
        <w:t>Condensed Consolidated Statements of Cash Flows</w:t>
      </w:r>
      <w:r>
        <w:rPr>
          <w:rFonts w:ascii="Times New Roman" w:hAnsi="Times New Roman"/>
          <w:sz w:val="20"/>
        </w:rPr>
        <w:t xml:space="preserve"> – </w:t>
      </w: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513"/>
        <w:gridCol w:w="146"/>
        <w:gridCol w:w="249"/>
        <w:gridCol w:w="995"/>
        <w:gridCol w:w="196"/>
        <w:gridCol w:w="172"/>
        <w:gridCol w:w="249"/>
        <w:gridCol w:w="871"/>
        <w:gridCol w:w="814"/>
      </w:tblGrid>
      <w:tr>
        <w:trPr/>
        <w:tc>
          <w:tcPr>
            <w:tcW w:w="6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513"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2732"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814" w:type="dxa"/>
            <w:tcBorders/>
            <w:vAlign w:val="center"/>
          </w:tcPr>
          <w:p>
            <w:pPr>
              <w:pStyle w:val="TableContents"/>
              <w:bidi w:val="0"/>
              <w:spacing w:before="0" w:after="0"/>
              <w:ind w:left="0" w:right="0" w:hanging="0"/>
              <w:jc w:val="center"/>
              <w:rPr/>
            </w:pPr>
            <w:r>
              <w:rPr/>
              <w:t> </w:t>
            </w:r>
          </w:p>
        </w:tc>
      </w:tr>
      <w:tr>
        <w:trPr/>
        <w:tc>
          <w:tcPr>
            <w:tcW w:w="6513"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12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2" w:type="dxa"/>
            <w:tcBorders/>
            <w:vAlign w:val="center"/>
          </w:tcPr>
          <w:p>
            <w:pPr>
              <w:pStyle w:val="TableContents"/>
              <w:bidi w:val="0"/>
              <w:spacing w:before="0" w:after="0"/>
              <w:ind w:left="0" w:right="0" w:hanging="0"/>
              <w:jc w:val="left"/>
              <w:rPr/>
            </w:pPr>
            <w:r>
              <w:rPr/>
              <w:t> </w:t>
            </w:r>
          </w:p>
        </w:tc>
        <w:tc>
          <w:tcPr>
            <w:tcW w:w="11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5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right"/>
              <w:rPr/>
            </w:pPr>
            <w:r>
              <w:rPr/>
              <w:t> </w:t>
            </w:r>
          </w:p>
        </w:tc>
        <w:tc>
          <w:tcPr>
            <w:tcW w:w="814" w:type="dxa"/>
            <w:tcBorders/>
            <w:vAlign w:val="center"/>
          </w:tcPr>
          <w:p>
            <w:pPr>
              <w:pStyle w:val="TableContents"/>
              <w:bidi w:val="0"/>
              <w:spacing w:before="0" w:after="0"/>
              <w:ind w:left="0" w:right="0" w:firstLine="200"/>
              <w:jc w:val="right"/>
              <w:rPr/>
            </w:pPr>
            <w:r>
              <w:rPr/>
              <w:t> </w:t>
            </w:r>
          </w:p>
        </w:tc>
      </w:tr>
      <w:tr>
        <w:trPr/>
        <w:tc>
          <w:tcPr>
            <w:tcW w:w="65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before noncontrolling interest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(36,909</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(67,486</w:t>
            </w:r>
          </w:p>
        </w:tc>
        <w:tc>
          <w:tcPr>
            <w:tcW w:w="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5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Adjustments to reconcile net loss before noncontrolling interest to net cash flows used </w:t>
              <w:br/>
              <w:t>   in operating activities:</w:t>
            </w:r>
          </w:p>
        </w:tc>
        <w:tc>
          <w:tcPr>
            <w:tcW w:w="146" w:type="dxa"/>
            <w:tcBorders/>
            <w:vAlign w:val="center"/>
          </w:tcPr>
          <w:p>
            <w:pPr>
              <w:pStyle w:val="TableContents"/>
              <w:bidi w:val="0"/>
              <w:spacing w:before="0" w:after="0"/>
              <w:ind w:left="0" w:right="0" w:hanging="0"/>
              <w:jc w:val="left"/>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right"/>
              <w:rPr/>
            </w:pPr>
            <w:r>
              <w:rPr/>
              <w:t> </w:t>
            </w:r>
          </w:p>
        </w:tc>
        <w:tc>
          <w:tcPr>
            <w:tcW w:w="814" w:type="dxa"/>
            <w:tcBorders/>
            <w:vAlign w:val="center"/>
          </w:tcPr>
          <w:p>
            <w:pPr>
              <w:pStyle w:val="TableContents"/>
              <w:bidi w:val="0"/>
              <w:spacing w:before="0" w:after="0"/>
              <w:ind w:left="0" w:right="0" w:firstLine="400"/>
              <w:jc w:val="right"/>
              <w:rPr/>
            </w:pPr>
            <w:r>
              <w:rPr/>
              <w:t> </w:t>
            </w:r>
          </w:p>
        </w:tc>
      </w:tr>
      <w:tr>
        <w:trPr/>
        <w:tc>
          <w:tcPr>
            <w:tcW w:w="6513"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19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w:t>
            </w:r>
          </w:p>
        </w:tc>
        <w:tc>
          <w:tcPr>
            <w:tcW w:w="814" w:type="dxa"/>
            <w:tcBorders/>
            <w:vAlign w:val="center"/>
          </w:tcPr>
          <w:p>
            <w:pPr>
              <w:pStyle w:val="TableContents"/>
              <w:bidi w:val="0"/>
              <w:spacing w:before="0" w:after="0"/>
              <w:ind w:left="0" w:right="0" w:firstLine="400"/>
              <w:jc w:val="left"/>
              <w:rPr/>
            </w:pPr>
            <w:r>
              <w:rPr/>
              <w:t> </w:t>
            </w:r>
          </w:p>
        </w:tc>
      </w:tr>
      <w:tr>
        <w:trPr/>
        <w:tc>
          <w:tcPr>
            <w:tcW w:w="6513"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Equity-based compensation</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13,020</w:t>
            </w:r>
          </w:p>
        </w:tc>
        <w:tc>
          <w:tcPr>
            <w:tcW w:w="19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52,684</w:t>
            </w:r>
          </w:p>
        </w:tc>
        <w:tc>
          <w:tcPr>
            <w:tcW w:w="814" w:type="dxa"/>
            <w:tcBorders/>
            <w:vAlign w:val="center"/>
          </w:tcPr>
          <w:p>
            <w:pPr>
              <w:pStyle w:val="TableContents"/>
              <w:bidi w:val="0"/>
              <w:spacing w:before="0" w:after="0"/>
              <w:ind w:left="0" w:right="0" w:firstLine="400"/>
              <w:jc w:val="left"/>
              <w:rPr/>
            </w:pPr>
            <w:r>
              <w:rPr/>
              <w:t> </w:t>
            </w:r>
          </w:p>
        </w:tc>
      </w:tr>
      <w:tr>
        <w:trPr/>
        <w:tc>
          <w:tcPr>
            <w:tcW w:w="6513"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Gain on marketable securities, net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814" w:type="dxa"/>
            <w:tcBorders/>
            <w:vAlign w:val="center"/>
          </w:tcPr>
          <w:p>
            <w:pPr>
              <w:pStyle w:val="TableContents"/>
              <w:bidi w:val="0"/>
              <w:spacing w:before="0" w:after="0"/>
              <w:ind w:left="0" w:right="0" w:firstLine="400"/>
              <w:jc w:val="left"/>
              <w:rPr/>
            </w:pPr>
            <w:r>
              <w:rPr/>
              <w:t> </w:t>
            </w:r>
          </w:p>
        </w:tc>
      </w:tr>
      <w:tr>
        <w:trPr/>
        <w:tc>
          <w:tcPr>
            <w:tcW w:w="6513"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Loss on disposal of equipment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9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814" w:type="dxa"/>
            <w:tcBorders/>
            <w:vAlign w:val="center"/>
          </w:tcPr>
          <w:p>
            <w:pPr>
              <w:pStyle w:val="TableContents"/>
              <w:bidi w:val="0"/>
              <w:spacing w:before="0" w:after="0"/>
              <w:ind w:left="0" w:right="0" w:firstLine="400"/>
              <w:jc w:val="left"/>
              <w:rPr/>
            </w:pPr>
            <w:r>
              <w:rPr/>
              <w:t> </w:t>
            </w:r>
          </w:p>
        </w:tc>
      </w:tr>
      <w:tr>
        <w:trPr/>
        <w:tc>
          <w:tcPr>
            <w:tcW w:w="6513"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right"/>
              <w:rPr/>
            </w:pPr>
            <w:r>
              <w:rPr/>
              <w:t> </w:t>
            </w:r>
          </w:p>
        </w:tc>
        <w:tc>
          <w:tcPr>
            <w:tcW w:w="814" w:type="dxa"/>
            <w:tcBorders/>
            <w:vAlign w:val="center"/>
          </w:tcPr>
          <w:p>
            <w:pPr>
              <w:pStyle w:val="TableContents"/>
              <w:bidi w:val="0"/>
              <w:spacing w:before="0" w:after="0"/>
              <w:ind w:left="0" w:right="0" w:firstLine="600"/>
              <w:jc w:val="right"/>
              <w:rPr/>
            </w:pPr>
            <w:r>
              <w:rPr/>
              <w:t> </w:t>
            </w:r>
          </w:p>
        </w:tc>
      </w:tr>
      <w:tr>
        <w:trPr/>
        <w:tc>
          <w:tcPr>
            <w:tcW w:w="6513"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Interest receivable</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(5,476</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814" w:type="dxa"/>
            <w:tcBorders/>
            <w:vAlign w:val="center"/>
          </w:tcPr>
          <w:p>
            <w:pPr>
              <w:pStyle w:val="TableContents"/>
              <w:bidi w:val="0"/>
              <w:spacing w:before="0" w:after="0"/>
              <w:ind w:left="0" w:right="0" w:firstLine="600"/>
              <w:jc w:val="left"/>
              <w:rPr/>
            </w:pPr>
            <w:r>
              <w:rPr/>
              <w:t> </w:t>
            </w:r>
          </w:p>
        </w:tc>
      </w:tr>
      <w:tr>
        <w:trPr/>
        <w:tc>
          <w:tcPr>
            <w:tcW w:w="6513"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Prepaid and other assets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3,483</w:t>
            </w:r>
          </w:p>
        </w:tc>
        <w:tc>
          <w:tcPr>
            <w:tcW w:w="19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(3,843</w:t>
            </w:r>
          </w:p>
        </w:tc>
        <w:tc>
          <w:tcPr>
            <w:tcW w:w="814"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513"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payable and accrued expenses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1,519</w:t>
            </w:r>
          </w:p>
        </w:tc>
        <w:tc>
          <w:tcPr>
            <w:tcW w:w="814" w:type="dxa"/>
            <w:tcBorders/>
            <w:vAlign w:val="center"/>
          </w:tcPr>
          <w:p>
            <w:pPr>
              <w:pStyle w:val="TableContents"/>
              <w:bidi w:val="0"/>
              <w:spacing w:before="0" w:after="0"/>
              <w:ind w:left="0" w:right="0" w:firstLine="600"/>
              <w:jc w:val="left"/>
              <w:rPr/>
            </w:pPr>
            <w:r>
              <w:rPr/>
              <w:t> </w:t>
            </w:r>
          </w:p>
        </w:tc>
      </w:tr>
      <w:tr>
        <w:trPr/>
        <w:tc>
          <w:tcPr>
            <w:tcW w:w="6513"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Income taxes payable</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w:t>
            </w:r>
          </w:p>
        </w:tc>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 operating activities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(25,992</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(15,459</w:t>
            </w:r>
          </w:p>
        </w:tc>
        <w:tc>
          <w:tcPr>
            <w:tcW w:w="81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513"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right"/>
              <w:rPr/>
            </w:pPr>
            <w:r>
              <w:rPr/>
              <w:t> </w:t>
            </w:r>
          </w:p>
        </w:tc>
        <w:tc>
          <w:tcPr>
            <w:tcW w:w="814" w:type="dxa"/>
            <w:tcBorders/>
            <w:vAlign w:val="center"/>
          </w:tcPr>
          <w:p>
            <w:pPr>
              <w:pStyle w:val="TableContents"/>
              <w:bidi w:val="0"/>
              <w:spacing w:before="0" w:after="0"/>
              <w:ind w:left="0" w:right="0" w:hanging="0"/>
              <w:jc w:val="right"/>
              <w:rPr/>
            </w:pPr>
            <w:r>
              <w:rPr/>
              <w:t> </w:t>
            </w:r>
          </w:p>
        </w:tc>
      </w:tr>
      <w:tr>
        <w:trPr/>
        <w:tc>
          <w:tcPr>
            <w:tcW w:w="65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used in investing activities</w:t>
            </w:r>
          </w:p>
        </w:tc>
        <w:tc>
          <w:tcPr>
            <w:tcW w:w="146" w:type="dxa"/>
            <w:tcBorders/>
            <w:vAlign w:val="center"/>
          </w:tcPr>
          <w:p>
            <w:pPr>
              <w:pStyle w:val="TableContents"/>
              <w:bidi w:val="0"/>
              <w:spacing w:before="0" w:after="0"/>
              <w:ind w:left="0" w:right="0" w:hanging="0"/>
              <w:jc w:val="left"/>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right"/>
              <w:rPr/>
            </w:pPr>
            <w:r>
              <w:rPr/>
              <w:t> </w:t>
            </w:r>
          </w:p>
        </w:tc>
        <w:tc>
          <w:tcPr>
            <w:tcW w:w="814" w:type="dxa"/>
            <w:tcBorders/>
            <w:vAlign w:val="center"/>
          </w:tcPr>
          <w:p>
            <w:pPr>
              <w:pStyle w:val="TableContents"/>
              <w:bidi w:val="0"/>
              <w:spacing w:before="0" w:after="0"/>
              <w:ind w:left="0" w:right="0" w:firstLine="200"/>
              <w:jc w:val="right"/>
              <w:rPr/>
            </w:pPr>
            <w:r>
              <w:rPr/>
              <w:t> </w:t>
            </w:r>
          </w:p>
        </w:tc>
      </w:tr>
      <w:tr>
        <w:trPr/>
        <w:tc>
          <w:tcPr>
            <w:tcW w:w="65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marketable securities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(198,038</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814" w:type="dxa"/>
            <w:tcBorders/>
            <w:vAlign w:val="center"/>
          </w:tcPr>
          <w:p>
            <w:pPr>
              <w:pStyle w:val="TableContents"/>
              <w:bidi w:val="0"/>
              <w:spacing w:before="0" w:after="0"/>
              <w:ind w:left="0" w:right="0" w:firstLine="200"/>
              <w:jc w:val="left"/>
              <w:rPr/>
            </w:pPr>
            <w:r>
              <w:rPr/>
              <w:t> </w:t>
            </w:r>
          </w:p>
        </w:tc>
      </w:tr>
      <w:tr>
        <w:trPr/>
        <w:tc>
          <w:tcPr>
            <w:tcW w:w="65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of marketable securities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6,412</w:t>
            </w:r>
          </w:p>
        </w:tc>
        <w:tc>
          <w:tcPr>
            <w:tcW w:w="19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814" w:type="dxa"/>
            <w:tcBorders/>
            <w:vAlign w:val="center"/>
          </w:tcPr>
          <w:p>
            <w:pPr>
              <w:pStyle w:val="TableContents"/>
              <w:bidi w:val="0"/>
              <w:spacing w:before="0" w:after="0"/>
              <w:ind w:left="0" w:right="0" w:firstLine="200"/>
              <w:jc w:val="left"/>
              <w:rPr/>
            </w:pPr>
            <w:r>
              <w:rPr/>
              <w:t> </w:t>
            </w:r>
          </w:p>
        </w:tc>
      </w:tr>
      <w:tr>
        <w:trPr/>
        <w:tc>
          <w:tcPr>
            <w:tcW w:w="65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 of equipment and facility expansion</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w:t>
            </w:r>
          </w:p>
        </w:tc>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5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 investing activities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(192,612</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w:t>
            </w:r>
          </w:p>
        </w:tc>
        <w:tc>
          <w:tcPr>
            <w:tcW w:w="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51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right"/>
              <w:rPr/>
            </w:pPr>
            <w:r>
              <w:rPr/>
              <w:t> </w:t>
            </w:r>
          </w:p>
        </w:tc>
        <w:tc>
          <w:tcPr>
            <w:tcW w:w="814" w:type="dxa"/>
            <w:tcBorders/>
            <w:vAlign w:val="center"/>
          </w:tcPr>
          <w:p>
            <w:pPr>
              <w:pStyle w:val="TableContents"/>
              <w:bidi w:val="0"/>
              <w:spacing w:before="0" w:after="0"/>
              <w:ind w:left="0" w:right="0" w:hanging="0"/>
              <w:jc w:val="right"/>
              <w:rPr/>
            </w:pPr>
            <w:r>
              <w:rPr/>
              <w:t> </w:t>
            </w:r>
          </w:p>
        </w:tc>
      </w:tr>
      <w:tr>
        <w:trPr/>
        <w:tc>
          <w:tcPr>
            <w:tcW w:w="65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right"/>
              <w:rPr/>
            </w:pPr>
            <w:r>
              <w:rPr/>
              <w:t> </w:t>
            </w:r>
          </w:p>
        </w:tc>
        <w:tc>
          <w:tcPr>
            <w:tcW w:w="814" w:type="dxa"/>
            <w:tcBorders/>
            <w:vAlign w:val="center"/>
          </w:tcPr>
          <w:p>
            <w:pPr>
              <w:pStyle w:val="TableContents"/>
              <w:bidi w:val="0"/>
              <w:spacing w:before="0" w:after="0"/>
              <w:ind w:left="0" w:right="0" w:firstLine="200"/>
              <w:jc w:val="right"/>
              <w:rPr/>
            </w:pPr>
            <w:r>
              <w:rPr/>
              <w:t> </w:t>
            </w:r>
          </w:p>
        </w:tc>
      </w:tr>
      <w:tr>
        <w:trPr/>
        <w:tc>
          <w:tcPr>
            <w:tcW w:w="65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on finance leases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81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5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Borrowings under related party notes payable</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814" w:type="dxa"/>
            <w:tcBorders/>
            <w:vAlign w:val="center"/>
          </w:tcPr>
          <w:p>
            <w:pPr>
              <w:pStyle w:val="TableContents"/>
              <w:bidi w:val="0"/>
              <w:spacing w:before="0" w:after="0"/>
              <w:ind w:left="0" w:right="0" w:firstLine="200"/>
              <w:jc w:val="left"/>
              <w:rPr/>
            </w:pPr>
            <w:r>
              <w:rPr/>
              <w:t> </w:t>
            </w:r>
          </w:p>
        </w:tc>
      </w:tr>
      <w:tr>
        <w:trPr/>
        <w:tc>
          <w:tcPr>
            <w:tcW w:w="65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contribution</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5,550</w:t>
            </w:r>
          </w:p>
        </w:tc>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 provided by financing activities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25,542</w:t>
            </w:r>
          </w:p>
        </w:tc>
        <w:tc>
          <w:tcPr>
            <w:tcW w:w="814" w:type="dxa"/>
            <w:tcBorders/>
            <w:vAlign w:val="center"/>
          </w:tcPr>
          <w:p>
            <w:pPr>
              <w:pStyle w:val="TableContents"/>
              <w:bidi w:val="0"/>
              <w:spacing w:before="0" w:after="0"/>
              <w:ind w:left="0" w:right="0" w:hanging="0"/>
              <w:jc w:val="left"/>
              <w:rPr/>
            </w:pPr>
            <w:r>
              <w:rPr/>
              <w:t> </w:t>
            </w:r>
          </w:p>
        </w:tc>
      </w:tr>
      <w:tr>
        <w:trPr/>
        <w:tc>
          <w:tcPr>
            <w:tcW w:w="651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right"/>
              <w:rPr/>
            </w:pPr>
            <w:r>
              <w:rPr/>
              <w:t> </w:t>
            </w:r>
          </w:p>
        </w:tc>
        <w:tc>
          <w:tcPr>
            <w:tcW w:w="814" w:type="dxa"/>
            <w:tcBorders/>
            <w:vAlign w:val="center"/>
          </w:tcPr>
          <w:p>
            <w:pPr>
              <w:pStyle w:val="TableContents"/>
              <w:bidi w:val="0"/>
              <w:spacing w:before="0" w:after="0"/>
              <w:ind w:left="0" w:right="0" w:hanging="0"/>
              <w:jc w:val="right"/>
              <w:rPr/>
            </w:pPr>
            <w:r>
              <w:rPr/>
              <w:t> </w:t>
            </w:r>
          </w:p>
        </w:tc>
      </w:tr>
      <w:tr>
        <w:trPr/>
        <w:tc>
          <w:tcPr>
            <w:tcW w:w="65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cash and cash equivalents</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(218,617</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9,244</w:t>
            </w:r>
          </w:p>
        </w:tc>
        <w:tc>
          <w:tcPr>
            <w:tcW w:w="814" w:type="dxa"/>
            <w:tcBorders/>
            <w:vAlign w:val="center"/>
          </w:tcPr>
          <w:p>
            <w:pPr>
              <w:pStyle w:val="TableContents"/>
              <w:bidi w:val="0"/>
              <w:spacing w:before="0" w:after="0"/>
              <w:ind w:left="0" w:right="0" w:hanging="0"/>
              <w:jc w:val="left"/>
              <w:rPr/>
            </w:pPr>
            <w:r>
              <w:rPr/>
              <w:t> </w:t>
            </w:r>
          </w:p>
        </w:tc>
      </w:tr>
      <w:tr>
        <w:trPr/>
        <w:tc>
          <w:tcPr>
            <w:tcW w:w="65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beginning of period</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490,252</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20,558</w:t>
            </w:r>
          </w:p>
        </w:tc>
        <w:tc>
          <w:tcPr>
            <w:tcW w:w="8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end of period</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271,635</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29,802</w:t>
            </w:r>
          </w:p>
        </w:tc>
        <w:tc>
          <w:tcPr>
            <w:tcW w:w="8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1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right"/>
              <w:rPr/>
            </w:pPr>
            <w:r>
              <w:rPr/>
              <w:t> </w:t>
            </w:r>
          </w:p>
        </w:tc>
        <w:tc>
          <w:tcPr>
            <w:tcW w:w="814" w:type="dxa"/>
            <w:tcBorders/>
            <w:vAlign w:val="center"/>
          </w:tcPr>
          <w:p>
            <w:pPr>
              <w:pStyle w:val="TableContents"/>
              <w:bidi w:val="0"/>
              <w:spacing w:before="0" w:after="0"/>
              <w:ind w:left="0" w:right="0" w:hanging="0"/>
              <w:jc w:val="right"/>
              <w:rPr/>
            </w:pPr>
            <w:r>
              <w:rPr/>
              <w:t> </w:t>
            </w:r>
          </w:p>
        </w:tc>
      </w:tr>
      <w:tr>
        <w:trPr/>
        <w:tc>
          <w:tcPr>
            <w:tcW w:w="65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 of non-cash investing activities:</w:t>
            </w:r>
          </w:p>
        </w:tc>
        <w:tc>
          <w:tcPr>
            <w:tcW w:w="146" w:type="dxa"/>
            <w:tcBorders/>
            <w:vAlign w:val="center"/>
          </w:tcPr>
          <w:p>
            <w:pPr>
              <w:pStyle w:val="TableContents"/>
              <w:bidi w:val="0"/>
              <w:spacing w:before="0" w:after="0"/>
              <w:ind w:left="0" w:right="0" w:hanging="0"/>
              <w:jc w:val="left"/>
              <w:rPr/>
            </w:pPr>
            <w:r>
              <w:rPr/>
              <w:t> </w:t>
            </w:r>
          </w:p>
        </w:tc>
        <w:tc>
          <w:tcPr>
            <w:tcW w:w="1244" w:type="dxa"/>
            <w:gridSpan w:val="2"/>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left"/>
              <w:rPr/>
            </w:pPr>
            <w:r>
              <w:rPr/>
              <w:t> </w:t>
            </w:r>
          </w:p>
        </w:tc>
        <w:tc>
          <w:tcPr>
            <w:tcW w:w="1120" w:type="dxa"/>
            <w:gridSpan w:val="2"/>
            <w:tcBorders/>
            <w:vAlign w:val="center"/>
          </w:tcPr>
          <w:p>
            <w:pPr>
              <w:pStyle w:val="TableContents"/>
              <w:bidi w:val="0"/>
              <w:spacing w:before="0" w:after="0"/>
              <w:ind w:left="0" w:right="0" w:hanging="0"/>
              <w:jc w:val="right"/>
              <w:rPr/>
            </w:pPr>
            <w:r>
              <w:rPr/>
              <w:t> </w:t>
            </w:r>
          </w:p>
        </w:tc>
        <w:tc>
          <w:tcPr>
            <w:tcW w:w="814" w:type="dxa"/>
            <w:tcBorders/>
            <w:vAlign w:val="center"/>
          </w:tcPr>
          <w:p>
            <w:pPr>
              <w:pStyle w:val="TableContents"/>
              <w:bidi w:val="0"/>
              <w:spacing w:before="0" w:after="0"/>
              <w:ind w:left="0" w:right="0" w:firstLine="200"/>
              <w:jc w:val="right"/>
              <w:rPr/>
            </w:pPr>
            <w:r>
              <w:rPr/>
              <w:t> </w:t>
            </w:r>
          </w:p>
        </w:tc>
      </w:tr>
      <w:tr>
        <w:trPr/>
        <w:tc>
          <w:tcPr>
            <w:tcW w:w="65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Right of use assets obtained in exchange for lease obligations</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814"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5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Impact of equity transactions and compensation on redeemable noncontrolling interest</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1,352</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814"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5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redemption value of noncontrolling interest</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509,526</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814"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51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Equipment and facility expansion included in accounts payable and</w:t>
              <w:br/>
              <w:t>   accrued expenses</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744</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501</w:t>
            </w:r>
          </w:p>
        </w:tc>
        <w:tc>
          <w:tcPr>
            <w:tcW w:w="8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z w:val="20"/>
        </w:rPr>
      </w:pPr>
      <w:r>
        <w:rPr>
          <w:rFonts w:ascii="Times New Roman;serif" w:hAnsi="Times New Roman;serif"/>
          <w:b/>
          <w:sz w:val="20"/>
        </w:rPr>
        <w:t>ProKidney Corp.</w:t>
      </w:r>
    </w:p>
    <w:p>
      <w:pPr>
        <w:pStyle w:val="TextBody"/>
        <w:bidi w:val="0"/>
        <w:spacing w:before="0" w:after="0"/>
        <w:jc w:val="center"/>
        <w:rPr>
          <w:rFonts w:ascii="Times New Roman" w:hAnsi="Times New Roman"/>
          <w:sz w:val="20"/>
        </w:rPr>
      </w:pPr>
      <w:bookmarkStart w:id="9" w:name="notes_to_unaudited_condensed"/>
      <w:bookmarkEnd w:id="9"/>
      <w:r>
        <w:rPr>
          <w:rFonts w:ascii="Times New Roman;serif" w:hAnsi="Times New Roman;serif"/>
          <w:b/>
          <w:sz w:val="20"/>
        </w:rPr>
        <w:t>Notes to Unaudited Condensed</w:t>
      </w:r>
      <w:r>
        <w:rPr>
          <w:rFonts w:ascii="Times New Roman" w:hAnsi="Times New Roman"/>
          <w:sz w:val="20"/>
        </w:rPr>
        <w:t xml:space="preserve"> </w:t>
      </w:r>
      <w:r>
        <w:rPr>
          <w:rFonts w:ascii="Times New Roman;serif" w:hAnsi="Times New Roman;serif"/>
          <w:b/>
          <w:sz w:val="20"/>
        </w:rPr>
        <w:t>Consolidated Financial Statements</w:t>
      </w:r>
    </w:p>
    <w:p>
      <w:pPr>
        <w:pStyle w:val="TextBody"/>
        <w:bidi w:val="0"/>
        <w:spacing w:before="0" w:after="0"/>
        <w:jc w:val="center"/>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Note 1: Description of Business and Basis of Presentation</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20"/>
        </w:rPr>
      </w:pPr>
      <w:r>
        <w:rPr>
          <w:rFonts w:ascii="Times New Roman;serif" w:hAnsi="Times New Roman;serif"/>
          <w:b/>
          <w:i/>
          <w:sz w:val="20"/>
        </w:rPr>
        <w:t>Description of Business</w:t>
      </w:r>
    </w:p>
    <w:p>
      <w:pPr>
        <w:pStyle w:val="TextBody"/>
        <w:bidi w:val="0"/>
        <w:spacing w:before="120" w:after="0"/>
        <w:jc w:val="left"/>
        <w:rPr>
          <w:rFonts w:ascii="Times New Roman" w:hAnsi="Times New Roman"/>
          <w:sz w:val="20"/>
        </w:rPr>
      </w:pPr>
      <w:r>
        <w:rPr>
          <w:rFonts w:ascii="Times New Roman;serif" w:hAnsi="Times New Roman;serif"/>
          <w:b w:val="false"/>
          <w:sz w:val="20"/>
        </w:rPr>
        <w:t>ProKidney Corp. (the “Company” or “ProKidney”) was originally incorporated as Social Capital Suvretta Holdings Corp. III (“SCS”). SCS was a blank check company incorporated as a Cayman Islands exempted company on February 25, 2021. SCS was incorporated for the purpose of effecting a merger, share exchange, asset acquisition, share purchase, reorganization or similar business combination with one or more businesses.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January 18, 2022, SCS executed a definitive business combination agreement (the “Business Combination Agreement”), with ProKidney LP (“PKLP”), a limited partnership under the laws and regulations of Ireland. Pursuant to the terms of the Business Combination Agreement, PKLP became a subsidiary of SCS and was organized in an umbrella partnership corporation (“Up-C”) structure, which would provide potential future tax benefits for SCS when the equity holders ultimately exchanged their pass-through interests for Class A ordinary shares. The transaction closed (the “Closing”) on July 11, 2022 (the “Closing Date”). Upon consummation of the transaction, SCS changed its name to ProKidney Corp.</w:t>
      </w:r>
    </w:p>
    <w:p>
      <w:pPr>
        <w:pStyle w:val="TextBody"/>
        <w:bidi w:val="0"/>
        <w:spacing w:before="120" w:after="0"/>
        <w:jc w:val="left"/>
        <w:rPr>
          <w:rFonts w:ascii="Times New Roman" w:hAnsi="Times New Roman"/>
          <w:sz w:val="20"/>
        </w:rPr>
      </w:pPr>
      <w:r>
        <w:rPr>
          <w:rFonts w:ascii="Times New Roman;serif" w:hAnsi="Times New Roman;serif"/>
          <w:b w:val="false"/>
          <w:sz w:val="20"/>
        </w:rPr>
        <w:t>The business combination between SCS and PKLP (the “Business Combination”) resulted in gross proceeds of approximately $596,537,000. This amount reflected a contribution of $21,737,000</w:t>
      </w:r>
      <w:r>
        <w:rPr>
          <w:rFonts w:ascii="Times New Roman" w:hAnsi="Times New Roman"/>
          <w:sz w:val="20"/>
        </w:rPr>
        <w:t xml:space="preserve"> </w:t>
      </w:r>
      <w:r>
        <w:rPr>
          <w:rFonts w:ascii="Times New Roman;serif" w:hAnsi="Times New Roman;serif"/>
          <w:b w:val="false"/>
          <w:sz w:val="20"/>
        </w:rPr>
        <w:t>of cash held in SCS’ trust account, net of redemptions, and a $574,800,000</w:t>
      </w:r>
      <w:r>
        <w:rPr>
          <w:rFonts w:ascii="Times New Roman" w:hAnsi="Times New Roman"/>
          <w:sz w:val="20"/>
        </w:rPr>
        <w:t xml:space="preserve"> </w:t>
      </w:r>
      <w:r>
        <w:rPr>
          <w:rFonts w:ascii="Times New Roman;serif" w:hAnsi="Times New Roman;serif"/>
          <w:b w:val="false"/>
          <w:sz w:val="20"/>
        </w:rPr>
        <w:t>concurrent private placement of Class A ordinary shares of the combined company, priced at $10.00</w:t>
      </w:r>
      <w:r>
        <w:rPr>
          <w:rFonts w:ascii="Times New Roman" w:hAnsi="Times New Roman"/>
          <w:sz w:val="20"/>
        </w:rPr>
        <w:t xml:space="preserve"> </w:t>
      </w:r>
      <w:r>
        <w:rPr>
          <w:rFonts w:ascii="Times New Roman;serif" w:hAnsi="Times New Roman;serif"/>
          <w:b w:val="false"/>
          <w:sz w:val="20"/>
        </w:rPr>
        <w:t>per share (the “PIPE Placement”). Upon close, these proceeds were used to repay the outstanding balance of $35,000,000</w:t>
      </w:r>
      <w:r>
        <w:rPr>
          <w:rFonts w:ascii="Times New Roman" w:hAnsi="Times New Roman"/>
          <w:sz w:val="20"/>
        </w:rPr>
        <w:t xml:space="preserve"> </w:t>
      </w:r>
      <w:r>
        <w:rPr>
          <w:rFonts w:ascii="Times New Roman;serif" w:hAnsi="Times New Roman;serif"/>
          <w:b w:val="false"/>
          <w:sz w:val="20"/>
        </w:rPr>
        <w:t>under PKLP’s two promissory note agreements with certain holders of its Class A Units (the “Promissory Notes”) and related accrued interest. Additionally, the proceeds were used to pay those expenses previously incurred by SCS related to the Business Combination of approximately $21,029,000</w:t>
      </w:r>
      <w:r>
        <w:rPr>
          <w:rFonts w:ascii="Times New Roman" w:hAnsi="Times New Roman"/>
          <w:sz w:val="20"/>
        </w:rPr>
        <w:t xml:space="preserve"> </w:t>
      </w:r>
      <w:r>
        <w:rPr>
          <w:rFonts w:ascii="Times New Roman;serif" w:hAnsi="Times New Roman;serif"/>
          <w:b w:val="false"/>
          <w:sz w:val="20"/>
        </w:rPr>
        <w:t>as well as advisory and placement fees of approximately $29,389,000</w:t>
      </w:r>
      <w:r>
        <w:rPr>
          <w:rFonts w:ascii="Times New Roman" w:hAnsi="Times New Roman"/>
          <w:sz w:val="20"/>
        </w:rPr>
        <w:t xml:space="preserve"> </w:t>
      </w:r>
      <w:r>
        <w:rPr>
          <w:rFonts w:ascii="Times New Roman;serif" w:hAnsi="Times New Roman;serif"/>
          <w:b w:val="false"/>
          <w:sz w:val="20"/>
        </w:rPr>
        <w:t>incurred in connection with the PIPE Placement.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Business Combination was accounted for as a reverse recapitalization transaction between entities under common control, through which PKLP was considered the accounting acquiror and predecessor entity. The Business Combination was reflected as the equivalent of PKLP issuing stock for the net assets of SCS accompanied by a recapitalization with no goodwill or intangible assets recognized.</w:t>
      </w:r>
    </w:p>
    <w:p>
      <w:pPr>
        <w:pStyle w:val="TextBody"/>
        <w:bidi w:val="0"/>
        <w:spacing w:before="120" w:after="0"/>
        <w:jc w:val="left"/>
        <w:rPr>
          <w:rFonts w:ascii="Times New Roman" w:hAnsi="Times New Roman"/>
          <w:sz w:val="20"/>
        </w:rPr>
      </w:pPr>
      <w:r>
        <w:rPr>
          <w:rFonts w:ascii="Times New Roman;serif" w:hAnsi="Times New Roman;serif"/>
          <w:b w:val="false"/>
          <w:sz w:val="20"/>
        </w:rPr>
        <w:t>ProKidney Corp., through its operating subsidiaries, ProKidney, which is incorporated under the Cayman Islands Companies Act (as amended) as an exempted company (“ProKidney-KY”) and ProKidney LLC, a limited liability company under the laws of Delaware (“ProKidney-US”) is focused on the development of its Renal Autologous Cell Therapy, which has the potential to preserve kidney function in patients with chronic kidney disease or delay or eliminate the need for dialysis and organ transplantation.</w:t>
      </w:r>
      <w:r>
        <w:rPr>
          <w:rFonts w:ascii="Times New Roman" w:hAnsi="Times New Roman"/>
          <w:sz w:val="20"/>
        </w:rPr>
        <w:t xml:space="preserve"> </w:t>
      </w:r>
    </w:p>
    <w:p>
      <w:pPr>
        <w:pStyle w:val="TextBody"/>
        <w:bidi w:val="0"/>
        <w:spacing w:before="360" w:after="0"/>
        <w:jc w:val="both"/>
        <w:rPr>
          <w:rFonts w:ascii="Times New Roman;serif" w:hAnsi="Times New Roman;serif"/>
          <w:b/>
          <w:i/>
          <w:sz w:val="20"/>
        </w:rPr>
      </w:pPr>
      <w:r>
        <w:rPr>
          <w:rFonts w:ascii="Times New Roman;serif" w:hAnsi="Times New Roman;serif"/>
          <w:b/>
          <w:i/>
          <w:sz w:val="20"/>
        </w:rPr>
        <w:t>Principles of Consolidation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ProKidney is a holding company, and its principal asset is a controlling equity interest in PKLP and its wholly-owned operating subsidiaries ProKidney-KY and ProKidney-US. The Company has determined that PKLP is a variable-interest entity for accounting purposes and that ProKidney is the primary beneficiary of PKLP because (through its managing member interest in PKLP and the fact that the senior management of ProKidney is also the senior management of PKLP) it has the power and benefits to direct all of the activities of PKLP, which include those that most significantly impact PKLP’s economic performance. The Company has therefore consolidated PKLP’s results pursuant to Accounting Standards Codification Topic 810, “Consolidation” in its Condensed Consolidated Financial Statements. As of March 31, 2023, various holders own non-voting interests in PKLP, representing a 73.8% economic interest in PKLP, effectively restricting ProKidney’s interest to 26.2% of PKLP’s economic results, subject to increase in the future, should ProKidney purchase additional non-voting common units (“PKLP Units”) of PKLP, or should the holders of PKLP Units decide to exchange such units (together with shares of Class B ordinary shares) for Class A ordinary shares (or cash) pursuant to the Exchange Agreement (as defined in Note 6). The Company will not be required to provide financial or other support for PKLP. However, ProKidney will control its business and other activities through its managing member interest in PKLP, and its management is the management of PKLP. Nevertheless, because ProKidney will have no material assets other than its interests in PKLP and its subsidiaries, any financial difficulties at PKLP could result in ProKidney recognizing a loss.</w:t>
      </w:r>
    </w:p>
    <w:p>
      <w:pPr>
        <w:pStyle w:val="TextBody"/>
        <w:bidi w:val="0"/>
        <w:spacing w:before="120" w:after="0"/>
        <w:jc w:val="left"/>
        <w:rPr>
          <w:rFonts w:ascii="Times New Roman" w:hAnsi="Times New Roman"/>
          <w:sz w:val="20"/>
        </w:rPr>
      </w:pPr>
      <w:r>
        <w:rPr>
          <w:rFonts w:ascii="Times New Roman;serif" w:hAnsi="Times New Roman;serif"/>
          <w:b w:val="false"/>
          <w:sz w:val="20"/>
        </w:rPr>
        <w:t>All intercompany transactions and balances have been eliminated.</w:t>
      </w:r>
      <w:r>
        <w:rPr>
          <w:rFonts w:ascii="Times New Roman" w:hAnsi="Times New Roman"/>
          <w:sz w:val="20"/>
        </w:rPr>
        <w:t xml:space="preserve"> </w:t>
      </w:r>
    </w:p>
    <w:p>
      <w:pPr>
        <w:pStyle w:val="TextBody"/>
        <w:bidi w:val="0"/>
        <w:spacing w:before="360" w:after="0"/>
        <w:jc w:val="both"/>
        <w:rPr>
          <w:rFonts w:ascii="Times New Roman;serif" w:hAnsi="Times New Roman;serif"/>
          <w:b w:val="false"/>
          <w:sz w:val="20"/>
        </w:rPr>
      </w:pPr>
      <w:r>
        <w:rPr>
          <w:rFonts w:ascii="Times New Roman;serif" w:hAnsi="Times New Roman;serif"/>
          <w:b w:val="false"/>
          <w:sz w:val="20"/>
        </w:rPr>
        <w:br/>
        <w:br/>
        <w:t>.</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Note 2: Significant Accounting Policies</w:t>
      </w:r>
    </w:p>
    <w:p>
      <w:pPr>
        <w:pStyle w:val="TextBody"/>
        <w:bidi w:val="0"/>
        <w:spacing w:before="360" w:after="0"/>
        <w:jc w:val="both"/>
        <w:rPr>
          <w:rFonts w:ascii="Times New Roman;serif" w:hAnsi="Times New Roman;serif"/>
          <w:b/>
          <w:sz w:val="20"/>
        </w:rPr>
      </w:pPr>
      <w:r>
        <w:rPr>
          <w:rFonts w:ascii="Times New Roman;serif" w:hAnsi="Times New Roman;serif"/>
          <w:b/>
          <w:sz w:val="20"/>
        </w:rPr>
        <w:t>Unaudited Interim Financial Statements</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financial statements have been prepared in accordance with accounting principles generally accepted in the United States of America (“GAAP”). The accompanying Condensed Consolidated Balance Sheet as of March 31, 2023, Condensed Consolidated Statements of Operations for the three months ended March 31, 2023 and 2022, Condensed Consolidated Statements of Comprehensive Loss for the three months ended March 31, 2023 and 2022, Condensed Consolidated Statement of Changes in Redeemable Noncontrolling Interest and Shareholders’ Deficit / Members’ Equity for the three months ended March 31, 2023 and 2022 and Condensed Consolidated Statements of Cash Flows for the three months ended March 31, 2023 and 2022 are unaudited. These unaudited financial statements have been prepared in accordance with the rules and regulations of the United States Securities and Exchange Commission (the “SEC”) for interim financial information. Accordingly, they do not include all of the information and footnotes required by GAAP for complete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unaudited interim financial statements have been prepared on the same basis as the annual financial statements and, in the opinion of management, reflect all adjustments (consisting of normal recurring adjustments) necessary to state fairly the Company’s financial position as of March 31, 2023, the results of operations for the three months ended March 31, 2023 and 2022 and cash flows for the three months ended March 31, 2023 and 2022. Certain prior year amounts have been reclassified to conform to the current year presentation. The December 31, 2022 Condensed Consolidated Balance Sheet included herein was derived from the audited financial statements but does not include all disclosures or notes required by GAAP for complete financial statements. These financial statements should be read in conjunction with the audited financial statements and the accompanying notes for the year ended December 31, 2022, contained in the Company’s Annual Report on Form 10-K filed with the SEC on March 28, 2023 as amended on April 27, 2023.</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reference in these notes to applicable guidance is meant to refer to GAAP as found in the Accounting Standards Codification (“ASC”) and Accounting Standards Update (“ASU”) of the Financial Accounting Standards Board (“FASB”). These unaudited consolidated financial statements are presented in U.S. Dollars.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Interim results are not necessarily indicative of results for an entire year.</w:t>
      </w:r>
    </w:p>
    <w:p>
      <w:pPr>
        <w:pStyle w:val="TextBody"/>
        <w:bidi w:val="0"/>
        <w:spacing w:before="360" w:after="0"/>
        <w:jc w:val="both"/>
        <w:rPr>
          <w:rFonts w:ascii="Times New Roman;serif" w:hAnsi="Times New Roman;serif"/>
          <w:b/>
          <w:sz w:val="20"/>
        </w:rPr>
      </w:pPr>
      <w:r>
        <w:rPr>
          <w:rFonts w:ascii="Times New Roman;serif" w:hAnsi="Times New Roman;serif"/>
          <w:b/>
          <w:sz w:val="20"/>
        </w:rPr>
        <w:t>Use of Estimates</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unaudited condensed consolidated financial statements, in accordance with GAAP, requires management to make certain estimates and assumptions that affect the reported amounts of assets and liabilities and disclosure of contingent liabilities at the date of the condensed consolidated financial statements, and the amounts of expenses during the reported periods. Certain estimates in these condensed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w:t>
      </w:r>
      <w:r>
        <w:rPr>
          <w:rFonts w:ascii="Times New Roman" w:hAnsi="Times New Roman"/>
          <w:sz w:val="20"/>
        </w:rPr>
        <w:t xml:space="preserve"> </w:t>
      </w:r>
    </w:p>
    <w:p>
      <w:pPr>
        <w:pStyle w:val="TextBody"/>
        <w:bidi w:val="0"/>
        <w:spacing w:before="360" w:after="0"/>
        <w:jc w:val="both"/>
        <w:rPr>
          <w:rFonts w:ascii="Times New Roman;serif" w:hAnsi="Times New Roman;serif"/>
          <w:b/>
          <w:sz w:val="20"/>
        </w:rPr>
      </w:pPr>
      <w:r>
        <w:rPr>
          <w:rFonts w:ascii="Times New Roman;serif" w:hAnsi="Times New Roman;serif"/>
          <w:b/>
          <w:sz w:val="20"/>
        </w:rPr>
        <w:t>Cash Equivalents and Marketable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considers all highly liquid investments with an original maturity of 90 days or less on the date of purchase to be cash equivalents. The carrying value of cash and cash equivalents approximates fair value due to the short-term nature of these items.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investments in marketable debt securities have been classified and accounted for as available-for-sale. The Company classifies its marketable debt securities as short-term due to its availability for use in its current operations.</w:t>
      </w:r>
    </w:p>
    <w:p>
      <w:pPr>
        <w:pStyle w:val="TextBody"/>
        <w:bidi w:val="0"/>
        <w:spacing w:before="360" w:after="0"/>
        <w:jc w:val="both"/>
        <w:rPr>
          <w:rFonts w:ascii="Times New Roman;serif" w:hAnsi="Times New Roman;serif"/>
          <w:b/>
          <w:sz w:val="20"/>
        </w:rPr>
      </w:pPr>
      <w:r>
        <w:rPr>
          <w:rFonts w:ascii="Times New Roman;serif" w:hAnsi="Times New Roman;serif"/>
          <w:b/>
          <w:sz w:val="20"/>
        </w:rPr>
        <w:t>Concentrations of Credit Risk</w:t>
      </w:r>
    </w:p>
    <w:p>
      <w:pPr>
        <w:pStyle w:val="TextBody"/>
        <w:bidi w:val="0"/>
        <w:spacing w:before="120" w:after="0"/>
        <w:jc w:val="left"/>
        <w:rPr>
          <w:rFonts w:ascii="Times New Roman" w:hAnsi="Times New Roman"/>
          <w:sz w:val="20"/>
        </w:rPr>
      </w:pPr>
      <w:r>
        <w:rPr>
          <w:rFonts w:ascii="Times New Roman;serif" w:hAnsi="Times New Roman;serif"/>
          <w:b w:val="false"/>
          <w:sz w:val="20"/>
        </w:rPr>
        <w:t>Cash and equivalents are the primary financial instruments held by the Company that are potentially subject to concentrations of credit risk. The Company’s cash and equivalents are deposited in accounts at large financial institutions, and such amounts may exceed federally insured limits.</w:t>
      </w:r>
      <w:r>
        <w:rPr>
          <w:rFonts w:ascii="Times New Roman" w:hAnsi="Times New Roman"/>
          <w:sz w:val="20"/>
        </w:rPr>
        <w:t xml:space="preserve"> </w:t>
      </w:r>
    </w:p>
    <w:p>
      <w:pPr>
        <w:pStyle w:val="TextBody"/>
        <w:bidi w:val="0"/>
        <w:spacing w:before="360" w:after="0"/>
        <w:jc w:val="both"/>
        <w:rPr>
          <w:rFonts w:ascii="Times New Roman;serif" w:hAnsi="Times New Roman;serif"/>
          <w:b/>
          <w:sz w:val="20"/>
        </w:rPr>
      </w:pPr>
      <w:r>
        <w:rPr>
          <w:rFonts w:ascii="Times New Roman;serif" w:hAnsi="Times New Roman;serif"/>
          <w:b/>
          <w:sz w:val="20"/>
        </w:rPr>
        <w:t>Accrued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Accrued expenses as presented in the Condensed Consolidated Balance Sheets as of March 31, 2023 and December 31, 2022 consisted of the following (in thousands):</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7199" w:type="dxa"/>
        <w:jc w:val="left"/>
        <w:tblInd w:w="0" w:type="dxa"/>
        <w:tblLayout w:type="fixed"/>
        <w:tblCellMar>
          <w:top w:w="28" w:type="dxa"/>
          <w:left w:w="28" w:type="dxa"/>
          <w:bottom w:w="28" w:type="dxa"/>
          <w:right w:w="28" w:type="dxa"/>
        </w:tblCellMar>
      </w:tblPr>
      <w:tblGrid>
        <w:gridCol w:w="3451"/>
        <w:gridCol w:w="388"/>
        <w:gridCol w:w="1052"/>
        <w:gridCol w:w="146"/>
        <w:gridCol w:w="146"/>
        <w:gridCol w:w="465"/>
        <w:gridCol w:w="1260"/>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w:t>
            </w:r>
          </w:p>
        </w:tc>
        <w:tc>
          <w:tcPr>
            <w:tcW w:w="3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3,355</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Clinical study related costs</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65"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1,636</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Facility expansion costs</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65"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legal costs</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65"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Manufacturing improvement costs</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65"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678</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consulting and professional fees</w:t>
            </w:r>
          </w:p>
        </w:tc>
        <w:tc>
          <w:tcPr>
            <w:tcW w:w="38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65"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1,210</w:t>
            </w:r>
          </w:p>
        </w:tc>
        <w:tc>
          <w:tcPr>
            <w:tcW w:w="2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accrued expenses</w:t>
            </w:r>
          </w:p>
        </w:tc>
        <w:tc>
          <w:tcPr>
            <w:tcW w:w="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345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accrued expenses and other</w:t>
            </w:r>
          </w:p>
        </w:tc>
        <w:tc>
          <w:tcPr>
            <w:tcW w:w="3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7,336</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Research and Development Costs</w:t>
      </w:r>
    </w:p>
    <w:p>
      <w:pPr>
        <w:pStyle w:val="TextBody"/>
        <w:bidi w:val="0"/>
        <w:spacing w:before="120" w:after="0"/>
        <w:jc w:val="left"/>
        <w:rPr>
          <w:rFonts w:ascii="Times New Roman" w:hAnsi="Times New Roman"/>
          <w:sz w:val="20"/>
        </w:rPr>
      </w:pPr>
      <w:r>
        <w:rPr>
          <w:rFonts w:ascii="Times New Roman;serif" w:hAnsi="Times New Roman;serif"/>
          <w:b w:val="false"/>
          <w:sz w:val="20"/>
        </w:rPr>
        <w:t>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records nonrefundable advance payments it makes for future research and development activities as prepaid expenses. Prepaid expenses are recognized as expense in the Condensed Consolidated Statement of Operations and Comprehensive Loss as the Company receives the related goods or services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incurred in obtaining technology licenses are charged to research and development expense as purchased in-process research and development if the technology licensed has not reached technological feasibility and has no alternative future use.</w:t>
      </w:r>
    </w:p>
    <w:p>
      <w:pPr>
        <w:pStyle w:val="TextBody"/>
        <w:bidi w:val="0"/>
        <w:spacing w:before="360" w:after="0"/>
        <w:jc w:val="both"/>
        <w:rPr>
          <w:rFonts w:ascii="Times New Roman;serif" w:hAnsi="Times New Roman;serif"/>
          <w:b/>
          <w:sz w:val="20"/>
        </w:rPr>
      </w:pPr>
      <w:r>
        <w:rPr>
          <w:rFonts w:ascii="Times New Roman;serif" w:hAnsi="Times New Roman;serif"/>
          <w:b/>
          <w:sz w:val="20"/>
        </w:rPr>
        <w:t>Fixed Assets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pStyle w:val="TextBody"/>
        <w:bidi w:val="0"/>
        <w:spacing w:before="0" w:after="0"/>
        <w:jc w:val="both"/>
        <w:rPr/>
      </w:pPr>
      <w:r>
        <w:rPr/>
        <w:t> </w:t>
      </w:r>
    </w:p>
    <w:tbl>
      <w:tblPr>
        <w:tblW w:w="4937" w:type="dxa"/>
        <w:jc w:val="left"/>
        <w:tblInd w:w="0" w:type="dxa"/>
        <w:tblLayout w:type="fixed"/>
        <w:tblCellMar>
          <w:top w:w="28" w:type="dxa"/>
          <w:left w:w="28" w:type="dxa"/>
          <w:bottom w:w="28" w:type="dxa"/>
          <w:right w:w="28" w:type="dxa"/>
        </w:tblCellMar>
      </w:tblPr>
      <w:tblGrid>
        <w:gridCol w:w="2911"/>
        <w:gridCol w:w="2026"/>
      </w:tblGrid>
      <w:tr>
        <w:trPr/>
        <w:tc>
          <w:tcPr>
            <w:tcW w:w="291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 and software</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3-5 years</w:t>
            </w:r>
          </w:p>
        </w:tc>
      </w:tr>
      <w:tr>
        <w:trPr/>
        <w:tc>
          <w:tcPr>
            <w:tcW w:w="29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equipment</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5-7</w:t>
            </w:r>
            <w:r>
              <w:rPr>
                <w:rFonts w:ascii="Times New Roman" w:hAnsi="Times New Roman"/>
                <w:sz w:val="20"/>
              </w:rPr>
              <w:t> </w:t>
            </w:r>
            <w:r>
              <w:rPr>
                <w:rFonts w:ascii="Times New Roman;serif" w:hAnsi="Times New Roman;serif"/>
                <w:b w:val="false"/>
                <w:sz w:val="20"/>
              </w:rPr>
              <w:t>years</w:t>
            </w:r>
          </w:p>
        </w:tc>
      </w:tr>
      <w:tr>
        <w:trPr/>
        <w:tc>
          <w:tcPr>
            <w:tcW w:w="29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lease term</w:t>
            </w:r>
          </w:p>
        </w:tc>
      </w:tr>
    </w:tbl>
    <w:p>
      <w:pPr>
        <w:pStyle w:val="TextBody"/>
        <w:bidi w:val="0"/>
        <w:spacing w:before="0" w:after="0"/>
        <w:jc w:val="both"/>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Fixed assets consisted of the following (in thousands):</w:t>
      </w:r>
    </w:p>
    <w:p>
      <w:pPr>
        <w:pStyle w:val="TextBody"/>
        <w:bidi w:val="0"/>
        <w:spacing w:before="0" w:after="0"/>
        <w:jc w:val="left"/>
        <w:rPr/>
      </w:pPr>
      <w:r>
        <w:rPr/>
        <w:t> </w:t>
      </w:r>
    </w:p>
    <w:tbl>
      <w:tblPr>
        <w:tblW w:w="6799" w:type="dxa"/>
        <w:jc w:val="left"/>
        <w:tblInd w:w="0" w:type="dxa"/>
        <w:tblLayout w:type="fixed"/>
        <w:tblCellMar>
          <w:top w:w="28" w:type="dxa"/>
          <w:left w:w="28" w:type="dxa"/>
          <w:bottom w:w="28" w:type="dxa"/>
          <w:right w:w="28" w:type="dxa"/>
        </w:tblCellMar>
      </w:tblPr>
      <w:tblGrid>
        <w:gridCol w:w="2911"/>
        <w:gridCol w:w="342"/>
        <w:gridCol w:w="1098"/>
        <w:gridCol w:w="166"/>
        <w:gridCol w:w="146"/>
        <w:gridCol w:w="409"/>
        <w:gridCol w:w="1316"/>
        <w:gridCol w:w="411"/>
      </w:tblGrid>
      <w:tr>
        <w:trPr/>
        <w:tc>
          <w:tcPr>
            <w:tcW w:w="291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0"/>
              <w:ind w:left="0" w:right="0" w:hanging="0"/>
              <w:jc w:val="center"/>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equipment</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2,376</w:t>
            </w:r>
          </w:p>
        </w:tc>
        <w:tc>
          <w:tcPr>
            <w:tcW w:w="4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 and software</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w:t>
            </w:r>
          </w:p>
        </w:tc>
        <w:tc>
          <w:tcPr>
            <w:tcW w:w="4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10,537</w:t>
            </w:r>
          </w:p>
        </w:tc>
        <w:tc>
          <w:tcPr>
            <w:tcW w:w="4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342" w:type="dxa"/>
            <w:tcBorders/>
            <w:vAlign w:val="center"/>
          </w:tcPr>
          <w:p>
            <w:pPr>
              <w:pStyle w:val="TableContents"/>
              <w:bidi w:val="0"/>
              <w:spacing w:before="0" w:after="0"/>
              <w:ind w:left="0" w:right="0" w:hanging="0"/>
              <w:jc w:val="left"/>
              <w:rPr/>
            </w:pPr>
            <w:r>
              <w:rPr/>
              <w:t> </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1,614</w:t>
            </w:r>
          </w:p>
        </w:tc>
        <w:tc>
          <w:tcPr>
            <w:tcW w:w="411" w:type="dxa"/>
            <w:tcBorders/>
            <w:vAlign w:val="center"/>
          </w:tcPr>
          <w:p>
            <w:pPr>
              <w:pStyle w:val="TableContents"/>
              <w:bidi w:val="0"/>
              <w:spacing w:before="0" w:after="0"/>
              <w:ind w:left="0" w:right="0" w:hanging="0"/>
              <w:jc w:val="left"/>
              <w:rPr/>
            </w:pPr>
            <w:r>
              <w:rPr/>
              <w:t> </w:t>
            </w:r>
          </w:p>
        </w:tc>
      </w:tr>
      <w:tr>
        <w:trPr/>
        <w:tc>
          <w:tcPr>
            <w:tcW w:w="29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fixed assets, net</w:t>
            </w:r>
          </w:p>
        </w:tc>
        <w:tc>
          <w:tcPr>
            <w:tcW w:w="3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Depreciation expense for the three months ended March 31, 2023 was $626,000. Depreciation expense for the three months ended March 31, 2022 was $593,000.</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serif" w:hAnsi="Times New Roman;serif"/>
          <w:b/>
          <w:sz w:val="20"/>
        </w:rPr>
      </w:pPr>
      <w:r>
        <w:rPr>
          <w:rFonts w:ascii="Times New Roman;serif" w:hAnsi="Times New Roman;serif"/>
          <w:b/>
          <w:sz w:val="20"/>
        </w:rPr>
        <w:t>Intangible Assets</w:t>
      </w:r>
    </w:p>
    <w:p>
      <w:pPr>
        <w:pStyle w:val="TextBody"/>
        <w:bidi w:val="0"/>
        <w:spacing w:before="120" w:after="0"/>
        <w:jc w:val="left"/>
        <w:rPr>
          <w:rFonts w:ascii="Times New Roman" w:hAnsi="Times New Roman"/>
          <w:sz w:val="20"/>
        </w:rPr>
      </w:pPr>
      <w:r>
        <w:rPr>
          <w:rFonts w:ascii="Times New Roman;serif" w:hAnsi="Times New Roman;serif"/>
          <w:b w:val="false"/>
          <w:sz w:val="20"/>
        </w:rPr>
        <w:t>Intangible assets are comprised of acquired assembled workforce, which are accounted for in accordance with ASC 350 - Intangibles - Goodwill and Other. The acquired assembled workforce is amortized on a straight-line basis over the useful life of five years.</w:t>
      </w:r>
      <w:r>
        <w:rPr>
          <w:rFonts w:ascii="Times New Roman" w:hAnsi="Times New Roman"/>
          <w:sz w:val="20"/>
        </w:rPr>
        <w:t xml:space="preserve"> </w:t>
      </w:r>
      <w:r>
        <w:rPr>
          <w:rFonts w:ascii="Times New Roman;serif" w:hAnsi="Times New Roman;serif"/>
          <w:b w:val="false"/>
          <w:sz w:val="20"/>
        </w:rPr>
        <w:t>The following table summarizes information related to the Company’s assembled workforce intangible asset (in thousands):</w:t>
      </w:r>
    </w:p>
    <w:p>
      <w:pPr>
        <w:pStyle w:val="TextBody"/>
        <w:bidi w:val="0"/>
        <w:spacing w:before="0" w:after="0"/>
        <w:jc w:val="left"/>
        <w:rPr/>
      </w:pPr>
      <w:r>
        <w:rPr/>
        <w:t> </w:t>
      </w:r>
    </w:p>
    <w:tbl>
      <w:tblPr>
        <w:tblW w:w="6275" w:type="dxa"/>
        <w:jc w:val="left"/>
        <w:tblInd w:w="0" w:type="dxa"/>
        <w:tblLayout w:type="fixed"/>
        <w:tblCellMar>
          <w:top w:w="28" w:type="dxa"/>
          <w:left w:w="28" w:type="dxa"/>
          <w:bottom w:w="28" w:type="dxa"/>
          <w:right w:w="28" w:type="dxa"/>
        </w:tblCellMar>
      </w:tblPr>
      <w:tblGrid>
        <w:gridCol w:w="2281"/>
        <w:gridCol w:w="146"/>
        <w:gridCol w:w="388"/>
        <w:gridCol w:w="1052"/>
        <w:gridCol w:w="146"/>
        <w:gridCol w:w="146"/>
        <w:gridCol w:w="465"/>
        <w:gridCol w:w="1260"/>
        <w:gridCol w:w="3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Gross carrying amount</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1,073</w:t>
            </w:r>
          </w:p>
        </w:tc>
        <w:tc>
          <w:tcPr>
            <w:tcW w:w="391" w:type="dxa"/>
            <w:tcBorders/>
            <w:vAlign w:val="center"/>
          </w:tcPr>
          <w:p>
            <w:pPr>
              <w:pStyle w:val="TableContents"/>
              <w:bidi w:val="0"/>
              <w:spacing w:before="0" w:after="0"/>
              <w:ind w:left="0" w:right="0" w:hanging="0"/>
              <w:jc w:val="left"/>
              <w:rPr/>
            </w:pPr>
            <w:r>
              <w:rPr/>
              <w:t> </w:t>
            </w:r>
          </w:p>
        </w:tc>
      </w:tr>
      <w:tr>
        <w:trPr/>
        <w:tc>
          <w:tcPr>
            <w:tcW w:w="22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amortization</w:t>
            </w:r>
          </w:p>
        </w:tc>
        <w:tc>
          <w:tcPr>
            <w:tcW w:w="146" w:type="dxa"/>
            <w:tcBorders/>
            <w:vAlign w:val="center"/>
          </w:tcPr>
          <w:p>
            <w:pPr>
              <w:pStyle w:val="TableContents"/>
              <w:bidi w:val="0"/>
              <w:spacing w:before="0" w:after="0"/>
              <w:ind w:left="0" w:right="0" w:hanging="0"/>
              <w:jc w:val="left"/>
              <w:rPr/>
            </w:pPr>
            <w:r>
              <w:rPr/>
              <w:t> </w:t>
            </w:r>
          </w:p>
        </w:tc>
        <w:tc>
          <w:tcPr>
            <w:tcW w:w="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2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carrying amount</w:t>
            </w:r>
          </w:p>
        </w:tc>
        <w:tc>
          <w:tcPr>
            <w:tcW w:w="146" w:type="dxa"/>
            <w:tcBorders/>
            <w:vAlign w:val="center"/>
          </w:tcPr>
          <w:p>
            <w:pPr>
              <w:pStyle w:val="TableContents"/>
              <w:bidi w:val="0"/>
              <w:spacing w:before="0" w:after="0"/>
              <w:ind w:left="0" w:right="0" w:hanging="0"/>
              <w:jc w:val="left"/>
              <w:rPr/>
            </w:pPr>
            <w:r>
              <w:rPr/>
              <w:t> </w:t>
            </w:r>
          </w:p>
        </w:tc>
        <w:tc>
          <w:tcPr>
            <w:tcW w:w="3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Estimated amortization expense as of March 31, 2023</w:t>
      </w:r>
      <w:r>
        <w:rPr>
          <w:rFonts w:ascii="Times New Roman" w:hAnsi="Times New Roman"/>
          <w:sz w:val="20"/>
        </w:rPr>
        <w:t xml:space="preserve"> </w:t>
      </w:r>
      <w:r>
        <w:rPr>
          <w:rFonts w:ascii="Times New Roman;serif" w:hAnsi="Times New Roman;serif"/>
          <w:b w:val="false"/>
          <w:sz w:val="20"/>
        </w:rPr>
        <w:t>for the remaining nine months of 2023 was $154,000</w:t>
      </w:r>
      <w:r>
        <w:rPr>
          <w:rFonts w:ascii="Times New Roman" w:hAnsi="Times New Roman"/>
          <w:sz w:val="20"/>
        </w:rPr>
        <w:t xml:space="preserve"> </w:t>
      </w:r>
      <w:r>
        <w:rPr>
          <w:rFonts w:ascii="Times New Roman;serif" w:hAnsi="Times New Roman;serif"/>
          <w:b w:val="false"/>
          <w:sz w:val="20"/>
        </w:rPr>
        <w:t>and $5,000</w:t>
      </w:r>
      <w:r>
        <w:rPr>
          <w:rFonts w:ascii="Times New Roman" w:hAnsi="Times New Roman"/>
          <w:sz w:val="20"/>
        </w:rPr>
        <w:t xml:space="preserve"> </w:t>
      </w:r>
      <w:r>
        <w:rPr>
          <w:rFonts w:ascii="Times New Roman;serif" w:hAnsi="Times New Roman;serif"/>
          <w:b w:val="false"/>
          <w:sz w:val="20"/>
        </w:rPr>
        <w:t>for the year ended December 31, 2024. Amortization expense relating to the assembled workforce intangible asset was $54,000</w:t>
      </w:r>
      <w:r>
        <w:rPr>
          <w:rFonts w:ascii="Times New Roman" w:hAnsi="Times New Roman"/>
          <w:sz w:val="20"/>
        </w:rPr>
        <w:t xml:space="preserve"> </w:t>
      </w:r>
      <w:r>
        <w:rPr>
          <w:rFonts w:ascii="Times New Roman;serif" w:hAnsi="Times New Roman;serif"/>
          <w:b w:val="false"/>
          <w:sz w:val="20"/>
        </w:rPr>
        <w:t>for each of the three months ended March 31, 2023 and 2022.</w:t>
      </w:r>
      <w:r>
        <w:rPr>
          <w:rFonts w:ascii="Times New Roman" w:hAnsi="Times New Roman"/>
          <w:sz w:val="20"/>
        </w:rPr>
        <w:t xml:space="preserve"> </w:t>
      </w:r>
    </w:p>
    <w:p>
      <w:pPr>
        <w:pStyle w:val="TextBody"/>
        <w:bidi w:val="0"/>
        <w:spacing w:before="360" w:after="0"/>
        <w:jc w:val="both"/>
        <w:rPr>
          <w:rFonts w:ascii="Times New Roman;serif" w:hAnsi="Times New Roman;serif"/>
          <w:b/>
          <w:sz w:val="20"/>
        </w:rPr>
      </w:pPr>
      <w:r>
        <w:rPr>
          <w:rFonts w:ascii="Times New Roman;serif" w:hAnsi="Times New Roman;serif"/>
          <w:b/>
          <w:sz w:val="20"/>
        </w:rPr>
        <w:t>Impairment of Long-Lived Assets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 No impairment charges have been recorded for the three months ended March 31, 2023 and 2022.</w:t>
      </w:r>
    </w:p>
    <w:p>
      <w:pPr>
        <w:pStyle w:val="TextBody"/>
        <w:bidi w:val="0"/>
        <w:spacing w:before="360" w:after="0"/>
        <w:jc w:val="both"/>
        <w:rPr>
          <w:rFonts w:ascii="Times New Roman;serif" w:hAnsi="Times New Roman;serif"/>
          <w:b/>
          <w:sz w:val="20"/>
        </w:rPr>
      </w:pPr>
      <w:r>
        <w:rPr>
          <w:rFonts w:ascii="Times New Roman;serif" w:hAnsi="Times New Roman;serif"/>
          <w:b/>
          <w:sz w:val="20"/>
        </w:rPr>
        <w:t>Income Taxes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March 31, 2023 and December 31, 2022.</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Interest and penalties related to income taxes are included in the benefit (expense) for income taxes in the Company’s Condensed Consolidated Statements of Operations and Comprehensive Loss. The Company has not incurred any significant interest or penalties related to income taxes in any of the periods presented.</w:t>
      </w:r>
    </w:p>
    <w:p>
      <w:pPr>
        <w:pStyle w:val="TextBody"/>
        <w:bidi w:val="0"/>
        <w:spacing w:before="0" w:after="0"/>
        <w:jc w:val="both"/>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Fair Value Measurements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Fair value is defined as the price that would be received to sell an asset or paid to transfer a liability in the principal or most advantageous market for the asset or liability in an orderly transaction between market participants at the measurement date. A three</w:t>
        <w:noBreakHyphen/>
        <w:t>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pStyle w:val="TextBody"/>
        <w:bidi w:val="0"/>
        <w:spacing w:before="0" w:after="0"/>
        <w:jc w:val="both"/>
        <w:rPr/>
      </w:pPr>
      <w:r>
        <w:rPr/>
        <w:t> </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Level 1 – Unadjusted quoted prices in active markets for identical assets or liabilities</w:t>
      </w:r>
    </w:p>
    <w:p>
      <w:pPr>
        <w:pStyle w:val="TextBody"/>
        <w:bidi w:val="0"/>
        <w:spacing w:before="0" w:after="0"/>
        <w:jc w:val="both"/>
        <w:rPr/>
      </w:pPr>
      <w:r>
        <w:rPr/>
        <w:t>•</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Level 2 – Inputs other than quoted prices included within Level 1 that are either directly or indirectly observable through correlation with market data</w:t>
      </w:r>
    </w:p>
    <w:p>
      <w:pPr>
        <w:pStyle w:val="TextBody"/>
        <w:bidi w:val="0"/>
        <w:spacing w:before="0" w:after="0"/>
        <w:jc w:val="both"/>
        <w:rPr/>
      </w:pPr>
      <w:r>
        <w:rPr/>
        <w:t>•</w:t>
      </w:r>
    </w:p>
    <w:p>
      <w:pPr>
        <w:pStyle w:val="TextBody"/>
        <w:bidi w:val="0"/>
        <w:jc w:val="both"/>
        <w:rPr>
          <w:rFonts w:ascii="Times New Roman;serif" w:hAnsi="Times New Roman;serif"/>
          <w:b w:val="false"/>
          <w:sz w:val="20"/>
        </w:rPr>
      </w:pPr>
      <w:r>
        <w:rPr>
          <w:rFonts w:ascii="Times New Roman;serif" w:hAnsi="Times New Roman;serif"/>
          <w:b w:val="false"/>
          <w:sz w:val="20"/>
        </w:rPr>
        <w:t>Level 3 – Unobservable inputs that are supported by little or no market data, which require the reporting entity to develop its own assumptions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The carrying values of cash equivalents, accounts payable, and accrued liabilities approximate fair value due to the short</w:t>
        <w:noBreakHyphen/>
        <w:t>term nature of these instruments.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Leases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determines if an arrangement is a lease at inception. Balances recognized related to the Company’s operating and finance leases are included in right-of-use assets, net and lease liabilities in the Condensed Consolidated Balance Sheets. Right of use assets and lease liabilities are recognized based on the 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Leases with a term of 12 months or less are not recorded on the balance sheet.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pStyle w:val="TextBody"/>
        <w:bidi w:val="0"/>
        <w:spacing w:before="360" w:after="0"/>
        <w:jc w:val="both"/>
        <w:rPr>
          <w:rFonts w:ascii="Times New Roman;serif" w:hAnsi="Times New Roman;serif"/>
          <w:b/>
          <w:sz w:val="20"/>
        </w:rPr>
      </w:pPr>
      <w:r>
        <w:rPr>
          <w:rFonts w:ascii="Times New Roman;serif" w:hAnsi="Times New Roman;serif"/>
          <w:b/>
          <w:sz w:val="20"/>
        </w:rPr>
        <w:t>Contingent Liabilities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records reserves for contingent liabilities when it is probable that an asset has been impaired or a liability has been incurred at the date of the financial statements, and the amount of the loss can be reasonably estimated.</w:t>
      </w:r>
    </w:p>
    <w:p>
      <w:pPr>
        <w:pStyle w:val="TextBody"/>
        <w:bidi w:val="0"/>
        <w:spacing w:before="360" w:after="0"/>
        <w:jc w:val="both"/>
        <w:rPr>
          <w:rFonts w:ascii="Times New Roman;serif" w:hAnsi="Times New Roman;serif"/>
          <w:b/>
          <w:sz w:val="20"/>
        </w:rPr>
      </w:pPr>
      <w:r>
        <w:rPr>
          <w:rFonts w:ascii="Times New Roman;serif" w:hAnsi="Times New Roman;serif"/>
          <w:b/>
          <w:sz w:val="20"/>
        </w:rPr>
        <w:t>Equity-Based Compensation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Compensation expense for share-based compensation awards issued is based on the fair value of the award at the date of grant, and compensation expense is recognized for those awards earned over the service period on a straight-line basis. The Company records forfeitures of share-based compensation awards as they occur.</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The grant date fair value of stock option awards is estimated using the Black-Scholes option pricing formula. Due to the lack of sufficient historical trading information with respect to its own shares, the Company estimates expected volatility based on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 </w:t>
        <w:br/>
        <w:br/>
        <w:br/>
        <w:br/>
      </w:r>
      <w:r>
        <w:rPr>
          <w:rFonts w:ascii="Times New Roman;serif" w:hAnsi="Times New Roman;serif"/>
          <w:b/>
          <w:sz w:val="20"/>
        </w:rPr>
        <w:t>Segments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operates in only one</w:t>
      </w:r>
      <w:r>
        <w:rPr>
          <w:rFonts w:ascii="Times New Roman" w:hAnsi="Times New Roman"/>
          <w:sz w:val="20"/>
        </w:rPr>
        <w:t xml:space="preserve"> </w:t>
      </w:r>
      <w:r>
        <w:rPr>
          <w:rFonts w:ascii="Times New Roman;serif" w:hAnsi="Times New Roman;serif"/>
          <w:b w:val="false"/>
          <w:sz w:val="20"/>
        </w:rPr>
        <w:t>segment.</w:t>
      </w:r>
    </w:p>
    <w:p>
      <w:pPr>
        <w:pStyle w:val="TextBody"/>
        <w:bidi w:val="0"/>
        <w:spacing w:before="360" w:after="0"/>
        <w:jc w:val="left"/>
        <w:rPr>
          <w:rFonts w:ascii="Times New Roman;serif" w:hAnsi="Times New Roman;serif"/>
          <w:b/>
          <w:sz w:val="20"/>
        </w:rPr>
      </w:pPr>
      <w:r>
        <w:rPr>
          <w:rFonts w:ascii="Times New Roman;serif" w:hAnsi="Times New Roman;serif"/>
          <w:b/>
          <w:sz w:val="20"/>
        </w:rPr>
        <w:t>Note 3: Investments</w:t>
      </w:r>
    </w:p>
    <w:p>
      <w:pPr>
        <w:pStyle w:val="TextBody"/>
        <w:bidi w:val="0"/>
        <w:spacing w:before="120" w:after="0"/>
        <w:jc w:val="left"/>
        <w:rPr>
          <w:rFonts w:ascii="Times New Roman" w:hAnsi="Times New Roman"/>
          <w:sz w:val="20"/>
        </w:rPr>
      </w:pPr>
      <w:r>
        <w:rPr>
          <w:rFonts w:ascii="Times New Roman;serif" w:hAnsi="Times New Roman;serif"/>
          <w:b w:val="false"/>
          <w:sz w:val="20"/>
        </w:rPr>
        <w:t>Cash equivalents and marketable securities are measured at fair value and within Level 2 in the fair value hierarchy, because we use quoted market prices to the extent available or alternative pricing sources and models utilizing market observable inputs to determine fair value.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tables summarize our cash equivalents and marketable securities measured at fair value on a recurring basis as of March 31, 2023 (in thousands):</w:t>
      </w:r>
    </w:p>
    <w:p>
      <w:pPr>
        <w:pStyle w:val="TextBody"/>
        <w:bidi w:val="0"/>
        <w:spacing w:before="0" w:after="0"/>
        <w:jc w:val="left"/>
        <w:rPr/>
      </w:pPr>
      <w:r>
        <w:rPr/>
        <w:t> </w:t>
      </w:r>
    </w:p>
    <w:tbl>
      <w:tblPr>
        <w:tblW w:w="10311" w:type="dxa"/>
        <w:jc w:val="left"/>
        <w:tblInd w:w="0" w:type="dxa"/>
        <w:tblLayout w:type="fixed"/>
        <w:tblCellMar>
          <w:top w:w="28" w:type="dxa"/>
          <w:left w:w="28" w:type="dxa"/>
          <w:bottom w:w="28" w:type="dxa"/>
          <w:right w:w="28" w:type="dxa"/>
        </w:tblCellMar>
      </w:tblPr>
      <w:tblGrid>
        <w:gridCol w:w="1126"/>
        <w:gridCol w:w="991"/>
        <w:gridCol w:w="146"/>
        <w:gridCol w:w="213"/>
        <w:gridCol w:w="793"/>
        <w:gridCol w:w="146"/>
        <w:gridCol w:w="146"/>
        <w:gridCol w:w="345"/>
        <w:gridCol w:w="691"/>
        <w:gridCol w:w="146"/>
        <w:gridCol w:w="146"/>
        <w:gridCol w:w="315"/>
        <w:gridCol w:w="721"/>
        <w:gridCol w:w="166"/>
        <w:gridCol w:w="146"/>
        <w:gridCol w:w="211"/>
        <w:gridCol w:w="781"/>
        <w:gridCol w:w="146"/>
        <w:gridCol w:w="146"/>
        <w:gridCol w:w="299"/>
        <w:gridCol w:w="812"/>
        <w:gridCol w:w="146"/>
        <w:gridCol w:w="146"/>
        <w:gridCol w:w="233"/>
        <w:gridCol w:w="863"/>
        <w:gridCol w:w="291"/>
      </w:tblGrid>
      <w:tr>
        <w:trPr/>
        <w:tc>
          <w:tcPr>
            <w:tcW w:w="112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0"/>
              <w:ind w:left="0" w:right="0" w:hanging="0"/>
              <w:jc w:val="center"/>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 Hierarchy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 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Cash Equivalents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Marketable Securities</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Time deposits</w:t>
            </w:r>
          </w:p>
        </w:tc>
        <w:tc>
          <w:tcPr>
            <w:tcW w:w="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4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1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9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32,751</w:t>
            </w:r>
          </w:p>
        </w:tc>
        <w:tc>
          <w:tcPr>
            <w:tcW w:w="2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103,663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4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1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9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103,788</w:t>
            </w:r>
          </w:p>
        </w:tc>
        <w:tc>
          <w:tcPr>
            <w:tcW w:w="2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Government bonds</w:t>
            </w:r>
          </w:p>
        </w:tc>
        <w:tc>
          <w:tcPr>
            <w:tcW w:w="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45"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15"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9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15,810</w:t>
            </w:r>
          </w:p>
        </w:tc>
        <w:tc>
          <w:tcPr>
            <w:tcW w:w="2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39,697</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112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w:t>
            </w:r>
          </w:p>
        </w:tc>
        <w:tc>
          <w:tcPr>
            <w:tcW w:w="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195,715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3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both"/>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195,643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both"/>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192,046</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shows the fair value of the Company’s cash equivalents and marketable securities, by contractual maturity, as of March 31, 2023 (in thousands):</w:t>
      </w:r>
    </w:p>
    <w:p>
      <w:pPr>
        <w:pStyle w:val="TextBody"/>
        <w:bidi w:val="0"/>
        <w:spacing w:before="0" w:after="0"/>
        <w:jc w:val="left"/>
        <w:rPr/>
      </w:pPr>
      <w:r>
        <w:rPr/>
        <w:t> </w:t>
      </w:r>
    </w:p>
    <w:tbl>
      <w:tblPr>
        <w:tblW w:w="4237" w:type="dxa"/>
        <w:jc w:val="left"/>
        <w:tblInd w:w="0" w:type="dxa"/>
        <w:tblLayout w:type="fixed"/>
        <w:tblCellMar>
          <w:top w:w="28" w:type="dxa"/>
          <w:left w:w="28" w:type="dxa"/>
          <w:bottom w:w="28" w:type="dxa"/>
          <w:right w:w="28" w:type="dxa"/>
        </w:tblCellMar>
      </w:tblPr>
      <w:tblGrid>
        <w:gridCol w:w="2506"/>
        <w:gridCol w:w="306"/>
        <w:gridCol w:w="1134"/>
        <w:gridCol w:w="291"/>
      </w:tblGrid>
      <w:tr>
        <w:trPr/>
        <w:tc>
          <w:tcPr>
            <w:tcW w:w="25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center"/>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in 1 year or less</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185,639</w:t>
            </w:r>
          </w:p>
        </w:tc>
        <w:tc>
          <w:tcPr>
            <w:tcW w:w="291"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in 1 year through 5 years</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10,004</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50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195,643</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Note 4: Income Taxes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ProKidney is considered to be an exempted Cayman Islands company and is presently not subject to income taxes or income tax filing requirements in the Cayman Islands or the United States.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Company’s subsidiary, PKLP, is organized as a limited partnership and is classified as a partnership for U.S. income tax purposes, and as such, only records a provision for federal and state income taxes on its subsidiaries organized as C corporations or which have elected to be treated as corporations for U.S. federal income tax purposes.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subsidiary, ProKidney-US, is treated as a C corporation, and therefore a provision for federal and state taxes has been recorded. The difference between the Company’s effective tax rates and the U.S. statutory rate of 21% is primarily attributable to PKLP and ProKidney-KY being treated as partnerships for income tax purposes.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subsidiary, ProKidney-KY, has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an entity disregarded from its owner for U.S. tax purposes, and as a result, it has not recorded an income tax provision.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As discussed in Note 6, the Company is party to a tax receivable agreement with a related party which provides for the payment by the Company to holders of PKLP prior to the Closing (“Closing ProKidney Unitholders”)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March 31, 2023.</w:t>
      </w:r>
    </w:p>
    <w:p>
      <w:pPr>
        <w:pStyle w:val="TextBody"/>
        <w:bidi w:val="0"/>
        <w:spacing w:before="120" w:after="0"/>
        <w:jc w:val="both"/>
        <w:rPr>
          <w:rFonts w:ascii="Times New Roman" w:hAnsi="Times New Roman"/>
          <w:sz w:val="20"/>
        </w:rPr>
      </w:pPr>
      <w:r>
        <w:rPr>
          <w:rFonts w:ascii="Times New Roman;serif" w:hAnsi="Times New Roman;serif"/>
          <w:b w:val="false"/>
          <w:sz w:val="20"/>
        </w:rPr>
        <w:t>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net unrecognized tax benefits as of March 31, 2023 which, if recognized, would affect our effective tax rate. We expect none of the gross unrecognized tax benefits will decrease within the next year.</w:t>
      </w:r>
    </w:p>
    <w:p>
      <w:pPr>
        <w:pStyle w:val="TextBody"/>
        <w:bidi w:val="0"/>
        <w:spacing w:before="120" w:after="0"/>
        <w:jc w:val="both"/>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significant changes in the Company’s uncertain tax positions during the three months ended March 31, 2023.</w:t>
      </w:r>
    </w:p>
    <w:p>
      <w:pPr>
        <w:pStyle w:val="TextBody"/>
        <w:bidi w:val="0"/>
        <w:spacing w:before="360" w:after="0"/>
        <w:jc w:val="left"/>
        <w:rPr>
          <w:rFonts w:ascii="Times New Roman;serif" w:hAnsi="Times New Roman;serif"/>
          <w:b/>
          <w:sz w:val="20"/>
        </w:rPr>
      </w:pPr>
      <w:r>
        <w:rPr>
          <w:rFonts w:ascii="Times New Roman;serif" w:hAnsi="Times New Roman;serif"/>
          <w:b/>
          <w:sz w:val="20"/>
        </w:rPr>
        <w:t>Note 5: Leases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operating leases for real estate (primarily its operating facilities) and certain equipment with various expiration dates. The Company also has one finance lease for certain equipment. For the three months ended March 31, 2023 and 2022, the Company’s rent expense was $212,000</w:t>
      </w:r>
      <w:r>
        <w:rPr>
          <w:rFonts w:ascii="Times New Roman" w:hAnsi="Times New Roman"/>
          <w:sz w:val="20"/>
        </w:rPr>
        <w:t xml:space="preserve"> </w:t>
      </w:r>
      <w:r>
        <w:rPr>
          <w:rFonts w:ascii="Times New Roman;serif" w:hAnsi="Times New Roman;serif"/>
          <w:b w:val="false"/>
          <w:sz w:val="20"/>
        </w:rPr>
        <w:t>and $90,000, respectively. Cash paid for operating leases during the three months ended March 31, 2023, was $203,000.</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classification of operating and finance lease assets and obligations in the Company's Condensed Consolidated Balance Sheets as of March 31, 2023 and December 31, 2022 (in thousands):</w:t>
      </w:r>
    </w:p>
    <w:p>
      <w:pPr>
        <w:pStyle w:val="TextBody"/>
        <w:bidi w:val="0"/>
        <w:spacing w:before="0" w:after="0"/>
        <w:jc w:val="left"/>
        <w:rPr/>
      </w:pPr>
      <w:r>
        <w:rPr/>
        <w:t> </w:t>
      </w:r>
    </w:p>
    <w:tbl>
      <w:tblPr>
        <w:tblW w:w="7175" w:type="dxa"/>
        <w:jc w:val="left"/>
        <w:tblInd w:w="0" w:type="dxa"/>
        <w:tblLayout w:type="fixed"/>
        <w:tblCellMar>
          <w:top w:w="28" w:type="dxa"/>
          <w:left w:w="28" w:type="dxa"/>
          <w:bottom w:w="28" w:type="dxa"/>
          <w:right w:w="28" w:type="dxa"/>
        </w:tblCellMar>
      </w:tblPr>
      <w:tblGrid>
        <w:gridCol w:w="3181"/>
        <w:gridCol w:w="146"/>
        <w:gridCol w:w="388"/>
        <w:gridCol w:w="1052"/>
        <w:gridCol w:w="146"/>
        <w:gridCol w:w="146"/>
        <w:gridCol w:w="465"/>
        <w:gridCol w:w="1260"/>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 of use assets</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2,285</w:t>
            </w:r>
          </w:p>
        </w:tc>
        <w:tc>
          <w:tcPr>
            <w:tcW w:w="391" w:type="dxa"/>
            <w:tcBorders/>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w:t>
            </w:r>
          </w:p>
        </w:tc>
        <w:tc>
          <w:tcPr>
            <w:tcW w:w="391" w:type="dxa"/>
            <w:tcBorders/>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noncurrent</w:t>
            </w:r>
          </w:p>
        </w:tc>
        <w:tc>
          <w:tcPr>
            <w:tcW w:w="146" w:type="dxa"/>
            <w:tcBorders/>
            <w:vAlign w:val="center"/>
          </w:tcPr>
          <w:p>
            <w:pPr>
              <w:pStyle w:val="TableContents"/>
              <w:bidi w:val="0"/>
              <w:spacing w:before="0" w:after="0"/>
              <w:ind w:left="0" w:right="0" w:hanging="0"/>
              <w:jc w:val="left"/>
              <w:rPr/>
            </w:pPr>
            <w:r>
              <w:rPr/>
              <w:t> </w:t>
            </w:r>
          </w:p>
        </w:tc>
        <w:tc>
          <w:tcPr>
            <w:tcW w:w="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1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2,316</w:t>
            </w:r>
          </w:p>
        </w:tc>
        <w:tc>
          <w:tcPr>
            <w:tcW w:w="391" w:type="dxa"/>
            <w:tcBorders/>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Finance leases:</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 of use assets</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391" w:type="dxa"/>
            <w:tcBorders/>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liabilities, current</w:t>
            </w:r>
          </w:p>
        </w:tc>
        <w:tc>
          <w:tcPr>
            <w:tcW w:w="1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391" w:type="dxa"/>
            <w:tcBorders/>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liabilities, noncurrent</w:t>
            </w:r>
          </w:p>
        </w:tc>
        <w:tc>
          <w:tcPr>
            <w:tcW w:w="146" w:type="dxa"/>
            <w:tcBorders/>
            <w:vAlign w:val="center"/>
          </w:tcPr>
          <w:p>
            <w:pPr>
              <w:pStyle w:val="TableContents"/>
              <w:bidi w:val="0"/>
              <w:spacing w:before="0" w:after="0"/>
              <w:ind w:left="0" w:right="0" w:hanging="0"/>
              <w:jc w:val="left"/>
              <w:rPr/>
            </w:pPr>
            <w:r>
              <w:rPr/>
              <w:t> </w:t>
            </w:r>
          </w:p>
        </w:tc>
        <w:tc>
          <w:tcPr>
            <w:tcW w:w="3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1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finance lease liabilities</w:t>
            </w:r>
          </w:p>
        </w:tc>
        <w:tc>
          <w:tcPr>
            <w:tcW w:w="146" w:type="dxa"/>
            <w:tcBorders/>
            <w:vAlign w:val="center"/>
          </w:tcPr>
          <w:p>
            <w:pPr>
              <w:pStyle w:val="TableContents"/>
              <w:bidi w:val="0"/>
              <w:spacing w:before="0" w:after="0"/>
              <w:ind w:left="0" w:right="0" w:hanging="0"/>
              <w:jc w:val="left"/>
              <w:rPr/>
            </w:pPr>
            <w:r>
              <w:rPr/>
              <w:t> </w:t>
            </w:r>
          </w:p>
        </w:tc>
        <w:tc>
          <w:tcPr>
            <w:tcW w:w="3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Maturities of lease liabilities for the Company’s operating and finance leases are as follows as of March 31, 2023 (in thousands):</w:t>
      </w:r>
    </w:p>
    <w:p>
      <w:pPr>
        <w:pStyle w:val="TextBody"/>
        <w:bidi w:val="0"/>
        <w:spacing w:before="0" w:after="0"/>
        <w:jc w:val="both"/>
        <w:rPr/>
      </w:pPr>
      <w:r>
        <w:rPr/>
        <w:t> </w:t>
      </w:r>
    </w:p>
    <w:tbl>
      <w:tblPr>
        <w:tblW w:w="7434" w:type="dxa"/>
        <w:jc w:val="left"/>
        <w:tblInd w:w="0" w:type="dxa"/>
        <w:tblLayout w:type="fixed"/>
        <w:tblCellMar>
          <w:top w:w="28" w:type="dxa"/>
          <w:left w:w="28" w:type="dxa"/>
          <w:bottom w:w="28" w:type="dxa"/>
          <w:right w:w="28" w:type="dxa"/>
        </w:tblCellMar>
      </w:tblPr>
      <w:tblGrid>
        <w:gridCol w:w="2686"/>
        <w:gridCol w:w="146"/>
        <w:gridCol w:w="428"/>
        <w:gridCol w:w="1162"/>
        <w:gridCol w:w="166"/>
        <w:gridCol w:w="146"/>
        <w:gridCol w:w="464"/>
        <w:gridCol w:w="931"/>
        <w:gridCol w:w="166"/>
        <w:gridCol w:w="146"/>
        <w:gridCol w:w="211"/>
        <w:gridCol w:w="57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5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Operating Leases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Finance Leases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901</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881</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794</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left"/>
              <w:rPr/>
            </w:pPr>
            <w:r>
              <w:rPr/>
              <w:t> </w:t>
            </w:r>
          </w:p>
        </w:tc>
        <w:tc>
          <w:tcPr>
            <w:tcW w:w="11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3,775</w:t>
            </w:r>
          </w:p>
        </w:tc>
        <w:tc>
          <w:tcPr>
            <w:tcW w:w="2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lease liabilities</w:t>
            </w:r>
          </w:p>
        </w:tc>
        <w:tc>
          <w:tcPr>
            <w:tcW w:w="146" w:type="dxa"/>
            <w:tcBorders/>
            <w:vAlign w:val="center"/>
          </w:tcPr>
          <w:p>
            <w:pPr>
              <w:pStyle w:val="TableContents"/>
              <w:bidi w:val="0"/>
              <w:spacing w:before="0" w:after="0"/>
              <w:ind w:left="0" w:right="0" w:hanging="0"/>
              <w:jc w:val="left"/>
              <w:rPr/>
            </w:pPr>
            <w:r>
              <w:rPr/>
              <w:t> </w:t>
            </w:r>
          </w:p>
        </w:tc>
        <w:tc>
          <w:tcPr>
            <w:tcW w:w="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The weighted average remaining lease term for operating leases is 4.2 years, and 5.0</w:t>
      </w:r>
      <w:r>
        <w:rPr>
          <w:rFonts w:ascii="Times New Roman" w:hAnsi="Times New Roman"/>
          <w:sz w:val="20"/>
        </w:rPr>
        <w:t xml:space="preserve"> </w:t>
      </w:r>
      <w:r>
        <w:rPr>
          <w:rFonts w:ascii="Times New Roman;serif" w:hAnsi="Times New Roman;serif"/>
          <w:b w:val="false"/>
          <w:sz w:val="20"/>
        </w:rPr>
        <w:t>years for finance leases. The weighted average discount rate for operating leases is 9.5% and 6.8% for finance leases.</w:t>
      </w:r>
    </w:p>
    <w:p>
      <w:pPr>
        <w:pStyle w:val="TextBody"/>
        <w:bidi w:val="0"/>
        <w:spacing w:before="360" w:after="0"/>
        <w:jc w:val="both"/>
        <w:rPr>
          <w:rFonts w:ascii="Times New Roman;serif" w:hAnsi="Times New Roman;serif"/>
          <w:b/>
          <w:sz w:val="20"/>
        </w:rPr>
      </w:pPr>
      <w:r>
        <w:rPr>
          <w:rFonts w:ascii="Times New Roman;serif" w:hAnsi="Times New Roman;serif"/>
          <w:b/>
          <w:sz w:val="20"/>
        </w:rPr>
        <w:t>Note 6: Related Party Transactions</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Exchange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the Closing Date, the Company entered into an exchange agreement with PKLP and certain Closing ProKidney Unitholders (the “Exchange Agreement”) pursuant to which, subject to the procedures and restrictions therein, from and after the waiver or expiration of any contractual lock-up period (including pursuant to the Lock-Up Agreement (as defined below)) the holders of Post-Combination ProKidney Common Units as defined in the Exchange Agreement (or certain permitted transferees thereof) will have the right from time to time at and after 180 days following the Closing to exchange their Post-Combination ProKidney Common Units and an equal number of Class B ordinary shares of the Company on a one-for-one basis for Class A ordinary shares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Class A ordinary share.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 Company and its subsidiaries to which the holder of Post-Combination ProKidney Common Units may be subject, including the Second Amended and Restated ProKidney Limited Partnership Agreement and the Exchange Agreement.</w:t>
      </w:r>
    </w:p>
    <w:p>
      <w:pPr>
        <w:pStyle w:val="TextBody"/>
        <w:bidi w:val="0"/>
        <w:spacing w:before="360" w:after="0"/>
        <w:jc w:val="both"/>
        <w:rPr>
          <w:rFonts w:ascii="Times New Roman" w:hAnsi="Times New Roman"/>
          <w:sz w:val="20"/>
        </w:rPr>
      </w:pPr>
      <w:r>
        <w:rPr>
          <w:rFonts w:ascii="Times New Roman;serif" w:hAnsi="Times New Roman;serif"/>
          <w:b w:val="false"/>
          <w:i/>
          <w:sz w:val="20"/>
        </w:rPr>
        <w:t>Lock-Up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the Closing Date, the Company, SCS Sponsor III LLC and certain Closing ProKidney Unitholders entered into a lock-up agreement (the “Lock-Up Agreement”). The Lock-Up Agreement contains certain restrictions on transfer with respect to the SCS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Sponsor III LLC and the Closing ProKidney Unitholders party thereto. Such restrictions begin at the Closing and end on the earlier of (i) the date that is 180 days after the Closing and (ii)(a) for 33% of the Lock-Up Shares (other than the Earnout Shares and the PIPE Shares), the date on which the last reported sale price of a Class A ordinary share of the Company equals or exceeds $12.50 per share for any 20 trading days within any 30-trading day period commencing at least 30 days after the Closing and (b) for an additional 50% of the Lock-Up Shares (other than the Earnout Shares and the Private Placement Shares (as each such term is defined in the Lock-Up Agreement)), the date on which the last reported sale price of a Class A ordinary share of the Company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PKLP receives notice of any regulatory market authorization, including full or conditional authorization, to market its lead product candidate, Renal Autologous Cell Therapy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January 2023, the lock-up period for 50% of the shares held by the Closing ProKidney Unitholders (other than the Earnout Shares) expired.</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Tax Receivable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the Closing Date, the Company entered into a tax receivable agreement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Class A ordinary shares of the Company or, subject to certain restrictions, cash, pursuant to the Exchange Agreement and certain other tax attributes of PKLP and tax benefits related to entering into the Tax Receivable Agreement.</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Earnout Rights</w:t>
      </w:r>
    </w:p>
    <w:p>
      <w:pPr>
        <w:pStyle w:val="TextBody"/>
        <w:bidi w:val="0"/>
        <w:spacing w:before="120" w:after="0"/>
        <w:jc w:val="left"/>
        <w:rPr>
          <w:rFonts w:ascii="Times New Roman" w:hAnsi="Times New Roman"/>
          <w:sz w:val="20"/>
        </w:rPr>
      </w:pPr>
      <w:r>
        <w:rPr>
          <w:rFonts w:ascii="Times New Roman;serif" w:hAnsi="Times New Roman;serif"/>
          <w:b w:val="false"/>
          <w:sz w:val="20"/>
        </w:rPr>
        <w:t>At the Closing, certain shareholders were issued an aggregate of 17,500,000</w:t>
      </w:r>
      <w:r>
        <w:rPr>
          <w:rFonts w:ascii="Times New Roman" w:hAnsi="Times New Roman"/>
          <w:sz w:val="20"/>
        </w:rPr>
        <w:t xml:space="preserve"> </w:t>
      </w:r>
      <w:r>
        <w:rPr>
          <w:rFonts w:ascii="Times New Roman;serif" w:hAnsi="Times New Roman;serif"/>
          <w:b w:val="false"/>
          <w:sz w:val="20"/>
        </w:rPr>
        <w:t>Earnout Restricted Common Units and 17,500,000</w:t>
      </w:r>
      <w:r>
        <w:rPr>
          <w:rFonts w:ascii="Times New Roman" w:hAnsi="Times New Roman"/>
          <w:sz w:val="20"/>
        </w:rPr>
        <w:t xml:space="preserve"> </w:t>
      </w:r>
      <w:r>
        <w:rPr>
          <w:rFonts w:ascii="Times New Roman;serif" w:hAnsi="Times New Roman;serif"/>
          <w:b w:val="false"/>
          <w:sz w:val="20"/>
        </w:rPr>
        <w:t>Earnout Restricted Stock Rights (collectively, the “Earnout Rights”).</w:t>
      </w:r>
      <w:r>
        <w:rPr>
          <w:rFonts w:ascii="Times New Roman" w:hAnsi="Times New Roman"/>
          <w:sz w:val="20"/>
        </w:rPr>
        <w:t xml:space="preserve"> </w:t>
      </w:r>
      <w:r>
        <w:rPr>
          <w:rFonts w:ascii="Times New Roman;serif" w:hAnsi="Times New Roman;serif"/>
          <w:b w:val="false"/>
          <w:sz w:val="20"/>
        </w:rPr>
        <w:t>The Earnout Rights vest in three equal tranches if, during the five-year</w:t>
      </w:r>
      <w:r>
        <w:rPr>
          <w:rFonts w:ascii="Times New Roman" w:hAnsi="Times New Roman"/>
          <w:sz w:val="20"/>
        </w:rPr>
        <w:t xml:space="preserve"> </w:t>
      </w:r>
      <w:r>
        <w:rPr>
          <w:rFonts w:ascii="Times New Roman;serif" w:hAnsi="Times New Roman;serif"/>
          <w:b w:val="false"/>
          <w:sz w:val="20"/>
        </w:rPr>
        <w:t>period after Closing, the VWAP of a Class A ordinary share reaches $15.00</w:t>
      </w:r>
      <w:r>
        <w:rPr>
          <w:rFonts w:ascii="Times New Roman" w:hAnsi="Times New Roman"/>
          <w:sz w:val="20"/>
        </w:rPr>
        <w:t xml:space="preserve"> </w:t>
      </w:r>
      <w:r>
        <w:rPr>
          <w:rFonts w:ascii="Times New Roman;serif" w:hAnsi="Times New Roman;serif"/>
          <w:b w:val="false"/>
          <w:sz w:val="20"/>
        </w:rPr>
        <w:t>per share, $20.00</w:t>
      </w:r>
      <w:r>
        <w:rPr>
          <w:rFonts w:ascii="Times New Roman" w:hAnsi="Times New Roman"/>
          <w:sz w:val="20"/>
        </w:rPr>
        <w:t xml:space="preserve"> </w:t>
      </w:r>
      <w:r>
        <w:rPr>
          <w:rFonts w:ascii="Times New Roman;serif" w:hAnsi="Times New Roman;serif"/>
          <w:b w:val="false"/>
          <w:sz w:val="20"/>
        </w:rPr>
        <w:t>per share and $25.00</w:t>
      </w:r>
      <w:r>
        <w:rPr>
          <w:rFonts w:ascii="Times New Roman" w:hAnsi="Times New Roman"/>
          <w:sz w:val="20"/>
        </w:rPr>
        <w:t xml:space="preserve"> </w:t>
      </w:r>
      <w:r>
        <w:rPr>
          <w:rFonts w:ascii="Times New Roman;serif" w:hAnsi="Times New Roman;serif"/>
          <w:b w:val="false"/>
          <w:sz w:val="20"/>
        </w:rPr>
        <w:t>per share. Likewise, the Earnout Rights will vest upon a change of control with a per share price exceeding the those same VWAP thresholds within a five-year period immediately following the Closing. Upon vesting, the Earnout Rights will automatically convert into Post Combination ProKidney Common Units and Class B ordinary shares.</w:t>
      </w:r>
      <w:r>
        <w:rPr>
          <w:rFonts w:ascii="Times New Roman" w:hAnsi="Times New Roman"/>
          <w:sz w:val="20"/>
        </w:rPr>
        <w:t xml:space="preserve"> </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Related Party Debt</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18, 2022, in connection with the execution of the Business Combination Agreement, the Company entered into the Promissory Notes. Through the Promissory Notes, the holders could fund up to $100,000,000</w:t>
      </w:r>
      <w:r>
        <w:rPr>
          <w:rFonts w:ascii="Times New Roman" w:hAnsi="Times New Roman"/>
          <w:sz w:val="20"/>
        </w:rPr>
        <w:t xml:space="preserve"> </w:t>
      </w:r>
      <w:r>
        <w:rPr>
          <w:rFonts w:ascii="Times New Roman;serif" w:hAnsi="Times New Roman;serif"/>
          <w:b w:val="false"/>
          <w:sz w:val="20"/>
        </w:rPr>
        <w:t>to support the operational financing needs of the Company prior to the Closing. These notes bore interest at a rate of 3% per annum and were due upon the earliest of either (i) the date on which the Business Combination closed or (ii) January 17, 2023.</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March 31, 2022, the Company borrowed $20,000,000</w:t>
      </w:r>
      <w:r>
        <w:rPr>
          <w:rFonts w:ascii="Times New Roman" w:hAnsi="Times New Roman"/>
          <w:sz w:val="20"/>
        </w:rPr>
        <w:t xml:space="preserve"> </w:t>
      </w:r>
      <w:r>
        <w:rPr>
          <w:rFonts w:ascii="Times New Roman;serif" w:hAnsi="Times New Roman;serif"/>
          <w:b w:val="false"/>
          <w:sz w:val="20"/>
        </w:rPr>
        <w:t>under the Promissory Notes. The amounts due under the Promissory Notes were paid, and the Promissory Notes were effectively terminated, upon Closing as described in Note 1.</w:t>
      </w:r>
    </w:p>
    <w:p>
      <w:pPr>
        <w:pStyle w:val="TextBody"/>
        <w:bidi w:val="0"/>
        <w:spacing w:before="360" w:after="0"/>
        <w:jc w:val="both"/>
        <w:rPr>
          <w:rFonts w:ascii="Times New Roman" w:hAnsi="Times New Roman"/>
          <w:sz w:val="20"/>
        </w:rPr>
      </w:pPr>
      <w:r>
        <w:rPr>
          <w:rFonts w:ascii="Times New Roman;serif" w:hAnsi="Times New Roman;serif"/>
          <w:b w:val="false"/>
          <w:i/>
          <w:sz w:val="20"/>
        </w:rPr>
        <w:t>Consulting Services Agreement between ProKidney-KY and Nefro Health</w:t>
      </w:r>
      <w:r>
        <w:rPr>
          <w:rFonts w:ascii="Times New Roman;serif" w:hAnsi="Times New Roman;serif"/>
          <w:b w:val="false"/>
          <w:sz w:val="20"/>
        </w:rPr>
        <w:br/>
      </w:r>
      <w:r>
        <w:rPr>
          <w:rFonts w:ascii="Times New Roman" w:hAnsi="Times New Roman"/>
          <w:sz w:val="20"/>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1, 2020, ProKidney-KY (formerly known as inRegen) entered into a consulting services agreement with Nefro Health (“Nefro”), an Irish partnership controlled and majority-owned by Mr. Pablo Legorreta, a director of the Company ProKidney GP Limited, a private limited company incorporated under the laws of Ireland (“Legacy GP”) and a holder of over 5% of Class A Units in PKLP,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which are primarily performed by Mr. Pablo Legorreta. Under the agreement, Nefro receives $25,000</w:t>
      </w:r>
      <w:r>
        <w:rPr>
          <w:rFonts w:ascii="Times New Roman" w:hAnsi="Times New Roman"/>
          <w:sz w:val="20"/>
        </w:rPr>
        <w:t xml:space="preserve"> </w:t>
      </w:r>
      <w:r>
        <w:rPr>
          <w:rFonts w:ascii="Times New Roman;serif" w:hAnsi="Times New Roman;serif"/>
          <w:b w:val="false"/>
          <w:sz w:val="20"/>
        </w:rPr>
        <w:t>per quarter and is reimbursed for any out-of-pocket expenses incurred in connection with activities Nefro conducted under the agreement. ProKidney-KY has paid Nefro an aggregate of $25,000</w:t>
      </w:r>
      <w:r>
        <w:rPr>
          <w:rFonts w:ascii="Times New Roman" w:hAnsi="Times New Roman"/>
          <w:sz w:val="20"/>
        </w:rPr>
        <w:t xml:space="preserve"> </w:t>
      </w:r>
      <w:r>
        <w:rPr>
          <w:rFonts w:ascii="Times New Roman;serif" w:hAnsi="Times New Roman;serif"/>
          <w:b w:val="false"/>
          <w:sz w:val="20"/>
        </w:rPr>
        <w:t>for the three month periods ended March 31, 2023 and 2022.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ProKidney-KY will be obligated to pay Nefro any earned but unpaid consulting fee as of the termination date.</w:t>
        <w:br/>
      </w:r>
      <w:r>
        <w:rPr>
          <w:rFonts w:ascii="Times New Roman" w:hAnsi="Times New Roman"/>
          <w:sz w:val="20"/>
        </w:rPr>
        <w:t> </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Consulting Services Agreement between ProKidney-US and Nefro Health</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1, 2020, ProKidney-US (formerly known as Twin City Bio, LLC) entered into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which are primarily performed by Mr. Pablo Legorreta. Under the agreement, Nefro receives $25,000</w:t>
      </w:r>
      <w:r>
        <w:rPr>
          <w:rFonts w:ascii="Times New Roman" w:hAnsi="Times New Roman"/>
          <w:sz w:val="20"/>
        </w:rPr>
        <w:t xml:space="preserve"> </w:t>
      </w:r>
      <w:r>
        <w:rPr>
          <w:rFonts w:ascii="Times New Roman;serif" w:hAnsi="Times New Roman;serif"/>
          <w:b w:val="false"/>
          <w:sz w:val="20"/>
        </w:rPr>
        <w:t>per quarter and is reimbursed for any out-of-pocket expenses incurred in connection with activities Nefro conducted under the agreement. ProKidney-US has paid Nefro an aggregate of $25,000</w:t>
      </w:r>
      <w:r>
        <w:rPr>
          <w:rFonts w:ascii="Times New Roman" w:hAnsi="Times New Roman"/>
          <w:sz w:val="20"/>
        </w:rPr>
        <w:t xml:space="preserve"> </w:t>
      </w:r>
      <w:r>
        <w:rPr>
          <w:rFonts w:ascii="Times New Roman;serif" w:hAnsi="Times New Roman;serif"/>
          <w:b w:val="false"/>
          <w:sz w:val="20"/>
        </w:rPr>
        <w:t>for the three month periods ended March 31, 2023</w:t>
      </w:r>
      <w:r>
        <w:rPr>
          <w:rFonts w:ascii="Times New Roman" w:hAnsi="Times New Roman"/>
          <w:sz w:val="20"/>
        </w:rPr>
        <w:t xml:space="preserve"> </w:t>
      </w:r>
      <w:r>
        <w:rPr>
          <w:rFonts w:ascii="Times New Roman;serif" w:hAnsi="Times New Roman;serif"/>
          <w:b w:val="false"/>
          <w:sz w:val="20"/>
        </w:rPr>
        <w:t>and 2022.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pStyle w:val="TextBody"/>
        <w:bidi w:val="0"/>
        <w:spacing w:before="360" w:after="0"/>
        <w:jc w:val="both"/>
        <w:rPr>
          <w:rFonts w:ascii="Times New Roman;serif" w:hAnsi="Times New Roman;serif"/>
          <w:b/>
          <w:sz w:val="20"/>
        </w:rPr>
      </w:pPr>
      <w:r>
        <w:rPr>
          <w:rFonts w:ascii="Times New Roman;serif" w:hAnsi="Times New Roman;serif"/>
          <w:b/>
          <w:sz w:val="20"/>
        </w:rPr>
        <w:t>Note 7: Redeemable Noncontrolling Interest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is subject to the Exchange Agreement with respect to the Post-Combination ProKidney Common Units representing the outstanding 73.8% noncontrolling interest in PKLP (see Note 1). The Exchange Agreement requires the surrender of an equal number of Post-Combination ProKidney Common Units and Class B ordinary shares for (i) Class A ordinary shares on a one-for-one basis or (ii) cash (based on the fair market value of the Class A ordinary shares as determined pursuant to the Exchange Agreement), at the Company’s option (as the managing member of PKLP), subject to customary conversion rate adjustments for share splits, share dividends and reclassifications. The exchange value is determined based on a five-day VWAP of the Class A ordinary shares as defined in the Exchange Agreement, subject to customary conversion rate adjustments for share splits, share dividends and reclassifications.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redeemable noncontrolling interest is recognized at the higher of (1) its initial fair value plus accumulated earnings/losses associated with the noncontrolling interest or (2) the redemption value as of the balance sheet date. At March 31, 2023, the redeemable noncontrolling interest was recorded based on the redemption value as of the balance sheet date which was higher than its initial fair value plus accumulated losses associated with the noncontrolling interest.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the Company’s ownership interest in PKLP while the Company retains its controlling interest in PKLP are accounted for as equity transactions, and the Company is required to adjust noncontrolling interest and equity for such changes. The following is a summary of net income attributable to the Company and transfers to noncontrolling interest (in thousands):</w:t>
      </w:r>
    </w:p>
    <w:p>
      <w:pPr>
        <w:pStyle w:val="TextBody"/>
        <w:bidi w:val="0"/>
        <w:spacing w:before="0" w:after="0"/>
        <w:jc w:val="both"/>
        <w:rPr/>
      </w:pPr>
      <w:r>
        <w:rPr/>
        <w:t> </w:t>
      </w:r>
    </w:p>
    <w:tbl>
      <w:tblPr>
        <w:tblW w:w="8702" w:type="dxa"/>
        <w:jc w:val="left"/>
        <w:tblInd w:w="0" w:type="dxa"/>
        <w:tblLayout w:type="fixed"/>
        <w:tblCellMar>
          <w:top w:w="28" w:type="dxa"/>
          <w:left w:w="28" w:type="dxa"/>
          <w:bottom w:w="28" w:type="dxa"/>
          <w:right w:w="28" w:type="dxa"/>
        </w:tblCellMar>
      </w:tblPr>
      <w:tblGrid>
        <w:gridCol w:w="6541"/>
        <w:gridCol w:w="434"/>
        <w:gridCol w:w="1516"/>
        <w:gridCol w:w="211"/>
      </w:tblGrid>
      <w:tr>
        <w:trPr/>
        <w:tc>
          <w:tcPr>
            <w:tcW w:w="654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541" w:type="dxa"/>
            <w:tcBorders/>
            <w:vAlign w:val="center"/>
          </w:tcPr>
          <w:p>
            <w:pPr>
              <w:pStyle w:val="TableContents"/>
              <w:bidi w:val="0"/>
              <w:spacing w:before="0" w:after="0"/>
              <w:ind w:left="0" w:right="0" w:hanging="0"/>
              <w:jc w:val="center"/>
              <w:rPr/>
            </w:pPr>
            <w:r>
              <w:rPr/>
              <w:t> </w:t>
            </w:r>
          </w:p>
        </w:tc>
        <w:tc>
          <w:tcPr>
            <w:tcW w:w="19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w:t>
              <w:br/>
              <w:t>Ended March 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available to Class A ordinary shareholders</w:t>
            </w:r>
          </w:p>
        </w:tc>
        <w:tc>
          <w:tcPr>
            <w:tcW w:w="4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(Increase)/Decrease in ProKidney Corp. accumulated deficit for impact of</w:t>
              <w:br/>
              <w:t>   subsidiary equity-based compensation</w:t>
            </w:r>
          </w:p>
        </w:tc>
        <w:tc>
          <w:tcPr>
            <w:tcW w:w="434"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2,457</w:t>
            </w:r>
          </w:p>
        </w:tc>
        <w:tc>
          <w:tcPr>
            <w:tcW w:w="211" w:type="dxa"/>
            <w:tcBorders/>
            <w:vAlign w:val="center"/>
          </w:tcPr>
          <w:p>
            <w:pPr>
              <w:pStyle w:val="TableContents"/>
              <w:bidi w:val="0"/>
              <w:spacing w:before="0" w:after="0"/>
              <w:ind w:left="0" w:right="0" w:hanging="0"/>
              <w:jc w:val="left"/>
              <w:rPr/>
            </w:pPr>
            <w:r>
              <w:rPr/>
              <w:t> </w:t>
            </w:r>
          </w:p>
        </w:tc>
      </w:tr>
      <w:tr>
        <w:trPr/>
        <w:tc>
          <w:tcPr>
            <w:tcW w:w="6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(Increase)/Decrease in ProKidney Corp. additional paid-in capital for vesting of</w:t>
              <w:br/>
              <w:t>   Restricted Common Units in ProKidney LP</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from net loss available to Class A ordinary shareholders and change</w:t>
              <w:br/>
              <w:t>   in ownership interest in ProKidney LP</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(10,961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360" w:after="0"/>
        <w:jc w:val="both"/>
        <w:rPr>
          <w:rFonts w:ascii="Times New Roman;serif" w:hAnsi="Times New Roman;serif"/>
          <w:b/>
          <w:sz w:val="20"/>
        </w:rPr>
      </w:pPr>
      <w:r>
        <w:rPr>
          <w:rFonts w:ascii="Times New Roman;serif" w:hAnsi="Times New Roman;serif"/>
          <w:b/>
          <w:sz w:val="20"/>
        </w:rPr>
        <w:t>Note 8: Net Loss per Share</w:t>
      </w:r>
    </w:p>
    <w:p>
      <w:pPr>
        <w:pStyle w:val="TextBody"/>
        <w:bidi w:val="0"/>
        <w:spacing w:before="120" w:after="0"/>
        <w:jc w:val="left"/>
        <w:rPr>
          <w:rFonts w:ascii="Times New Roman" w:hAnsi="Times New Roman"/>
          <w:sz w:val="20"/>
        </w:rPr>
      </w:pPr>
      <w:r>
        <w:rPr>
          <w:rFonts w:ascii="Times New Roman;serif" w:hAnsi="Times New Roman;serif"/>
          <w:b w:val="false"/>
          <w:sz w:val="20"/>
        </w:rPr>
        <w:t>Basic net loss per share is calculated by dividing net loss attributable to Class A ordinary shareholders by the weighted-average shares of Class A ordinary shares outstanding without the consideration for potential dilutive securities. Diluted net loss per share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represents basic net loss per share adjusted to include the effects of all potentially dilutive shares. Diluted net loss per share is the same as basic loss per share for all periods as the inclusion of potentially issuable shares would be antidilutive.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analyzed the calculation of net loss per share for periods prior to the Business Combination on July 11, 2022 and determined that it resulted in values that would not be meaningful to the users of the consolidated financial statements, as the capital structure completely changed as a result of the Business Combination. Therefore, net loss per share information has not been presented for periods prior to the Business Combination. The basic and diluted net loss per share attributable to Class A ordinary shareholders for the three months ended March 31, 2022, has not been presented as it represents a period prior to the Closing of the Business Combination.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sets forth the computation of basic and diluted net loss per share for the three months ended March 31, 2023 (in thousands, except share and per share amounts):</w:t>
      </w:r>
    </w:p>
    <w:p>
      <w:pPr>
        <w:pStyle w:val="TextBody"/>
        <w:bidi w:val="0"/>
        <w:spacing w:before="0" w:after="0"/>
        <w:jc w:val="both"/>
        <w:rPr/>
      </w:pPr>
      <w:r>
        <w:rPr/>
        <w:t> </w:t>
      </w:r>
    </w:p>
    <w:tbl>
      <w:tblPr>
        <w:tblW w:w="9457" w:type="dxa"/>
        <w:jc w:val="left"/>
        <w:tblInd w:w="0" w:type="dxa"/>
        <w:tblLayout w:type="fixed"/>
        <w:tblCellMar>
          <w:top w:w="28" w:type="dxa"/>
          <w:left w:w="28" w:type="dxa"/>
          <w:bottom w:w="28" w:type="dxa"/>
          <w:right w:w="28" w:type="dxa"/>
        </w:tblCellMar>
      </w:tblPr>
      <w:tblGrid>
        <w:gridCol w:w="6256"/>
        <w:gridCol w:w="435"/>
        <w:gridCol w:w="2355"/>
        <w:gridCol w:w="411"/>
      </w:tblGrid>
      <w:tr>
        <w:trPr/>
        <w:tc>
          <w:tcPr>
            <w:tcW w:w="62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56" w:type="dxa"/>
            <w:tcBorders/>
            <w:vAlign w:val="center"/>
          </w:tcPr>
          <w:p>
            <w:pPr>
              <w:pStyle w:val="TableContents"/>
              <w:bidi w:val="0"/>
              <w:spacing w:before="0" w:after="0"/>
              <w:ind w:left="0" w:right="0" w:hanging="0"/>
              <w:jc w:val="left"/>
              <w:rPr/>
            </w:pPr>
            <w:r>
              <w:rPr/>
              <w:t> </w:t>
            </w:r>
          </w:p>
        </w:tc>
        <w:tc>
          <w:tcPr>
            <w:tcW w:w="279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411" w:type="dxa"/>
            <w:tcBorders/>
            <w:vAlign w:val="center"/>
          </w:tcPr>
          <w:p>
            <w:pPr>
              <w:pStyle w:val="TableContents"/>
              <w:bidi w:val="0"/>
              <w:spacing w:before="0" w:after="0"/>
              <w:ind w:left="0" w:right="0" w:hanging="0"/>
              <w:jc w:val="center"/>
              <w:rPr/>
            </w:pPr>
            <w:r>
              <w:rPr/>
              <w:t> </w:t>
            </w:r>
          </w:p>
        </w:tc>
      </w:tr>
      <w:tr>
        <w:trPr/>
        <w:tc>
          <w:tcPr>
            <w:tcW w:w="6256" w:type="dxa"/>
            <w:tcBorders/>
            <w:vAlign w:val="center"/>
          </w:tcPr>
          <w:p>
            <w:pPr>
              <w:pStyle w:val="TableContents"/>
              <w:bidi w:val="0"/>
              <w:spacing w:before="0" w:after="0"/>
              <w:ind w:left="0" w:right="0" w:hanging="0"/>
              <w:jc w:val="left"/>
              <w:rPr/>
            </w:pPr>
            <w:r>
              <w:rPr/>
              <w:t> </w:t>
            </w:r>
          </w:p>
        </w:tc>
        <w:tc>
          <w:tcPr>
            <w:tcW w:w="27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25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Numerator</w:t>
            </w:r>
          </w:p>
        </w:tc>
        <w:tc>
          <w:tcPr>
            <w:tcW w:w="2790"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6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4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(36,909</w:t>
            </w:r>
          </w:p>
        </w:tc>
        <w:tc>
          <w:tcPr>
            <w:tcW w:w="4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62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Less: Net loss attributable to noncontrolling interests</w:t>
            </w:r>
          </w:p>
        </w:tc>
        <w:tc>
          <w:tcPr>
            <w:tcW w:w="4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(27,244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Net loss available to Class A ordinary shareholders of ProKidney Corp., </w:t>
              <w:br/>
              <w:t>   basic and diluted</w:t>
            </w:r>
          </w:p>
        </w:tc>
        <w:tc>
          <w:tcPr>
            <w:tcW w:w="4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56" w:type="dxa"/>
            <w:tcBorders/>
            <w:vAlign w:val="center"/>
          </w:tcPr>
          <w:p>
            <w:pPr>
              <w:pStyle w:val="TableContents"/>
              <w:bidi w:val="0"/>
              <w:spacing w:before="0" w:after="0"/>
              <w:ind w:left="200" w:right="0" w:hanging="0"/>
              <w:jc w:val="left"/>
              <w:rPr/>
            </w:pPr>
            <w:r>
              <w:rPr/>
              <w:t> </w:t>
            </w:r>
          </w:p>
        </w:tc>
        <w:tc>
          <w:tcPr>
            <w:tcW w:w="2790"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625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Denominator</w:t>
            </w:r>
          </w:p>
        </w:tc>
        <w:tc>
          <w:tcPr>
            <w:tcW w:w="2790"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6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Weighted average Class A ordinary shares or ProKidney Corp. outstanding, </w:t>
              <w:br/>
              <w:t>   basic and diluted</w:t>
            </w:r>
          </w:p>
        </w:tc>
        <w:tc>
          <w:tcPr>
            <w:tcW w:w="435" w:type="dxa"/>
            <w:tcBorders/>
            <w:vAlign w:val="center"/>
          </w:tcPr>
          <w:p>
            <w:pPr>
              <w:pStyle w:val="TableContents"/>
              <w:bidi w:val="0"/>
              <w:spacing w:before="0" w:after="0"/>
              <w:ind w:left="0" w:right="0" w:hanging="0"/>
              <w:jc w:val="left"/>
              <w:rPr/>
            </w:pPr>
            <w:r>
              <w:rPr/>
              <w:t> </w:t>
            </w:r>
          </w:p>
        </w:tc>
        <w:tc>
          <w:tcPr>
            <w:tcW w:w="23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61,540,231</w:t>
            </w:r>
          </w:p>
        </w:tc>
        <w:tc>
          <w:tcPr>
            <w:tcW w:w="411" w:type="dxa"/>
            <w:tcBorders/>
            <w:vAlign w:val="center"/>
          </w:tcPr>
          <w:p>
            <w:pPr>
              <w:pStyle w:val="TableContents"/>
              <w:bidi w:val="0"/>
              <w:spacing w:before="0" w:after="0"/>
              <w:ind w:left="0" w:right="0" w:firstLine="200"/>
              <w:jc w:val="left"/>
              <w:rPr/>
            </w:pPr>
            <w:r>
              <w:rPr/>
              <w:t> </w:t>
            </w:r>
          </w:p>
        </w:tc>
      </w:tr>
      <w:tr>
        <w:trPr/>
        <w:tc>
          <w:tcPr>
            <w:tcW w:w="6256" w:type="dxa"/>
            <w:tcBorders/>
            <w:vAlign w:val="center"/>
          </w:tcPr>
          <w:p>
            <w:pPr>
              <w:pStyle w:val="TableContents"/>
              <w:bidi w:val="0"/>
              <w:spacing w:before="0" w:after="0"/>
              <w:ind w:left="200" w:right="0" w:hanging="0"/>
              <w:jc w:val="left"/>
              <w:rPr/>
            </w:pPr>
            <w:r>
              <w:rPr/>
              <w:t> </w:t>
            </w:r>
          </w:p>
        </w:tc>
        <w:tc>
          <w:tcPr>
            <w:tcW w:w="2790"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625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loss per Class A Unit</w:t>
            </w:r>
          </w:p>
        </w:tc>
        <w:tc>
          <w:tcPr>
            <w:tcW w:w="27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per Class A ordinary share of ProKidney Corp., basic and diluted</w:t>
            </w:r>
          </w:p>
        </w:tc>
        <w:tc>
          <w:tcPr>
            <w:tcW w:w="4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256" w:type="dxa"/>
            <w:tcBorders/>
            <w:vAlign w:val="center"/>
          </w:tcPr>
          <w:p>
            <w:pPr>
              <w:pStyle w:val="TableContents"/>
              <w:bidi w:val="0"/>
              <w:spacing w:before="0" w:after="0"/>
              <w:ind w:left="200" w:right="0" w:hanging="0"/>
              <w:jc w:val="left"/>
              <w:rPr/>
            </w:pPr>
            <w:r>
              <w:rPr/>
              <w:t> </w:t>
            </w:r>
          </w:p>
        </w:tc>
        <w:tc>
          <w:tcPr>
            <w:tcW w:w="2790"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625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Antidilutive securities</w:t>
            </w:r>
          </w:p>
        </w:tc>
        <w:tc>
          <w:tcPr>
            <w:tcW w:w="2790"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200"/>
              <w:jc w:val="left"/>
              <w:rPr/>
            </w:pPr>
            <w:r>
              <w:rPr/>
              <w:t> </w:t>
            </w:r>
          </w:p>
        </w:tc>
      </w:tr>
      <w:tr>
        <w:trPr/>
        <w:tc>
          <w:tcPr>
            <w:tcW w:w="6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ProKidney Corp. Class B ordinary shares</w:t>
            </w:r>
          </w:p>
        </w:tc>
        <w:tc>
          <w:tcPr>
            <w:tcW w:w="435" w:type="dxa"/>
            <w:tcBorders/>
            <w:vAlign w:val="center"/>
          </w:tcPr>
          <w:p>
            <w:pPr>
              <w:pStyle w:val="TableContents"/>
              <w:bidi w:val="0"/>
              <w:spacing w:before="0" w:after="0"/>
              <w:ind w:left="0" w:right="0" w:hanging="0"/>
              <w:jc w:val="left"/>
              <w:rPr/>
            </w:pPr>
            <w:r>
              <w:rPr/>
              <w:t> </w:t>
            </w:r>
          </w:p>
        </w:tc>
        <w:tc>
          <w:tcPr>
            <w:tcW w:w="23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173,444,861</w:t>
            </w:r>
          </w:p>
        </w:tc>
        <w:tc>
          <w:tcPr>
            <w:tcW w:w="411" w:type="dxa"/>
            <w:tcBorders/>
            <w:vAlign w:val="center"/>
          </w:tcPr>
          <w:p>
            <w:pPr>
              <w:pStyle w:val="TableContents"/>
              <w:bidi w:val="0"/>
              <w:spacing w:before="0" w:after="0"/>
              <w:ind w:left="0" w:right="0" w:firstLine="200"/>
              <w:jc w:val="left"/>
              <w:rPr/>
            </w:pPr>
            <w:r>
              <w:rPr/>
              <w:t> </w:t>
            </w:r>
          </w:p>
        </w:tc>
      </w:tr>
      <w:tr>
        <w:trPr/>
        <w:tc>
          <w:tcPr>
            <w:tcW w:w="6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Unvested Restricted Stock Rights</w:t>
            </w:r>
          </w:p>
        </w:tc>
        <w:tc>
          <w:tcPr>
            <w:tcW w:w="435" w:type="dxa"/>
            <w:tcBorders/>
            <w:vAlign w:val="center"/>
          </w:tcPr>
          <w:p>
            <w:pPr>
              <w:pStyle w:val="TableContents"/>
              <w:bidi w:val="0"/>
              <w:spacing w:before="0" w:after="0"/>
              <w:ind w:left="0" w:right="0" w:hanging="0"/>
              <w:jc w:val="left"/>
              <w:rPr/>
            </w:pPr>
            <w:r>
              <w:rPr/>
              <w:t> </w:t>
            </w:r>
          </w:p>
        </w:tc>
        <w:tc>
          <w:tcPr>
            <w:tcW w:w="23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6,175,541</w:t>
            </w:r>
          </w:p>
        </w:tc>
        <w:tc>
          <w:tcPr>
            <w:tcW w:w="411" w:type="dxa"/>
            <w:tcBorders/>
            <w:vAlign w:val="center"/>
          </w:tcPr>
          <w:p>
            <w:pPr>
              <w:pStyle w:val="TableContents"/>
              <w:bidi w:val="0"/>
              <w:spacing w:before="0" w:after="0"/>
              <w:ind w:left="0" w:right="0" w:firstLine="200"/>
              <w:jc w:val="left"/>
              <w:rPr/>
            </w:pPr>
            <w:r>
              <w:rPr/>
              <w:t> </w:t>
            </w:r>
          </w:p>
        </w:tc>
      </w:tr>
      <w:tr>
        <w:trPr/>
        <w:tc>
          <w:tcPr>
            <w:tcW w:w="6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Earnout Rights</w:t>
            </w:r>
          </w:p>
        </w:tc>
        <w:tc>
          <w:tcPr>
            <w:tcW w:w="435" w:type="dxa"/>
            <w:tcBorders/>
            <w:vAlign w:val="center"/>
          </w:tcPr>
          <w:p>
            <w:pPr>
              <w:pStyle w:val="TableContents"/>
              <w:bidi w:val="0"/>
              <w:spacing w:before="0" w:after="0"/>
              <w:ind w:left="0" w:right="0" w:hanging="0"/>
              <w:jc w:val="left"/>
              <w:rPr/>
            </w:pPr>
            <w:r>
              <w:rPr/>
              <w:t> </w:t>
            </w:r>
          </w:p>
        </w:tc>
        <w:tc>
          <w:tcPr>
            <w:tcW w:w="23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17,500,000</w:t>
            </w:r>
          </w:p>
        </w:tc>
        <w:tc>
          <w:tcPr>
            <w:tcW w:w="411" w:type="dxa"/>
            <w:tcBorders/>
            <w:vAlign w:val="center"/>
          </w:tcPr>
          <w:p>
            <w:pPr>
              <w:pStyle w:val="TableContents"/>
              <w:bidi w:val="0"/>
              <w:spacing w:before="0" w:after="0"/>
              <w:ind w:left="0" w:right="0" w:firstLine="200"/>
              <w:jc w:val="left"/>
              <w:rPr/>
            </w:pPr>
            <w:r>
              <w:rPr/>
              <w:t> </w:t>
            </w:r>
          </w:p>
        </w:tc>
      </w:tr>
      <w:tr>
        <w:trPr/>
        <w:tc>
          <w:tcPr>
            <w:tcW w:w="6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Legacy SCS Restricted Share Units</w:t>
            </w:r>
          </w:p>
        </w:tc>
        <w:tc>
          <w:tcPr>
            <w:tcW w:w="435" w:type="dxa"/>
            <w:tcBorders/>
            <w:vAlign w:val="center"/>
          </w:tcPr>
          <w:p>
            <w:pPr>
              <w:pStyle w:val="TableContents"/>
              <w:bidi w:val="0"/>
              <w:spacing w:before="0" w:after="0"/>
              <w:ind w:left="0" w:right="0" w:hanging="0"/>
              <w:jc w:val="left"/>
              <w:rPr/>
            </w:pPr>
            <w:r>
              <w:rPr/>
              <w:t> </w:t>
            </w:r>
          </w:p>
        </w:tc>
        <w:tc>
          <w:tcPr>
            <w:tcW w:w="23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411" w:type="dxa"/>
            <w:tcBorders/>
            <w:vAlign w:val="center"/>
          </w:tcPr>
          <w:p>
            <w:pPr>
              <w:pStyle w:val="TableContents"/>
              <w:bidi w:val="0"/>
              <w:spacing w:before="0" w:after="0"/>
              <w:ind w:left="0" w:right="0" w:firstLine="200"/>
              <w:jc w:val="left"/>
              <w:rPr/>
            </w:pPr>
            <w:r>
              <w:rPr/>
              <w:t> </w:t>
            </w:r>
          </w:p>
        </w:tc>
      </w:tr>
      <w:tr>
        <w:trPr/>
        <w:tc>
          <w:tcPr>
            <w:tcW w:w="6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 options granted under the 2022 Equity Incentive Plan</w:t>
            </w:r>
          </w:p>
        </w:tc>
        <w:tc>
          <w:tcPr>
            <w:tcW w:w="435" w:type="dxa"/>
            <w:tcBorders/>
            <w:vAlign w:val="center"/>
          </w:tcPr>
          <w:p>
            <w:pPr>
              <w:pStyle w:val="TableContents"/>
              <w:bidi w:val="0"/>
              <w:spacing w:before="0" w:after="0"/>
              <w:ind w:left="0" w:right="0" w:hanging="0"/>
              <w:jc w:val="left"/>
              <w:rPr/>
            </w:pPr>
            <w:r>
              <w:rPr/>
              <w:t> </w:t>
            </w:r>
          </w:p>
        </w:tc>
        <w:tc>
          <w:tcPr>
            <w:tcW w:w="23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14,591,415</w:t>
            </w:r>
          </w:p>
        </w:tc>
        <w:tc>
          <w:tcPr>
            <w:tcW w:w="4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both"/>
        <w:rPr>
          <w:rFonts w:ascii="Times New Roman;serif" w:hAnsi="Times New Roman;serif"/>
          <w:b/>
          <w:sz w:val="20"/>
        </w:rPr>
      </w:pPr>
      <w:r>
        <w:rPr>
          <w:rFonts w:ascii="Times New Roman;serif" w:hAnsi="Times New Roman;serif"/>
          <w:b/>
          <w:sz w:val="20"/>
        </w:rPr>
        <w:t>Note 9: Equity Based Compensation</w:t>
      </w:r>
    </w:p>
    <w:p>
      <w:pPr>
        <w:pStyle w:val="TextBody"/>
        <w:bidi w:val="0"/>
        <w:spacing w:before="360" w:after="0"/>
        <w:jc w:val="both"/>
        <w:rPr>
          <w:rFonts w:ascii="Times New Roman;serif" w:hAnsi="Times New Roman;serif"/>
          <w:b w:val="false"/>
          <w:i/>
          <w:sz w:val="20"/>
        </w:rPr>
      </w:pPr>
      <w:r>
        <w:rPr>
          <w:rFonts w:ascii="Times New Roman;serif" w:hAnsi="Times New Roman;serif"/>
          <w:b w:val="false"/>
          <w:i/>
          <w:sz w:val="20"/>
        </w:rPr>
        <w:t>2022 Incentive Equity Plan</w:t>
      </w:r>
    </w:p>
    <w:p>
      <w:pPr>
        <w:pStyle w:val="TextBody"/>
        <w:bidi w:val="0"/>
        <w:spacing w:before="120" w:after="0"/>
        <w:jc w:val="left"/>
        <w:rPr>
          <w:rFonts w:ascii="Times New Roman" w:hAnsi="Times New Roman"/>
          <w:sz w:val="20"/>
        </w:rPr>
      </w:pPr>
      <w:r>
        <w:rPr>
          <w:rFonts w:ascii="Times New Roman;serif" w:hAnsi="Times New Roman;serif"/>
          <w:b w:val="false"/>
          <w:sz w:val="20"/>
        </w:rPr>
        <w:t>On July 11, 2022, the shareholders of the Company approved the ProKidney Corp. 2022 Incentive Equity Plan (the “2022 Plan”) which provides for the issuance of equity based awards to the Company’s employees, non-employee directors, individual consultants, advisors and other service providers. As of March 31 2023, there were 35,809,951</w:t>
      </w:r>
      <w:r>
        <w:rPr>
          <w:rFonts w:ascii="Times New Roman" w:hAnsi="Times New Roman"/>
          <w:sz w:val="20"/>
        </w:rPr>
        <w:t xml:space="preserve"> </w:t>
      </w:r>
      <w:r>
        <w:rPr>
          <w:rFonts w:ascii="Times New Roman;serif" w:hAnsi="Times New Roman;serif"/>
          <w:b w:val="false"/>
          <w:sz w:val="20"/>
        </w:rPr>
        <w:t>Class A Ordinary Shares reserved for issuance. The 2022 Plan provides for the issuance of equity awards in the form of incentive stock options, which are intended to satisfy the requirements of Section 422 of the Internal Revenue Code of 1986, as amended, or nonqualified stock options, which are not intended to meet those requirements, stock appreciation rights, restricted stock, restricted stock units, performance awards or other cash or stock-based awards as determined appropriate by the plan administrator. In settlement of its obligations under this plan, the Company will issue new Class A ordinary shares.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issued incentive and non-qualified stock option awards under the 2022 Plan to certain employees and non-employee directors of the Company. Given that the Company has established a full valuation allowance against its deferred tax assets, the Company has recognized no tax benefit related to these awards.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Time-Vested Awards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uses the Black-Scholes option pricing model to calculate the fair value of time-vested stock options granted. These awards generally vest ratably over a three or four-year period and the option awards expire after a term of ten years from the date of grant.</w:t>
      </w:r>
      <w:r>
        <w:rPr>
          <w:rFonts w:ascii="Times New Roman" w:hAnsi="Times New Roman"/>
          <w:sz w:val="20"/>
        </w:rPr>
        <w:t xml:space="preserve"> </w:t>
      </w:r>
      <w:r>
        <w:rPr>
          <w:rFonts w:ascii="Times New Roman;serif" w:hAnsi="Times New Roman;serif"/>
          <w:b w:val="false"/>
          <w:sz w:val="20"/>
        </w:rPr>
        <w:t>The fair value of stock options granted was estimated using the following assumptions during the three months ended March 31,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6898" w:type="dxa"/>
        <w:jc w:val="left"/>
        <w:tblInd w:w="0" w:type="dxa"/>
        <w:tblLayout w:type="fixed"/>
        <w:tblCellMar>
          <w:top w:w="28" w:type="dxa"/>
          <w:left w:w="28" w:type="dxa"/>
          <w:bottom w:w="28" w:type="dxa"/>
          <w:right w:w="28" w:type="dxa"/>
        </w:tblCellMar>
      </w:tblPr>
      <w:tblGrid>
        <w:gridCol w:w="2791"/>
        <w:gridCol w:w="146"/>
        <w:gridCol w:w="396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27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3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 March 31, 2023</w:t>
            </w:r>
          </w:p>
        </w:tc>
      </w:tr>
      <w:tr>
        <w:trPr/>
        <w:tc>
          <w:tcPr>
            <w:tcW w:w="2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396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81.8% - 82.3%</w:t>
            </w:r>
          </w:p>
        </w:tc>
      </w:tr>
      <w:tr>
        <w:trPr/>
        <w:tc>
          <w:tcPr>
            <w:tcW w:w="2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life of options, in years</w:t>
            </w:r>
          </w:p>
        </w:tc>
        <w:tc>
          <w:tcPr>
            <w:tcW w:w="146" w:type="dxa"/>
            <w:tcBorders/>
            <w:vAlign w:val="center"/>
          </w:tcPr>
          <w:p>
            <w:pPr>
              <w:pStyle w:val="TableContents"/>
              <w:bidi w:val="0"/>
              <w:spacing w:before="0" w:after="0"/>
              <w:ind w:left="0" w:right="0" w:hanging="0"/>
              <w:jc w:val="left"/>
              <w:rPr/>
            </w:pPr>
            <w:r>
              <w:rPr/>
              <w:t> </w:t>
            </w:r>
          </w:p>
        </w:tc>
        <w:tc>
          <w:tcPr>
            <w:tcW w:w="396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6.0</w:t>
            </w:r>
            <w:r>
              <w:rPr>
                <w:rFonts w:ascii="Times New Roman" w:hAnsi="Times New Roman"/>
                <w:sz w:val="20"/>
              </w:rPr>
              <w:t> </w:t>
            </w:r>
            <w:r>
              <w:rPr>
                <w:rFonts w:ascii="Times New Roman;serif" w:hAnsi="Times New Roman;serif"/>
                <w:b w:val="false"/>
                <w:sz w:val="20"/>
              </w:rPr>
              <w:t>- 6.1</w:t>
            </w:r>
          </w:p>
        </w:tc>
      </w:tr>
      <w:tr>
        <w:trPr/>
        <w:tc>
          <w:tcPr>
            <w:tcW w:w="2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396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3.5% - 4.2%</w:t>
            </w:r>
          </w:p>
        </w:tc>
      </w:tr>
      <w:tr>
        <w:trPr/>
        <w:tc>
          <w:tcPr>
            <w:tcW w:w="2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396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w:t>
            </w:r>
          </w:p>
        </w:tc>
      </w:tr>
    </w:tbl>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table summarizes the activity related to the Company’s time-vested stock option awards granted under the 2022 Plan for the three months ended March 31, 2023:</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5071"/>
        <w:gridCol w:w="146"/>
        <w:gridCol w:w="193"/>
        <w:gridCol w:w="1374"/>
        <w:gridCol w:w="166"/>
        <w:gridCol w:w="146"/>
        <w:gridCol w:w="732"/>
        <w:gridCol w:w="1983"/>
        <w:gridCol w:w="394"/>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0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 of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7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 Average Exercise Price</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Time-vested options outstanding at January 1, 2023</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13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5,865,108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10.30</w:t>
            </w:r>
          </w:p>
        </w:tc>
        <w:tc>
          <w:tcPr>
            <w:tcW w:w="394" w:type="dxa"/>
            <w:tcBorders/>
            <w:vAlign w:val="center"/>
          </w:tcPr>
          <w:p>
            <w:pPr>
              <w:pStyle w:val="TableContents"/>
              <w:bidi w:val="0"/>
              <w:spacing w:before="0" w:after="0"/>
              <w:ind w:left="0" w:right="0" w:firstLine="200"/>
              <w:jc w:val="left"/>
              <w:rPr/>
            </w:pPr>
            <w:r>
              <w:rPr/>
              <w:t> </w:t>
            </w:r>
          </w:p>
        </w:tc>
      </w:tr>
      <w:tr>
        <w:trPr/>
        <w:tc>
          <w:tcPr>
            <w:tcW w:w="50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13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5,344,700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19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8.99</w:t>
            </w:r>
          </w:p>
        </w:tc>
        <w:tc>
          <w:tcPr>
            <w:tcW w:w="394" w:type="dxa"/>
            <w:tcBorders/>
            <w:vAlign w:val="center"/>
          </w:tcPr>
          <w:p>
            <w:pPr>
              <w:pStyle w:val="TableContents"/>
              <w:bidi w:val="0"/>
              <w:spacing w:before="0" w:after="0"/>
              <w:ind w:left="0" w:right="0" w:firstLine="200"/>
              <w:jc w:val="left"/>
              <w:rPr/>
            </w:pPr>
            <w:r>
              <w:rPr/>
              <w:t> </w:t>
            </w:r>
          </w:p>
        </w:tc>
      </w:tr>
      <w:tr>
        <w:trPr/>
        <w:tc>
          <w:tcPr>
            <w:tcW w:w="50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(258,000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Time-vested options outstanding at March 31, 2023</w:t>
            </w:r>
          </w:p>
        </w:tc>
        <w:tc>
          <w:tcPr>
            <w:tcW w:w="146" w:type="dxa"/>
            <w:tcBorders/>
            <w:vAlign w:val="center"/>
          </w:tcPr>
          <w:p>
            <w:pPr>
              <w:pStyle w:val="TableContents"/>
              <w:bidi w:val="0"/>
              <w:spacing w:before="0" w:after="0"/>
              <w:ind w:left="0" w:right="0" w:hanging="0"/>
              <w:jc w:val="left"/>
              <w:rPr/>
            </w:pPr>
            <w:r>
              <w:rPr/>
              <w:t> </w:t>
            </w:r>
          </w:p>
        </w:tc>
        <w:tc>
          <w:tcPr>
            <w:tcW w:w="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10,951,808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Time-vested options exercisable at March 31, 2023</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13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592,160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w:t>
            </w:r>
          </w:p>
        </w:tc>
        <w:tc>
          <w:tcPr>
            <w:tcW w:w="394" w:type="dxa"/>
            <w:tcBorders/>
            <w:vAlign w:val="center"/>
          </w:tcPr>
          <w:p>
            <w:pPr>
              <w:pStyle w:val="TableContents"/>
              <w:bidi w:val="0"/>
              <w:spacing w:before="0" w:after="0"/>
              <w:ind w:left="0" w:right="0" w:firstLine="100"/>
              <w:jc w:val="left"/>
              <w:rPr/>
            </w:pPr>
            <w:r>
              <w:rPr/>
              <w:t> </w:t>
            </w:r>
          </w:p>
        </w:tc>
      </w:tr>
      <w:tr>
        <w:trPr/>
        <w:tc>
          <w:tcPr>
            <w:tcW w:w="50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 average remaining contractual life</w:t>
            </w:r>
          </w:p>
        </w:tc>
        <w:tc>
          <w:tcPr>
            <w:tcW w:w="146" w:type="dxa"/>
            <w:tcBorders/>
            <w:vAlign w:val="center"/>
          </w:tcPr>
          <w:p>
            <w:pPr>
              <w:pStyle w:val="TableContents"/>
              <w:bidi w:val="0"/>
              <w:spacing w:before="0" w:after="0"/>
              <w:ind w:left="0" w:right="0" w:hanging="0"/>
              <w:jc w:val="left"/>
              <w:rPr/>
            </w:pPr>
            <w:r>
              <w:rPr/>
              <w:t> </w:t>
            </w:r>
          </w:p>
        </w:tc>
        <w:tc>
          <w:tcPr>
            <w:tcW w:w="1567"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9.1</w:t>
            </w:r>
            <w:r>
              <w:rPr>
                <w:rFonts w:ascii="Times New Roman" w:hAnsi="Times New Roman"/>
                <w:sz w:val="20"/>
              </w:rPr>
              <w:t> </w:t>
            </w:r>
            <w:r>
              <w:rPr>
                <w:rFonts w:ascii="Times New Roman;serif" w:hAnsi="Times New Roman;serif"/>
                <w:b w:val="false"/>
                <w:sz w:val="20"/>
              </w:rPr>
              <w:t>years</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715"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5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Time-vested options vested and expected to vest at March 31, 2023</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13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10,951,808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w:t>
            </w:r>
          </w:p>
        </w:tc>
        <w:tc>
          <w:tcPr>
            <w:tcW w:w="394" w:type="dxa"/>
            <w:tcBorders/>
            <w:vAlign w:val="center"/>
          </w:tcPr>
          <w:p>
            <w:pPr>
              <w:pStyle w:val="TableContents"/>
              <w:bidi w:val="0"/>
              <w:spacing w:before="0" w:after="0"/>
              <w:ind w:left="0" w:right="0" w:firstLine="100"/>
              <w:jc w:val="left"/>
              <w:rPr/>
            </w:pPr>
            <w:r>
              <w:rPr/>
              <w:t> </w:t>
            </w:r>
          </w:p>
        </w:tc>
      </w:tr>
      <w:tr>
        <w:trPr/>
        <w:tc>
          <w:tcPr>
            <w:tcW w:w="507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 average remaining contractual life</w:t>
            </w:r>
          </w:p>
        </w:tc>
        <w:tc>
          <w:tcPr>
            <w:tcW w:w="146" w:type="dxa"/>
            <w:tcBorders/>
            <w:vAlign w:val="center"/>
          </w:tcPr>
          <w:p>
            <w:pPr>
              <w:pStyle w:val="TableContents"/>
              <w:bidi w:val="0"/>
              <w:spacing w:before="0" w:after="0"/>
              <w:ind w:left="0" w:right="0" w:hanging="0"/>
              <w:jc w:val="left"/>
              <w:rPr/>
            </w:pPr>
            <w:r>
              <w:rPr/>
              <w:t> </w:t>
            </w:r>
          </w:p>
        </w:tc>
        <w:tc>
          <w:tcPr>
            <w:tcW w:w="1567"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9.2</w:t>
            </w:r>
            <w:r>
              <w:rPr>
                <w:rFonts w:ascii="Times New Roman" w:hAnsi="Times New Roman"/>
                <w:sz w:val="20"/>
              </w:rPr>
              <w:t> </w:t>
            </w:r>
            <w:r>
              <w:rPr>
                <w:rFonts w:ascii="Times New Roman;serif" w:hAnsi="Times New Roman;serif"/>
                <w:b w:val="false"/>
                <w:sz w:val="20"/>
              </w:rPr>
              <w:t>years</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715"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For the three months ended March 31, 2023, the Company recognized $3,917,000</w:t>
      </w:r>
      <w:r>
        <w:rPr>
          <w:rFonts w:ascii="Times New Roman" w:hAnsi="Times New Roman"/>
          <w:sz w:val="20"/>
        </w:rPr>
        <w:t xml:space="preserve"> </w:t>
      </w:r>
      <w:r>
        <w:rPr>
          <w:rFonts w:ascii="Times New Roman;serif" w:hAnsi="Times New Roman;serif"/>
          <w:b w:val="false"/>
          <w:sz w:val="20"/>
        </w:rPr>
        <w:t>of compensation expense related to time-vested awards under the 2022 Plan, exclusive of the expense related to the modification of awards as discussed below. As of March 31, 2023, the Company had total unrecognized stock-based compensation expense of approximately $65,638,000</w:t>
      </w:r>
      <w:r>
        <w:rPr>
          <w:rFonts w:ascii="Times New Roman" w:hAnsi="Times New Roman"/>
          <w:sz w:val="20"/>
        </w:rPr>
        <w:t xml:space="preserve"> </w:t>
      </w:r>
      <w:r>
        <w:rPr>
          <w:rFonts w:ascii="Times New Roman;serif" w:hAnsi="Times New Roman;serif"/>
          <w:b w:val="false"/>
          <w:sz w:val="20"/>
        </w:rPr>
        <w:t>related to the time-vested grants under the 2022 Plan, which is expected to be recognized on a straight-line basis over a weighted average period of 3.5</w:t>
      </w:r>
      <w:r>
        <w:rPr>
          <w:rFonts w:ascii="Times New Roman" w:hAnsi="Times New Roman"/>
          <w:sz w:val="20"/>
        </w:rPr>
        <w:t xml:space="preserve"> </w:t>
      </w:r>
      <w:r>
        <w:rPr>
          <w:rFonts w:ascii="Times New Roman;serif" w:hAnsi="Times New Roman;serif"/>
          <w:b w:val="false"/>
          <w:sz w:val="20"/>
        </w:rPr>
        <w:t>years. The weighted average grant date fair value for the option grants during the three months ended March 31, 2023</w:t>
      </w:r>
      <w:r>
        <w:rPr>
          <w:rFonts w:ascii="Times New Roman" w:hAnsi="Times New Roman"/>
          <w:sz w:val="20"/>
        </w:rPr>
        <w:t xml:space="preserve"> </w:t>
      </w:r>
      <w:r>
        <w:rPr>
          <w:rFonts w:ascii="Times New Roman;serif" w:hAnsi="Times New Roman;serif"/>
          <w:b w:val="false"/>
          <w:sz w:val="20"/>
        </w:rPr>
        <w:t>was $6.47.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aggregate intrinsic value of the in-the-money time-vested awards outstanding as well as those exercisable as of March 31, 2023, was $17,960,000</w:t>
      </w:r>
      <w:r>
        <w:rPr>
          <w:rFonts w:ascii="Times New Roman" w:hAnsi="Times New Roman"/>
          <w:sz w:val="20"/>
        </w:rPr>
        <w:t xml:space="preserve"> </w:t>
      </w:r>
      <w:r>
        <w:rPr>
          <w:rFonts w:ascii="Times New Roman;serif" w:hAnsi="Times New Roman;serif"/>
          <w:b w:val="false"/>
          <w:sz w:val="20"/>
        </w:rPr>
        <w:t>and $861,000, respectively.</w:t>
      </w:r>
    </w:p>
    <w:p>
      <w:pPr>
        <w:pStyle w:val="TextBody"/>
        <w:bidi w:val="0"/>
        <w:spacing w:before="360" w:after="0"/>
        <w:jc w:val="left"/>
        <w:rPr>
          <w:rFonts w:ascii="Times New Roman;serif" w:hAnsi="Times New Roman;serif"/>
          <w:b/>
          <w:i/>
          <w:sz w:val="20"/>
        </w:rPr>
      </w:pPr>
      <w:r>
        <w:rPr>
          <w:rFonts w:ascii="Times New Roman;serif" w:hAnsi="Times New Roman;serif"/>
          <w:b/>
          <w:i/>
          <w:sz w:val="20"/>
        </w:rPr>
        <w:t>Market-Vested Awards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also has outstanding 3,639,607</w:t>
      </w:r>
      <w:r>
        <w:rPr>
          <w:rFonts w:ascii="Times New Roman" w:hAnsi="Times New Roman"/>
          <w:sz w:val="20"/>
        </w:rPr>
        <w:t xml:space="preserve"> </w:t>
      </w:r>
      <w:r>
        <w:rPr>
          <w:rFonts w:ascii="Times New Roman;serif" w:hAnsi="Times New Roman;serif"/>
          <w:b w:val="false"/>
          <w:sz w:val="20"/>
        </w:rPr>
        <w:t>market-vested options with an exercise price of $10.33</w:t>
      </w:r>
      <w:r>
        <w:rPr>
          <w:rFonts w:ascii="Times New Roman" w:hAnsi="Times New Roman"/>
          <w:sz w:val="20"/>
        </w:rPr>
        <w:t xml:space="preserve"> </w:t>
      </w:r>
      <w:r>
        <w:rPr>
          <w:rFonts w:ascii="Times New Roman;serif" w:hAnsi="Times New Roman;serif"/>
          <w:b w:val="false"/>
          <w:sz w:val="20"/>
        </w:rPr>
        <w:t>as of March 31, 2023. This awards contain both time and market based vesting conditions. The market conditions become satisfied in equal one-third tranches upon the Company's Class A ordinary shares exceeding a volume weighted average price hurdle of $15.00, $20.00</w:t>
      </w:r>
      <w:r>
        <w:rPr>
          <w:rFonts w:ascii="Times New Roman" w:hAnsi="Times New Roman"/>
          <w:sz w:val="20"/>
        </w:rPr>
        <w:t xml:space="preserve"> </w:t>
      </w:r>
      <w:r>
        <w:rPr>
          <w:rFonts w:ascii="Times New Roman;serif" w:hAnsi="Times New Roman;serif"/>
          <w:b w:val="false"/>
          <w:sz w:val="20"/>
        </w:rPr>
        <w:t>and $25.00, respectively, for 20 trading days within any 30 consecutive trading day period occurring prior to July 11, 2027. Once the market condition for a tranche is satisfied, such tranche will continue to be subject to time-vesting conditions and will vest ratably on each of the first, second and third anniversaries of the date that such tranche satisfied the performance vesting condition described above. Due to the market condition included in this grant, the Company used the Geometric Brownian Motion/Monte Carlo model to value these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months ended March 31, 2023, the Company recognized $2,764,000</w:t>
      </w:r>
      <w:r>
        <w:rPr>
          <w:rFonts w:ascii="Times New Roman" w:hAnsi="Times New Roman"/>
          <w:sz w:val="20"/>
        </w:rPr>
        <w:t xml:space="preserve"> </w:t>
      </w:r>
      <w:r>
        <w:rPr>
          <w:rFonts w:ascii="Times New Roman;serif" w:hAnsi="Times New Roman;serif"/>
          <w:b w:val="false"/>
          <w:sz w:val="20"/>
        </w:rPr>
        <w:t>of compensation expense related to market-vested awards under the 2022 Plan. As of March 31, 2023, the Company had total unrecognized stock-based compensation expense of approximately $23,224,000</w:t>
      </w:r>
      <w:r>
        <w:rPr>
          <w:rFonts w:ascii="Times New Roman" w:hAnsi="Times New Roman"/>
          <w:sz w:val="20"/>
        </w:rPr>
        <w:t xml:space="preserve"> </w:t>
      </w:r>
      <w:r>
        <w:rPr>
          <w:rFonts w:ascii="Times New Roman;serif" w:hAnsi="Times New Roman;serif"/>
          <w:b w:val="false"/>
          <w:sz w:val="20"/>
        </w:rPr>
        <w:t>related to the market-vested awards outstanding under the 2022 Plan. There were no</w:t>
      </w:r>
      <w:r>
        <w:rPr>
          <w:rFonts w:ascii="Times New Roman" w:hAnsi="Times New Roman"/>
          <w:sz w:val="20"/>
        </w:rPr>
        <w:t xml:space="preserve"> </w:t>
      </w:r>
      <w:r>
        <w:rPr>
          <w:rFonts w:ascii="Times New Roman;serif" w:hAnsi="Times New Roman;serif"/>
          <w:b w:val="false"/>
          <w:sz w:val="20"/>
        </w:rPr>
        <w:t>market-vested awards granted during the three months ended March 31, 2023.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aggregate intrinsic value of the in-the-money market based awards outstanding as of March 31, 2023</w:t>
      </w:r>
      <w:r>
        <w:rPr>
          <w:rFonts w:ascii="Times New Roman" w:hAnsi="Times New Roman"/>
          <w:sz w:val="20"/>
        </w:rPr>
        <w:t xml:space="preserve"> </w:t>
      </w:r>
      <w:r>
        <w:rPr>
          <w:rFonts w:ascii="Times New Roman;serif" w:hAnsi="Times New Roman;serif"/>
          <w:b w:val="false"/>
          <w:sz w:val="20"/>
        </w:rPr>
        <w:t>was $3,603,000. There were no</w:t>
      </w:r>
      <w:r>
        <w:rPr>
          <w:rFonts w:ascii="Times New Roman" w:hAnsi="Times New Roman"/>
          <w:sz w:val="20"/>
        </w:rPr>
        <w:t xml:space="preserve"> </w:t>
      </w:r>
      <w:r>
        <w:rPr>
          <w:rFonts w:ascii="Times New Roman;serif" w:hAnsi="Times New Roman;serif"/>
          <w:b w:val="false"/>
          <w:sz w:val="20"/>
        </w:rPr>
        <w:t>market based awards vested at March 31, 2023.</w:t>
      </w:r>
    </w:p>
    <w:p>
      <w:pPr>
        <w:pStyle w:val="TextBody"/>
        <w:bidi w:val="0"/>
        <w:spacing w:before="360" w:after="0"/>
        <w:jc w:val="both"/>
        <w:rPr>
          <w:rFonts w:ascii="Times New Roman;serif" w:hAnsi="Times New Roman;serif"/>
          <w:b/>
          <w:i/>
          <w:sz w:val="20"/>
        </w:rPr>
      </w:pPr>
      <w:r>
        <w:rPr>
          <w:rFonts w:ascii="Times New Roman;serif" w:hAnsi="Times New Roman;serif"/>
          <w:b/>
          <w:i/>
          <w:sz w:val="20"/>
        </w:rPr>
        <w:t>Legacy Profits Interests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Deed for the Establishment of a Limited Partnership of PKLP, dated as of August 5, 2021 (the “Limited Partnership Agreement”) which replaced the Amended and Restated Limited Liability Company Agreement of ProKidney LLC as the governing document of the parent entity in the Company, allowed for the issuance of Profits Interests (as defined in the Limited Partnership Agreement) to employees, directors, other service providers of the Company and others denominated in the form of one or more Class B Units of PKLP (as defined in the Limited Partnership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Under the Limited Partnership Agreement, Legacy GP determined the terms and conditions of the Profits Interests issued. The threshold value assigned to each grant was not to be less than the fair market value of PKLP on the date of grant. Profits Interests awarded would vest at a rate of 25% on the latter of the first anniversary of employment and the first anniversary of the Acquisition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Date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17, 2022, PKLP amended and restated its Limited Partnership Agreement (the “Amended and Restated Limited Partnership Agreement”) which provided that certain qualified distribution events would result in holders of Profits Interests receiving disproportionate distributions from PKLP until each such holder’s valuation threshold had been reduced to zero in order to “catch up” such holder’s distributions to its pro rata share of aggregate cumulative distributions, and once sufficient distributions to a holder of Profits Interests had been made in accordance with the foregoing, the associated Class B Units of PKLP would automatically be converted into Class A Units of PKLP (as defined in the Limited Partnership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Upon consummation of the Business Combination discussed in Note 1, PKLP’s existing Class B and B-1 Units were “caught up” and were converted into Class A Units of PKLP. The resulting vested and unvested Class A Units of PKLP were then recapitalized into Post-Combination ProKidney Common Units or Restricted Common Units of the Company, respectively. This recapitalization resulted in a decrease in the number of awards held by each participant. As such, the number of Profits Interests and related per unit values within these financial statements have been adjusted to reflect this recapitalization. Upon recapitalization, the Restricted Common Units maintained the vesting schedules associated with the original Profits Interest awards.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following table summarizes the activity related to the Profits Interest awards for the three months ended March 31, 2023: </w:t>
      </w:r>
    </w:p>
    <w:p>
      <w:pPr>
        <w:pStyle w:val="TextBody"/>
        <w:bidi w:val="0"/>
        <w:spacing w:before="0" w:after="0"/>
        <w:jc w:val="both"/>
        <w:rPr/>
      </w:pPr>
      <w:r>
        <w:rPr/>
        <w:t> </w:t>
      </w:r>
    </w:p>
    <w:tbl>
      <w:tblPr>
        <w:tblW w:w="10135" w:type="dxa"/>
        <w:jc w:val="left"/>
        <w:tblInd w:w="0" w:type="dxa"/>
        <w:tblLayout w:type="fixed"/>
        <w:tblCellMar>
          <w:top w:w="28" w:type="dxa"/>
          <w:left w:w="28" w:type="dxa"/>
          <w:bottom w:w="28" w:type="dxa"/>
          <w:right w:w="28" w:type="dxa"/>
        </w:tblCellMar>
      </w:tblPr>
      <w:tblGrid>
        <w:gridCol w:w="4036"/>
        <w:gridCol w:w="146"/>
        <w:gridCol w:w="208"/>
        <w:gridCol w:w="1412"/>
        <w:gridCol w:w="166"/>
        <w:gridCol w:w="146"/>
        <w:gridCol w:w="1129"/>
        <w:gridCol w:w="2501"/>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6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 of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 Average Grant Date 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awards outstanding at January 1, 2023</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14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8,369,795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w:t>
            </w:r>
          </w:p>
        </w:tc>
        <w:tc>
          <w:tcPr>
            <w:tcW w:w="391" w:type="dxa"/>
            <w:tcBorders/>
            <w:vAlign w:val="center"/>
          </w:tcPr>
          <w:p>
            <w:pPr>
              <w:pStyle w:val="TableContents"/>
              <w:bidi w:val="0"/>
              <w:spacing w:before="0" w:after="0"/>
              <w:ind w:left="0" w:right="0" w:firstLine="200"/>
              <w:jc w:val="lef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 </w:t>
            </w:r>
          </w:p>
        </w:tc>
        <w:tc>
          <w:tcPr>
            <w:tcW w:w="14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(1,866,541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129" w:type="dxa"/>
            <w:tcBorders/>
            <w:vAlign w:val="center"/>
          </w:tcPr>
          <w:p>
            <w:pPr>
              <w:pStyle w:val="TableContents"/>
              <w:bidi w:val="0"/>
              <w:spacing w:before="0" w:after="0"/>
              <w:ind w:left="0" w:right="0" w:hanging="0"/>
              <w:jc w:val="left"/>
              <w:rPr/>
            </w:pPr>
            <w:r>
              <w:rPr/>
              <w:t> </w:t>
            </w:r>
          </w:p>
        </w:tc>
        <w:tc>
          <w:tcPr>
            <w:tcW w:w="25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7.15</w:t>
            </w:r>
          </w:p>
        </w:tc>
        <w:tc>
          <w:tcPr>
            <w:tcW w:w="391" w:type="dxa"/>
            <w:tcBorders/>
            <w:vAlign w:val="center"/>
          </w:tcPr>
          <w:p>
            <w:pPr>
              <w:pStyle w:val="TableContents"/>
              <w:bidi w:val="0"/>
              <w:spacing w:before="0" w:after="0"/>
              <w:ind w:left="0" w:right="0" w:firstLine="200"/>
              <w:jc w:val="lef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(327,713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1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Awards outstanding at March 31, 2023</w:t>
            </w:r>
          </w:p>
        </w:tc>
        <w:tc>
          <w:tcPr>
            <w:tcW w:w="146" w:type="dxa"/>
            <w:tcBorders/>
            <w:vAlign w:val="center"/>
          </w:tcPr>
          <w:p>
            <w:pPr>
              <w:pStyle w:val="TableContents"/>
              <w:bidi w:val="0"/>
              <w:spacing w:before="0" w:after="0"/>
              <w:ind w:left="0" w:right="0" w:hanging="0"/>
              <w:jc w:val="left"/>
              <w:rPr/>
            </w:pPr>
            <w:r>
              <w:rPr/>
              <w:t> </w:t>
            </w:r>
          </w:p>
        </w:tc>
        <w:tc>
          <w:tcPr>
            <w:tcW w:w="2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6,175,541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of March 31, 2023, the unrecognized compensation expense related to these awards was $39,874,000. The current weighted average remaining period over which the unrecognized compensation expense is expected to be recognized is 2.7</w:t>
      </w:r>
      <w:r>
        <w:rPr>
          <w:rFonts w:ascii="Times New Roman" w:hAnsi="Times New Roman"/>
          <w:sz w:val="20"/>
        </w:rPr>
        <w:t xml:space="preserve"> </w:t>
      </w:r>
      <w:r>
        <w:rPr>
          <w:rFonts w:ascii="Times New Roman;serif" w:hAnsi="Times New Roman;serif"/>
          <w:b w:val="false"/>
          <w:sz w:val="20"/>
        </w:rPr>
        <w:t>years. The weighted average grant date fair value of the Profits Interests awarded during the three months ended March 31, 2022, was $6.03</w:t>
      </w:r>
      <w:r>
        <w:rPr>
          <w:rFonts w:ascii="Times New Roman" w:hAnsi="Times New Roman"/>
          <w:sz w:val="20"/>
        </w:rPr>
        <w:t xml:space="preserve"> </w:t>
      </w:r>
      <w:r>
        <w:rPr>
          <w:rFonts w:ascii="Times New Roman;serif" w:hAnsi="Times New Roman;serif"/>
          <w:b w:val="false"/>
          <w:sz w:val="20"/>
        </w:rPr>
        <w:t>per Class B-1 unit of PKLP (as defined in the Limited Partnership Agreement), as adjusted for the effects of the recapitalization. There were no</w:t>
      </w:r>
      <w:r>
        <w:rPr>
          <w:rFonts w:ascii="Times New Roman" w:hAnsi="Times New Roman"/>
          <w:sz w:val="20"/>
        </w:rPr>
        <w:t xml:space="preserve"> </w:t>
      </w:r>
      <w:r>
        <w:rPr>
          <w:rFonts w:ascii="Times New Roman;serif" w:hAnsi="Times New Roman;serif"/>
          <w:b w:val="false"/>
          <w:sz w:val="20"/>
        </w:rPr>
        <w:t>Profits Interests awarded during the three months ended March 31, 2023.</w:t>
      </w:r>
    </w:p>
    <w:p>
      <w:pPr>
        <w:pStyle w:val="TextBody"/>
        <w:bidi w:val="0"/>
        <w:spacing w:before="240" w:after="0"/>
        <w:jc w:val="both"/>
        <w:rPr>
          <w:rFonts w:ascii="Times New Roman;serif" w:hAnsi="Times New Roman;serif"/>
          <w:b/>
          <w:i/>
          <w:sz w:val="20"/>
        </w:rPr>
      </w:pPr>
      <w:r>
        <w:rPr>
          <w:rFonts w:ascii="Times New Roman;serif" w:hAnsi="Times New Roman;serif"/>
          <w:b/>
          <w:i/>
          <w:sz w:val="20"/>
        </w:rPr>
        <w:t>Modification to Equity Based Compensation Awards</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17, 2022, the Limited Partnership Agreement was amended and restated to provide that certain qualified distribution events would result in the holders of Profits Interests receiving disproportionate distributions from PKLP until each such holder’s threshold value was reduced to zero in order to “catch up” such holder’s distributions to its pro rata share of aggregate cumulative distributions, and once sufficient distributions to a holder of Profits Interests had been made in accordance with the foregoing, the associated Class B Units would automatically be converted into Class A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This amendment constituted a modification to the Class B-1 Units in PKLP outstanding as of the date of the modification under the provisions of ASC Topic 718. In connection with the modification of its outstanding share-based compensation awards, the Company will recognize total additional compensation expense of $5,437,000</w:t>
      </w:r>
      <w:r>
        <w:rPr>
          <w:rFonts w:ascii="Times New Roman" w:hAnsi="Times New Roman"/>
          <w:sz w:val="20"/>
        </w:rPr>
        <w:t xml:space="preserve"> </w:t>
      </w:r>
      <w:r>
        <w:rPr>
          <w:rFonts w:ascii="Times New Roman;serif" w:hAnsi="Times New Roman;serif"/>
          <w:b w:val="false"/>
          <w:sz w:val="20"/>
        </w:rPr>
        <w:t>related to awards granted to its employees. The portion of this additional compensation expense attributable to vested awards of $3,715,000</w:t>
      </w:r>
      <w:r>
        <w:rPr>
          <w:rFonts w:ascii="Times New Roman" w:hAnsi="Times New Roman"/>
          <w:sz w:val="20"/>
        </w:rPr>
        <w:t xml:space="preserve"> </w:t>
      </w:r>
      <w:r>
        <w:rPr>
          <w:rFonts w:ascii="Times New Roman;serif" w:hAnsi="Times New Roman;serif"/>
          <w:b w:val="false"/>
          <w:sz w:val="20"/>
        </w:rPr>
        <w:t>was recognized immediately upon modification during the three months ended March 31, 2022.</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March 31, 2023, the Company also modified the vesting terms of outstanding time-based stock options issued to certain personnel upon their separation. This amendment constituted a modification of the awards under the provisions of ASC Topic 718 and resulted in the recognition of an additional $3,011,000</w:t>
      </w:r>
      <w:r>
        <w:rPr>
          <w:rFonts w:ascii="Times New Roman" w:hAnsi="Times New Roman"/>
          <w:sz w:val="20"/>
        </w:rPr>
        <w:t xml:space="preserve"> </w:t>
      </w:r>
      <w:r>
        <w:rPr>
          <w:rFonts w:ascii="Times New Roman;serif" w:hAnsi="Times New Roman;serif"/>
          <w:b w:val="false"/>
          <w:sz w:val="20"/>
        </w:rPr>
        <w:t>of compensation expense during the three months ended March 31, 2023.</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Issuance of Profits Interests to Service Provider</w:t>
      </w:r>
    </w:p>
    <w:p>
      <w:pPr>
        <w:pStyle w:val="TextBody"/>
        <w:bidi w:val="0"/>
        <w:spacing w:before="120" w:after="280"/>
        <w:jc w:val="left"/>
        <w:rPr>
          <w:rFonts w:ascii="Times New Roman" w:hAnsi="Times New Roman"/>
          <w:sz w:val="20"/>
        </w:rPr>
      </w:pPr>
      <w:r>
        <w:rPr>
          <w:rFonts w:ascii="Times New Roman;serif" w:hAnsi="Times New Roman;serif"/>
          <w:b w:val="false"/>
          <w:sz w:val="20"/>
        </w:rPr>
        <w:t>During the three months ended March 31, 2022, the Company issued 2,253,033</w:t>
      </w:r>
      <w:r>
        <w:rPr>
          <w:rFonts w:ascii="Times New Roman" w:hAnsi="Times New Roman"/>
          <w:sz w:val="20"/>
        </w:rPr>
        <w:t xml:space="preserve"> </w:t>
      </w:r>
      <w:r>
        <w:rPr>
          <w:rFonts w:ascii="Times New Roman;serif" w:hAnsi="Times New Roman;serif"/>
          <w:b w:val="false"/>
          <w:sz w:val="20"/>
        </w:rPr>
        <w:t>fully vested Class B-1 Units in PKLP to a third-party service provider as payment for research and development services provided in prior periods. The Company had previously recognized expense of $2,502,000</w:t>
      </w:r>
      <w:r>
        <w:rPr>
          <w:rFonts w:ascii="Times New Roman" w:hAnsi="Times New Roman"/>
          <w:sz w:val="20"/>
        </w:rPr>
        <w:t xml:space="preserve"> </w:t>
      </w:r>
      <w:r>
        <w:rPr>
          <w:rFonts w:ascii="Times New Roman;serif" w:hAnsi="Times New Roman;serif"/>
          <w:b w:val="false"/>
          <w:sz w:val="20"/>
        </w:rPr>
        <w:t>for these services based on the liability related to the services incurred. As the fair value of shares issued to satisfy that obligation was higher than the amount previously expensed, the Company recognized additional research and development expense of $14,080,000</w:t>
      </w:r>
      <w:r>
        <w:rPr>
          <w:rFonts w:ascii="Times New Roman" w:hAnsi="Times New Roman"/>
          <w:sz w:val="20"/>
        </w:rPr>
        <w:t xml:space="preserve"> </w:t>
      </w:r>
      <w:r>
        <w:rPr>
          <w:rFonts w:ascii="Times New Roman;serif" w:hAnsi="Times New Roman;serif"/>
          <w:b w:val="false"/>
          <w:sz w:val="20"/>
        </w:rPr>
        <w:t>during the three months ended March 31, 2022</w:t>
      </w:r>
      <w:r>
        <w:rPr>
          <w:rFonts w:ascii="Times New Roman;serif" w:hAnsi="Times New Roman;serif"/>
          <w:b w:val="false"/>
          <w:sz w:val="24"/>
        </w:rPr>
        <w:t>.</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Purchase of Class B-1 Units in PKLP</w:t>
      </w:r>
    </w:p>
    <w:p>
      <w:pPr>
        <w:pStyle w:val="TextBody"/>
        <w:bidi w:val="0"/>
        <w:spacing w:before="120" w:after="0"/>
        <w:jc w:val="left"/>
        <w:rPr>
          <w:rFonts w:ascii="Times New Roman" w:hAnsi="Times New Roman"/>
          <w:sz w:val="20"/>
        </w:rPr>
      </w:pPr>
      <w:r>
        <w:rPr>
          <w:rFonts w:ascii="Times New Roman;serif" w:hAnsi="Times New Roman;serif"/>
          <w:b w:val="false"/>
          <w:sz w:val="20"/>
        </w:rPr>
        <w:t>Certain of the Company’s employees, board members and service providers purchased 4,996,731</w:t>
      </w:r>
      <w:r>
        <w:rPr>
          <w:rFonts w:ascii="Times New Roman" w:hAnsi="Times New Roman"/>
          <w:sz w:val="20"/>
        </w:rPr>
        <w:t xml:space="preserve"> </w:t>
      </w:r>
      <w:r>
        <w:rPr>
          <w:rFonts w:ascii="Times New Roman;serif" w:hAnsi="Times New Roman;serif"/>
          <w:b w:val="false"/>
          <w:sz w:val="20"/>
        </w:rPr>
        <w:t>of Class B-1 Units in PKLP, as adjusted for the recapitalization, for total cash proceeds of $5,550,000, respectively, during the three months ended March 31, 2022. Since these Class B-1 Units in PKLP were fully vested upon purchase and contained no service requirements, the Company immediately recognized the difference between the purchase price and the estimated fair value for these Class B-1 Units in PKLP of $31,226,000</w:t>
      </w:r>
      <w:r>
        <w:rPr>
          <w:rFonts w:ascii="Times New Roman" w:hAnsi="Times New Roman"/>
          <w:sz w:val="20"/>
        </w:rPr>
        <w:t xml:space="preserve"> </w:t>
      </w:r>
      <w:r>
        <w:rPr>
          <w:rFonts w:ascii="Times New Roman;serif" w:hAnsi="Times New Roman;serif"/>
          <w:b w:val="false"/>
          <w:sz w:val="20"/>
        </w:rPr>
        <w:t>as equity-based compensation expense during the three months ended March 31, 2022. No such sales occurred during the three months ended March 31, 2023.</w:t>
      </w:r>
    </w:p>
    <w:p>
      <w:pPr>
        <w:pStyle w:val="TextBody"/>
        <w:bidi w:val="0"/>
        <w:spacing w:before="360" w:after="0"/>
        <w:jc w:val="left"/>
        <w:rPr>
          <w:rFonts w:ascii="Times New Roman;serif" w:hAnsi="Times New Roman;serif"/>
          <w:b/>
          <w:i/>
          <w:sz w:val="20"/>
        </w:rPr>
      </w:pPr>
      <w:r>
        <w:rPr>
          <w:rFonts w:ascii="Times New Roman;serif" w:hAnsi="Times New Roman;serif"/>
          <w:b/>
          <w:i/>
          <w:sz w:val="20"/>
        </w:rPr>
        <w:t>Fair Value Estimate for Profits Interest</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Prior to the Business Combination, PKLP was privately held with no active public market for its equity instruments. Therefore, for financial reporting purposes, management determined the estimated per share fair value of PKLP’s equity shares (including Profits Interests) using contemporaneous valuations. These contemporaneous valuations were done using methodologies consistent with the American Institute of Certified Public Accountants Practice Aid, </w:t>
      </w:r>
      <w:r>
        <w:rPr>
          <w:rFonts w:ascii="Times New Roman;serif" w:hAnsi="Times New Roman;serif"/>
          <w:b w:val="false"/>
          <w:i/>
          <w:sz w:val="20"/>
        </w:rPr>
        <w:t>Valuation of Privately-Held Company Equity Securities Issued as Compensation</w:t>
      </w:r>
      <w:r>
        <w:rPr>
          <w:rFonts w:ascii="Times New Roman;serif" w:hAnsi="Times New Roman;serif"/>
          <w:b w:val="false"/>
          <w:sz w:val="20"/>
        </w:rPr>
        <w:t>, also known as the Practice Aid.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Profits Interest Awards awarded during the three months ended March 31, 2022, the valuation approach utilized a hybrid method which consists of a combination of an Option Pricing Method (“OPM”) and a Probability Weighted Expected Return Method (”PWERM”) approach. Weighting allocations were assigned to the OPM and PWERM methods based upon the expected likelihood of possible future liquidity events, including the Business Combination.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OPM approach, the fair value of the total equity of PKLP within each scenario was first estimated using a back-solve method wherein the equity value is derived from a recent transaction in PKLP’s own securities, and then the total equity value is allocated to the various components of the capital structure, including the Profits Interests, using an OPM or a waterfall approach based on the specific rights of each of the equity classes. The OPM used the fair value of the total equity of PKLP within a scenario as a starting point and incorporates assumptions made regarding the expected returns and volatilities that are consistent with the expectations of market participants, and distribution of equity values is produced which cover the range of events that an informed market participant might expect. This process creates a range of equity values both between and within scenarios. The fair value measurement is sensitive to changes in the unobservable inputs. Changes in those inputs might result in a higher or lower fair value measurement.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PWERM approach is a scenario-based analysis that estimates the value per share of ordinary shares based on the probability-weighted present value of expected future equity values for the ordinary shares, under various possible future liquidity event scenarios, including the proposed Business Combination, in light of the rights and preferences of each class and series of stock, including the Profits Interests, discounted for a lack of marketability.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performing these valuations, management considered all objective and subjective factors that they believed to be relevant, including management’s best estimate of PKLP’s business condition, prospects, and operating performance at each valuation date. Within the valuations performed, a range of factors, assumptions, and methodologies were used. The significant factors included trends within the industry, the prices at which PKLP sold its Class A Units, the rights and preferences of the Class A Units relative to the Class B Units at the time of each measurement date, the results of operations, financial position, status of research and development efforts, stage of development and business strategy, the lack of an active public market for the units, and the likelihood of achieving an exit event in light of prevailing market conditions.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reflects the key assumptions used in each of the valuation scenarios for the awards granted during the three months ended March 31, 2022:</w:t>
      </w:r>
    </w:p>
    <w:p>
      <w:pPr>
        <w:pStyle w:val="TextBody"/>
        <w:bidi w:val="0"/>
        <w:spacing w:before="0" w:after="0"/>
        <w:jc w:val="both"/>
        <w:rPr/>
      </w:pPr>
      <w:r>
        <w:rPr/>
        <w:t> </w:t>
      </w:r>
    </w:p>
    <w:tbl>
      <w:tblPr>
        <w:tblW w:w="5909" w:type="dxa"/>
        <w:jc w:val="left"/>
        <w:tblInd w:w="0" w:type="dxa"/>
        <w:tblLayout w:type="fixed"/>
        <w:tblCellMar>
          <w:top w:w="28" w:type="dxa"/>
          <w:left w:w="28" w:type="dxa"/>
          <w:bottom w:w="28" w:type="dxa"/>
          <w:right w:w="28" w:type="dxa"/>
        </w:tblCellMar>
      </w:tblPr>
      <w:tblGrid>
        <w:gridCol w:w="2896"/>
        <w:gridCol w:w="146"/>
        <w:gridCol w:w="211"/>
        <w:gridCol w:w="781"/>
        <w:gridCol w:w="271"/>
        <w:gridCol w:w="146"/>
        <w:gridCol w:w="211"/>
        <w:gridCol w:w="931"/>
        <w:gridCol w:w="316"/>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OPM</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PWERM</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equity value (in thousands)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280,400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1,750,000</w:t>
            </w:r>
          </w:p>
        </w:tc>
        <w:tc>
          <w:tcPr>
            <w:tcW w:w="316"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 of total equity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Discount for lack of market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time to exit event</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3.7</w:t>
            </w:r>
            <w:r>
              <w:rPr>
                <w:rFonts w:ascii="Times New Roman" w:hAnsi="Times New Roman"/>
                <w:sz w:val="20"/>
              </w:rPr>
              <w:t> </w:t>
            </w:r>
            <w:r>
              <w:rPr>
                <w:rFonts w:ascii="Times New Roman;serif" w:hAnsi="Times New Roman;serif"/>
                <w:b w:val="false"/>
                <w:sz w:val="20"/>
              </w:rPr>
              <w:t>years</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0.5</w:t>
            </w:r>
            <w:r>
              <w:rPr>
                <w:rFonts w:ascii="Times New Roman" w:hAnsi="Times New Roman"/>
                <w:sz w:val="20"/>
              </w:rPr>
              <w:t> </w:t>
            </w:r>
            <w:r>
              <w:rPr>
                <w:rFonts w:ascii="Times New Roman;serif" w:hAnsi="Times New Roman;serif"/>
                <w:b w:val="false"/>
                <w:sz w:val="20"/>
              </w:rPr>
              <w:t>years</w:t>
            </w:r>
          </w:p>
        </w:tc>
        <w:tc>
          <w:tcPr>
            <w:tcW w:w="316" w:type="dxa"/>
            <w:tcBorders/>
            <w:vAlign w:val="center"/>
          </w:tcPr>
          <w:p>
            <w:pPr>
              <w:pStyle w:val="TableContents"/>
              <w:bidi w:val="0"/>
              <w:spacing w:before="0" w:after="0"/>
              <w:ind w:left="0" w:right="0" w:hanging="0"/>
              <w:jc w:val="right"/>
              <w:rPr/>
            </w:pPr>
            <w:r>
              <w:rPr/>
              <w:t> </w:t>
            </w:r>
          </w:p>
        </w:tc>
      </w:tr>
    </w:tbl>
    <w:p>
      <w:pPr>
        <w:pStyle w:val="TextBody"/>
        <w:bidi w:val="0"/>
        <w:spacing w:before="240" w:after="0"/>
        <w:jc w:val="both"/>
        <w:rPr>
          <w:rFonts w:ascii="Times New Roman;serif" w:hAnsi="Times New Roman;serif"/>
          <w:b/>
          <w:i/>
          <w:sz w:val="20"/>
        </w:rPr>
      </w:pPr>
      <w:r>
        <w:rPr>
          <w:rFonts w:ascii="Times New Roman;serif" w:hAnsi="Times New Roman;serif"/>
          <w:b/>
          <w:i/>
          <w:sz w:val="20"/>
        </w:rPr>
        <w:t>Compensation Expense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Compensation expense related to share-based awards is included in research and development and general and administrative expense as follows (in thousands):</w:t>
      </w:r>
    </w:p>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6787" w:type="dxa"/>
        <w:jc w:val="left"/>
        <w:tblInd w:w="0" w:type="dxa"/>
        <w:tblLayout w:type="fixed"/>
        <w:tblCellMar>
          <w:top w:w="28" w:type="dxa"/>
          <w:left w:w="28" w:type="dxa"/>
          <w:bottom w:w="28" w:type="dxa"/>
          <w:right w:w="28" w:type="dxa"/>
        </w:tblCellMar>
      </w:tblPr>
      <w:tblGrid>
        <w:gridCol w:w="3541"/>
        <w:gridCol w:w="282"/>
        <w:gridCol w:w="904"/>
        <w:gridCol w:w="195"/>
        <w:gridCol w:w="222"/>
        <w:gridCol w:w="282"/>
        <w:gridCol w:w="904"/>
        <w:gridCol w:w="146"/>
        <w:gridCol w:w="311"/>
      </w:tblGrid>
      <w:tr>
        <w:trPr/>
        <w:tc>
          <w:tcPr>
            <w:tcW w:w="35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rFonts w:cs="Times New Roman;serif"/>
                <w:bCs w:val="false"/>
                <w:szCs w:val="20"/>
              </w:rPr>
            </w:pPr>
            <w:r>
              <w:rPr>
                <w:rFonts w:cs="Times New Roman;serif"/>
                <w:bCs w:val="false"/>
                <w:szCs w:val="20"/>
              </w:rPr>
              <w:t>﻿</w:t>
            </w:r>
          </w:p>
        </w:tc>
        <w:tc>
          <w:tcPr>
            <w:tcW w:w="2789" w:type="dxa"/>
            <w:gridSpan w:val="6"/>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46" w:type="dxa"/>
            <w:tcBorders/>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rFonts w:cs="Times New Roman;serif"/>
                <w:bCs/>
                <w:szCs w:val="20"/>
              </w:rPr>
            </w:pPr>
            <w:r>
              <w:rPr>
                <w:rFonts w:cs="Times New Roman;serif"/>
                <w:bCs/>
                <w:szCs w:val="20"/>
              </w:rPr>
              <w:t>﻿</w:t>
            </w:r>
          </w:p>
        </w:tc>
      </w:tr>
      <w:tr>
        <w:trPr/>
        <w:tc>
          <w:tcPr>
            <w:tcW w:w="3541" w:type="dxa"/>
            <w:tcBorders/>
            <w:vAlign w:val="center"/>
          </w:tcPr>
          <w:p>
            <w:pPr>
              <w:pStyle w:val="TableContents"/>
              <w:bidi w:val="0"/>
              <w:spacing w:before="0" w:after="0"/>
              <w:ind w:left="0" w:right="0" w:hanging="0"/>
              <w:jc w:val="center"/>
              <w:rPr>
                <w:rFonts w:cs="Times New Roman;serif"/>
                <w:bCs/>
                <w:szCs w:val="20"/>
              </w:rPr>
            </w:pPr>
            <w:r>
              <w:rPr>
                <w:rFonts w:cs="Times New Roman;serif"/>
                <w:bCs/>
                <w:szCs w:val="20"/>
              </w:rPr>
              <w:t>﻿</w:t>
            </w:r>
          </w:p>
        </w:tc>
        <w:tc>
          <w:tcPr>
            <w:tcW w:w="11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2" w:type="dxa"/>
            <w:tcBorders/>
            <w:vAlign w:val="center"/>
          </w:tcPr>
          <w:p>
            <w:pPr>
              <w:pStyle w:val="TableContents"/>
              <w:bidi w:val="0"/>
              <w:spacing w:before="0" w:after="0"/>
              <w:ind w:left="0" w:right="0" w:hanging="0"/>
              <w:jc w:val="center"/>
              <w:rPr>
                <w:rFonts w:cs="Times New Roman;serif"/>
                <w:bCs/>
                <w:szCs w:val="20"/>
              </w:rPr>
            </w:pPr>
            <w:r>
              <w:rPr>
                <w:rFonts w:cs="Times New Roman;serif"/>
                <w:bCs/>
                <w:szCs w:val="20"/>
              </w:rPr>
              <w:t>﻿</w:t>
            </w:r>
          </w:p>
        </w:tc>
        <w:tc>
          <w:tcPr>
            <w:tcW w:w="11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1" w:type="dxa"/>
            <w:tcBorders/>
            <w:vAlign w:val="center"/>
          </w:tcPr>
          <w:p>
            <w:pPr>
              <w:pStyle w:val="TableContents"/>
              <w:bidi w:val="0"/>
              <w:spacing w:before="0" w:after="0"/>
              <w:ind w:left="0" w:right="0" w:hanging="0"/>
              <w:jc w:val="center"/>
              <w:rPr>
                <w:rFonts w:cs="Times New Roman;serif"/>
                <w:bCs/>
                <w:szCs w:val="20"/>
              </w:rPr>
            </w:pPr>
            <w:r>
              <w:rPr>
                <w:rFonts w:cs="Times New Roman;serif"/>
                <w:bCs/>
                <w:szCs w:val="20"/>
              </w:rPr>
              <w:t>﻿</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5,159</w:t>
            </w:r>
          </w:p>
        </w:tc>
        <w:tc>
          <w:tcPr>
            <w:tcW w:w="195"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r>
              <w:rPr>
                <w:rFonts w:cs="Times New Roman;serif"/>
                <w:bCs w:val="false"/>
                <w:szCs w:val="20"/>
              </w:rPr>
              <w:t>﻿</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17,367</w:t>
            </w:r>
          </w:p>
        </w:tc>
        <w:tc>
          <w:tcPr>
            <w:tcW w:w="1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r>
              <w:rPr>
                <w:rFonts w:cs="Times New Roman;serif"/>
                <w:bCs w:val="false"/>
                <w:szCs w:val="20"/>
              </w:rPr>
              <w:t>﻿</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7,861</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r>
              <w:rPr>
                <w:rFonts w:cs="Times New Roman;serif"/>
                <w:bCs w:val="false"/>
                <w:szCs w:val="20"/>
              </w:rPr>
              <w:t>﻿</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firstLine="100"/>
              <w:jc w:val="left"/>
              <w:rPr/>
            </w:pPr>
            <w:r>
              <w:rPr/>
              <w:t> </w:t>
            </w:r>
            <w:r>
              <w:rPr>
                <w:rFonts w:cs="Times New Roman;serif"/>
                <w:bCs w:val="false"/>
                <w:szCs w:val="20"/>
              </w:rPr>
              <w:t>﻿</w:t>
            </w:r>
          </w:p>
        </w:tc>
      </w:tr>
      <w:tr>
        <w:trPr/>
        <w:tc>
          <w:tcPr>
            <w:tcW w:w="35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equity-based compensation expense</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13,020</w:t>
            </w:r>
          </w:p>
        </w:tc>
        <w:tc>
          <w:tcPr>
            <w:tcW w:w="1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r>
              <w:rPr>
                <w:rFonts w:cs="Times New Roman;serif"/>
                <w:bCs w:val="false"/>
                <w:szCs w:val="20"/>
              </w:rPr>
              <w:t>﻿</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r>
              <w:rPr>
                <w:rFonts w:cs="Times New Roman;serif"/>
                <w:bCs w:val="false"/>
                <w:szCs w:val="20"/>
              </w:rPr>
              <w:t>﻿</w:t>
            </w:r>
          </w:p>
        </w:tc>
      </w:tr>
    </w:tbl>
    <w:p>
      <w:pPr>
        <w:pStyle w:val="TextBody"/>
        <w:bidi w:val="0"/>
        <w:spacing w:before="12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10" w:name="i_item2"/>
      <w:bookmarkEnd w:id="10"/>
      <w:r>
        <w:rPr>
          <w:rFonts w:ascii="Times New Roman;serif" w:hAnsi="Times New Roman;serif"/>
          <w:b/>
          <w:sz w:val="20"/>
        </w:rPr>
        <w:t>Item 2. Management’s Discussion and Analysis of Financial Condition and Results of Operations.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As used in this Quarterly Report on Form 10-Q, the “Company”, the “Registrant”, “we” or “us” refer to ProKidney Corp.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in the Risk Factors section of the Annual Report on Form 10-K filed with the Securities and Exchange Commission,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spacing w:before="360" w:after="0"/>
        <w:jc w:val="left"/>
        <w:rPr>
          <w:rFonts w:ascii="Times New Roman;serif" w:hAnsi="Times New Roman;serif"/>
          <w:b/>
          <w:sz w:val="20"/>
        </w:rPr>
      </w:pPr>
      <w:r>
        <w:rPr>
          <w:rFonts w:ascii="Times New Roman;serif" w:hAnsi="Times New Roman;serif"/>
          <w:b/>
          <w:sz w:val="20"/>
        </w:rPr>
        <w:t>Overview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clinical-stage biotechnology business with a transformative proprietary cell therapy platform capable of treating multiple chronic kidney diseases using a patient’s own cells isolated from the patient intended for treatment. Our approach seeks to redefine the treatment of chronic kidney disease (“CKD”), shifting the emphasis away from management of kidney failure, to the restoration or improvement of kidney function to stop or delay progression of CKD. Our lead product candidate, which we refer to as REACT, is designed to preserve kidney function in a CKD patient’s diseased kidneys. REACT is a product that includes selected renal cells (“SRCs”) prepared from a patient’s own, autologous, renal cells. SRCs are formulated into a product for reinjection into the patient’s kidney using a minimally invasive outpatient procedure that can be repeated if necessary. Because REACT is a personalized treatment composed of cells prepared from a patient’s kidney, there is no need for treatment with immunosuppressive therapies, which are required during a patient’s lifetime when a patient receives a kidney transplant from another, allogeneic donor.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currently conducting a Phase 3 development program and multiple Phase 2 clinical trials for REACT in subjects with moderate to severe diabetic kidney disease. We are also conducting a Phase 1 clinical trial for REACT in subjects with congenital anomalies of the kidney and urinary tract (“CAKUT”). REACT has been generally well tolerated by subjects with moderate to severe diabetic kidney disease in Phase 1 and 2 clinical testing to date. It has also been shown to preserve kidney function in subjects based on measurements of iohexol renal clearance and UACR. REACT has received Regenerative Medicine Advanced Therapy (“RMAT”) designation from the United States Food and Drug Administration (the “FDA”).</w:t>
      </w:r>
    </w:p>
    <w:p>
      <w:pPr>
        <w:pStyle w:val="TextBody"/>
        <w:bidi w:val="0"/>
        <w:spacing w:before="120" w:after="0"/>
        <w:jc w:val="left"/>
        <w:rPr>
          <w:rFonts w:ascii="Times New Roman" w:hAnsi="Times New Roman"/>
          <w:sz w:val="20"/>
        </w:rPr>
      </w:pPr>
      <w:r>
        <w:rPr>
          <w:rFonts w:ascii="Times New Roman;serif" w:hAnsi="Times New Roman;serif"/>
          <w:b w:val="false"/>
          <w:sz w:val="20"/>
        </w:rPr>
        <w:t>Since our inception, we have devoted substantially all of our resources to raising capital, organizing and staffing our company, business and scientific planning, conducting discovery and research activities, acquiring or discovering product candidates, establishing and protecting our intellectual property portfolio, developing and progressing REACT and preparing for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Recent Developments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REGEN-007</w:t>
      </w:r>
    </w:p>
    <w:p>
      <w:pPr>
        <w:pStyle w:val="TextBody"/>
        <w:bidi w:val="0"/>
        <w:spacing w:before="120" w:after="0"/>
        <w:jc w:val="left"/>
        <w:rPr>
          <w:rFonts w:ascii="Times New Roman" w:hAnsi="Times New Roman"/>
          <w:sz w:val="20"/>
        </w:rPr>
      </w:pPr>
      <w:r>
        <w:rPr>
          <w:rFonts w:ascii="Times New Roman;serif" w:hAnsi="Times New Roman;serif"/>
          <w:b w:val="false"/>
          <w:sz w:val="20"/>
        </w:rPr>
        <w:t>REGEN-007 is an ongoing Phase 2, prospective, randomized, open-label, repeat dose, double-arm, controlled safety and efficacy study of REACT in subjects with type 1 or 2 diabetes and CKD.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primary objective of this study is to assess the safety and efficacy of up to two REACT injections given three months apart (up to 60 days after target date) in Type 1 and 2 Diabetic Kidney Disease with eGFRs between 20 and 50 ml/min/1.73m2) and delivered into biopsied and non-biopsied contralateral kidneys using a minimally invasive percutaneous approach, as compared to a single REACT injection followed by monitoring and a potential second injection delivered into the non-biopsied contralateral kidney using a minimally invasive percutaneous approach triggered by a 20% decrease in eGFR and/or a 30% increase in urinary albumin-to-creatinine ratio (“UACR”), that is delivered within 60 days of trigger being met. In previous Phase 2 studies, we injected REACT into the same kidney twice. Based on a generally favorable safety profile observed in previous studies, we are now proceeding with the injection of REACT into both kidneys in REGEN-007, which we expect will result in increased therapeutic effect as compared to injecting a single kidney, as the systemic effects of Type-2 diabetes mellitus impact both kidneys. By injecting both kidneys, patients have maximal exposure to REACT cells, with the potential to impact a greater proportion of kidney mass. Further, the number of</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glomeruli (the filtering units of the kidney) that are amenable to regenerative therapy is effectively doubled when injecting both kidneys, thereby allowing both kidneys to initiate healing and repair to improve function. The main goal of REGEN-007 is to evaluate whether REACT injections in both kidneys as opposed to two injections in the same kidney will: (a) increase the improvement of kidney function over and above the mean eGFR improvement observed in REGEN-002, or (b) increase the number of patients in which kidney function is preserved as compared to the number of patients in which this was observed in REGEN-002.</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that REGEN-007 may provide some insights regarding the magnitude of clinical benefit that could be observed in our Phase 3 program.</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completed enrollment in REGEN-007 with a total of 53 subjects. We anticipate reporting interim data from this study in late 2023.</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REGEN-006/proact 1 trial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REGEN-006 (proact 1) is a Phase 3, randomized, single-blinded, bi-lateral kidney dose, sham control arm, controlled efficacy study of REACT in subjects with type 2 diabetes and CKD Stages 3a-4 with moderate to severe albuminuria. Albuminuria refers to the presence of an excess of the protein albumin in urine, which is a sign of kidney disease. This study continues to enroll patients and initial interim data is expected at the end of 2024. This study will be conducted in clinical centers in the United States, Canada, Australia, Israel, Mexico, Taiwan and the United Kingdom.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primary objective of this study is to assess the efficacy of up to two REACT injections given three months apart and delivered into biopsied and non-biopsied contralateral kidneys using a minimally invasive percutaneous approach. The total planned enrollment is 600 subjects.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primary composite endpoint is the time from first injection to the earliest of: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At least 40% reduction in eGFR, using the 2009 CKD-EPI serum creatinine equation, sustained for 30 days;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eGFR &lt;15 mL/min/1.73m² using the 2009 CKD-EPI serum creatinine equation, sustained for 30 days and/or chronic dialysis, and/or renal transplant;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renal or cardiovascular death.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Subjects will be randomized (1:1) to the treatment group and the “masked” sham control group prior to kidney biopsy.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study continues to enroll patients and initial interim data is expected at the end of 2024.</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REGEN-016/proact 2 trial</w:t>
      </w:r>
    </w:p>
    <w:p>
      <w:pPr>
        <w:pStyle w:val="TextBody"/>
        <w:bidi w:val="0"/>
        <w:spacing w:before="120" w:after="0"/>
        <w:jc w:val="left"/>
        <w:rPr>
          <w:rFonts w:ascii="Times New Roman" w:hAnsi="Times New Roman"/>
          <w:sz w:val="20"/>
        </w:rPr>
      </w:pPr>
      <w:r>
        <w:rPr>
          <w:rFonts w:ascii="Times New Roman;serif" w:hAnsi="Times New Roman;serif"/>
          <w:b w:val="false"/>
          <w:sz w:val="20"/>
        </w:rPr>
        <w:t>REGEN-016 (proact 2) is a planned Phase 3, randomized, single-blinded, sham control arm, bi-lateral kidney dose, controlled efficacy study of REACT in subjects with type 2 diabetes and CKD Stages 3a-4 with moderate to severe albuminuria. This study will be implemented in clinical centers in Europe, Latin America, and Asia-Pacific and some United States centers.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primary objective of this study is to assess the efficacy of up to two REACT injections given three months apart and delivered into biopsied and non-biopsied contralateral kidneys using a minimally invasive percutaneous approach. The total planned enrollment is 600 subjects.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primary composite endpoint is the time from first injection to the earliest of: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At least 40% reduction in eGFR, using the 2009 CKD-EPI serum creatinine equation, sustained for 30 days;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eGFR &lt;15 mL/min/1.73m² using the 2009 CKD-EPI serum creatinine equation, sustained for 30 days and/or chronic dialysis, and/or renal transplant;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renal or cardiovascular death.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Enrollment in this study is expected to begin in the second half of 2023. We plan to evaluate interim data for REGEN-016 in late-2025, with the potential for conditional FDA approval anticipated in late 2026.</w:t>
      </w:r>
    </w:p>
    <w:p>
      <w:pPr>
        <w:pStyle w:val="TextBody"/>
        <w:bidi w:val="0"/>
        <w:spacing w:before="0" w:after="0"/>
        <w:jc w:val="left"/>
        <w:rPr>
          <w:rFonts w:ascii="Times New Roman" w:hAnsi="Times New Roman"/>
          <w:sz w:val="20"/>
        </w:rPr>
      </w:pPr>
      <w:r>
        <w:rPr>
          <w:rFonts w:ascii="Times New Roman;serif" w:hAnsi="Times New Roman;serif"/>
          <w:b w:val="false"/>
          <w:sz w:val="20"/>
        </w:rPr>
        <w:br/>
        <w:br/>
      </w:r>
      <w:r>
        <w:rPr>
          <w:rFonts w:ascii="Times New Roman;serif" w:hAnsi="Times New Roman;serif"/>
          <w:b/>
          <w:sz w:val="20"/>
        </w:rPr>
        <w:t>Business Impact of the COVID-19 Pandemic</w:t>
      </w:r>
    </w:p>
    <w:p>
      <w:pPr>
        <w:pStyle w:val="TextBody"/>
        <w:bidi w:val="0"/>
        <w:spacing w:before="120" w:after="0"/>
        <w:jc w:val="left"/>
        <w:rPr>
          <w:rFonts w:ascii="Times New Roman" w:hAnsi="Times New Roman"/>
          <w:sz w:val="20"/>
        </w:rPr>
      </w:pPr>
      <w:r>
        <w:rPr>
          <w:rFonts w:ascii="Times New Roman;serif" w:hAnsi="Times New Roman;serif"/>
          <w:b w:val="false"/>
          <w:sz w:val="20"/>
        </w:rPr>
        <w:t>The global COVID-19 pandemic continues to rapidly evolve, and we will continue to monitor the COVID-19 situation closely. To date, our financial condition and operations have not been significantly impacted by the COVID-19 pandemic. However, we cannot, at this time, predict the specific extent, duration or full impact that the COVID-19 pandemic will have on our financial condition and operations, including our ongoing and planned clinical trials. The extent of the impact of the COVID-19 on our business, operations and clinical development timelines and plans remains uncertain and will depend on certain developments,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including the duration and spread of the outbreak and its impact on our clinical trial enrollment, trial sites, contract research organizations (“CROs”), and other third parties with whom we do business, as well as its impact on regulatory authorities and our key scientific and management personnel. To the extent possible, we are conducting business as usual, with necessary or advisable modifications to employee travel as some of our employees are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The development of our product candidates could be disrupted and materially adversely affected in the future by the COVID-19 pandemic. Our planned clinical trials also could be delayed due to government orders and site policies on account of the pandemic, and some patients may be unwilling or unable to travel to study sites,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 and commercialize REACT or any future product candidates. Furthermore, COVID-19 could affect our employees or the employees of research sites and service providers on whom we rely, including CROs, as well as those of companies with which we do business, including our suppliers, thereby disrupting our business operations. These and other events resulting from the COVID-19 pandemic could disrupt, delay, or otherwise adversely impact our business.</w:t>
      </w:r>
    </w:p>
    <w:p>
      <w:pPr>
        <w:pStyle w:val="TextBody"/>
        <w:bidi w:val="0"/>
        <w:spacing w:before="360" w:after="0"/>
        <w:jc w:val="left"/>
        <w:rPr>
          <w:rFonts w:ascii="Times New Roman;serif" w:hAnsi="Times New Roman;serif"/>
          <w:b/>
          <w:sz w:val="20"/>
        </w:rPr>
      </w:pPr>
      <w:r>
        <w:rPr>
          <w:rFonts w:ascii="Times New Roman;serif" w:hAnsi="Times New Roman;serif"/>
          <w:b/>
          <w:sz w:val="20"/>
        </w:rPr>
        <w:t>Financial Operations Overview</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not generated any revenue since our inception and do not expect to generate any revenue from the sale of products in the near future, if at all. If our development efforts for REACT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pStyle w:val="TextBody"/>
        <w:bidi w:val="0"/>
        <w:spacing w:before="0" w:after="0"/>
        <w:jc w:val="left"/>
        <w:rPr>
          <w:rFonts w:ascii="Times New Roman;serif" w:hAnsi="Times New Roman;serif"/>
          <w:b/>
          <w:i/>
          <w:sz w:val="20"/>
        </w:rPr>
      </w:pPr>
      <w:r>
        <w:rPr>
          <w:rFonts w:ascii="Times New Roman;serif" w:hAnsi="Times New Roman;serif"/>
          <w:b/>
          <w:i/>
          <w:sz w:val="20"/>
        </w:rPr>
        <w:t>Expenses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Research and Development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consist primarily of costs incurred in connection with our research and development activities, including the development of REACT.</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Research and development costs include: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external research and development expenses incurred under agreements with CROs and other scientific development services;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of other outside consultants, including their fees and related travel expenses;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related to compliance with quality and regulatory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of laboratory supplies and acquiring and developing clinical trial materials;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payments made under third-party licensing agreements;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personnel-related expenses, including salaries, bonuses, benefits and stock-based compensation expenses, for individuals involved in research and development activities;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facilities, depreciation and other allocated expenses, which include direct and allocated expenses for rent, insurance and other internal operating costs.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or services to be received in the future for use in research and development activities are deferred and capitalized, even when there is no alternative future use for the research and development. The capitalized amounts are recorded as prepaid clinical and are expensed as the related goods are delivered or the services are performed.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Research and development activities are central to our business model. We expect that our research and development expenses will increase significantly for the foreseeable future as REACT moves into later stages of clinical development.</w:t>
      </w:r>
    </w:p>
    <w:p>
      <w:pPr>
        <w:pStyle w:val="TextBody"/>
        <w:bidi w:val="0"/>
        <w:spacing w:before="240" w:after="0"/>
        <w:jc w:val="left"/>
        <w:rPr>
          <w:rFonts w:ascii="Times New Roman" w:hAnsi="Times New Roman"/>
          <w:sz w:val="20"/>
        </w:rPr>
      </w:pPr>
      <w:r>
        <w:rPr>
          <w:rFonts w:ascii="Times New Roman;serif" w:hAnsi="Times New Roman;serif"/>
          <w:b w:val="false"/>
          <w:sz w:val="20"/>
        </w:rPr>
        <w:t>The successful development of REACT and any product candidates we may develop in the future is highly uncertain. Therefore, we cannot reasonably estimate or know the nature, timing and estimated costs of the efforts that will be necessary to complete the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development and commercialization of any of our product candidates. We are also unable to predict when, if ever, material net cash inflows will commence from the sale of REACT or potential future product candidates, if approved. This is due to the numerous risks and uncertainties associated with developing product candidates, many of which are outside of our control, including the uncertainty of: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and progress of non-clinical and clinical development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and scope of non-clinical and clinical programs we decide to pursue;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maintain our current research and development programs and to establish new ones;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an appropriate safety-profile;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of sites and patients involved in our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countries in which the clinical trials are conducted;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per patient trial costs;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successful patient enrollment in, and the initiation of, clinical trials, as well as drop out or discontinuation rates, particularly in light of the current COVID-19 pandemic environment;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successful completion of clinical trials with safety, tolerability and efficacy profiles that are satisfactory to the FDA and comparable foreign regulatory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of trials required for regulatory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receipt and terms of any regulatory approvals from applicable regulatory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establish new licensing or collaboration arrangements;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performance of our future collaborators, if any;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commercial manufacturing capabilities or making arrangements with third-party manufacturers;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significant and changing government regulation and regulatory guidance;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any business interruptions to our operations or to those of the third parties with whom we work, particularly in light of the current COVID-19 pandemic environment;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maintaining, defending and enforcing patient claims or other intellectual property rights;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potential benefits of REACT over other therapies;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launching commercial sales of REACT, if approved, whether alone or in collaboration with others;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maintaining a continued acceptable safety profile of REACT following approval.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administrative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that our general and administrative expenses will increase significantly for the foreseeable future as our business expands and we hire additional personnel to support our operations. We also anticipate increased expenses associated with being a public company, including costs for legal, audit, accounting, investor and public relations, tax-related services, director and officer insurance, and regulatory costs related to compliance with the rules and regulations of the United States Securities and Exchange Commission (the “SEC”) as well as listing standards applicable to companies listed on a national securities exchange.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Other Income (Expense)</w:t>
      </w:r>
    </w:p>
    <w:p>
      <w:pPr>
        <w:pStyle w:val="TextBody"/>
        <w:bidi w:val="0"/>
        <w:spacing w:before="120" w:after="0"/>
        <w:jc w:val="left"/>
        <w:rPr>
          <w:rFonts w:ascii="Times New Roman" w:hAnsi="Times New Roman"/>
          <w:sz w:val="20"/>
        </w:rPr>
      </w:pPr>
      <w:r>
        <w:rPr>
          <w:rFonts w:ascii="Times New Roman;serif" w:hAnsi="Times New Roman;serif"/>
          <w:b w:val="false"/>
          <w:sz w:val="20"/>
        </w:rPr>
        <w:t>Other income consists primarily of interest income earned on cash, cash equivalents and marketable securities.</w:t>
      </w:r>
      <w:r>
        <w:rPr>
          <w:rFonts w:ascii="Times New Roman" w:hAnsi="Times New Roman"/>
          <w:sz w:val="20"/>
        </w:rPr>
        <w:t xml:space="preserve">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Income Tax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Income tax expense reflects federal and state taxes on income earned by our subsidiary that is organized as a C corporation for U.S. income tax purposes.</w:t>
      </w:r>
    </w:p>
    <w:p>
      <w:pPr>
        <w:pStyle w:val="TextBody"/>
        <w:bidi w:val="0"/>
        <w:spacing w:before="360" w:after="0"/>
        <w:jc w:val="left"/>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Comparison of Three Months Ended March 31, 2023 and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three months ended March 31, 2023 and 2022 (in thousands):</w:t>
      </w:r>
    </w:p>
    <w:tbl>
      <w:tblPr>
        <w:tblW w:w="8633" w:type="dxa"/>
        <w:jc w:val="left"/>
        <w:tblInd w:w="0" w:type="dxa"/>
        <w:tblLayout w:type="fixed"/>
        <w:tblCellMar>
          <w:top w:w="28" w:type="dxa"/>
          <w:left w:w="28" w:type="dxa"/>
          <w:bottom w:w="28" w:type="dxa"/>
          <w:right w:w="28" w:type="dxa"/>
        </w:tblCellMar>
      </w:tblPr>
      <w:tblGrid>
        <w:gridCol w:w="4411"/>
        <w:gridCol w:w="146"/>
        <w:gridCol w:w="211"/>
        <w:gridCol w:w="736"/>
        <w:gridCol w:w="166"/>
        <w:gridCol w:w="146"/>
        <w:gridCol w:w="211"/>
        <w:gridCol w:w="736"/>
        <w:gridCol w:w="166"/>
        <w:gridCol w:w="146"/>
        <w:gridCol w:w="211"/>
        <w:gridCol w:w="736"/>
        <w:gridCol w:w="61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(2,873</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(22,713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(25,586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25,586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5,297</w:t>
            </w:r>
          </w:p>
        </w:tc>
        <w:tc>
          <w:tcPr>
            <w:tcW w:w="611" w:type="dxa"/>
            <w:tcBorders/>
            <w:vAlign w:val="center"/>
          </w:tcPr>
          <w:p>
            <w:pPr>
              <w:pStyle w:val="TableContents"/>
              <w:bidi w:val="0"/>
              <w:spacing w:before="0" w:after="0"/>
              <w:ind w:left="0" w:right="0" w:firstLine="200"/>
              <w:jc w:val="left"/>
              <w:rPr/>
            </w:pPr>
            <w:r>
              <w:rPr/>
              <w:t> </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before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30,894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and comprehensive loss before noncontrolling</w:t>
              <w:br/>
              <w:t>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30,577</w:t>
            </w:r>
          </w:p>
        </w:tc>
        <w:tc>
          <w:tcPr>
            <w:tcW w:w="611" w:type="dxa"/>
            <w:tcBorders/>
            <w:vAlign w:val="center"/>
          </w:tcPr>
          <w:p>
            <w:pPr>
              <w:pStyle w:val="TableContents"/>
              <w:bidi w:val="0"/>
              <w:spacing w:before="0" w:after="0"/>
              <w:ind w:left="0" w:right="0" w:firstLine="200"/>
              <w:jc w:val="left"/>
              <w:rPr/>
            </w:pPr>
            <w:r>
              <w:rPr/>
              <w:t> </w:t>
            </w:r>
          </w:p>
        </w:tc>
      </w:tr>
      <w:tr>
        <w:trPr/>
        <w:tc>
          <w:tcPr>
            <w:tcW w:w="4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Net loss and comprehensive loss attributable to </w:t>
              <w:br/>
              <w:t>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(27,244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and comprehensive loss available to Class A</w:t>
              <w:br/>
              <w:t>   ordinary shareholders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57,821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Research and development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decrease in research and development expenses of approximately $2.9 million was primarily driven by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decreases in costs of $14.1 million related to equity-based payments for services rendered by a third-party which were adjusted to the fair value of the awards issued upon their grant date in the three months ended March 31, 2022 offset by;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increases in cash-based compensation costs of approximately $3.0 million due to the hiring of additional personnel;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increases in costs of approximately $3.8 million related to proact-1 and proact-2 as proact-1 continues to enroll additional subjects and proact-2 continues to incur costs related to start-up activities as we are expecting enrollment to begin in the second half of 2023;</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increases in costs related to our other clinical trials of approximately $1.7 million due to higher levels of activity being incurred in the three months ended March 31, 2023; and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increases in other research and development costs of approximately $1.8 million related to additional spending on manufacturing improvements and professional fees.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decrease in general and administrative expenses of approximately $22.7 million was primarily driven by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decreases in equity-based compensation of approximately $26.0 million as such expense was higher for the three months ended March 31, 2023 due to the sale of Class B-1 Units of PKLP at amounts less than their fair value offset by; </w:t>
      </w:r>
    </w:p>
    <w:p>
      <w:pPr>
        <w:pStyle w:val="TextBody"/>
        <w:bidi w:val="0"/>
        <w:spacing w:before="0" w:after="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increases in professional fees and insurance costs of approximately $2.4 million related to our operations as a public company; and </w:t>
      </w:r>
    </w:p>
    <w:p>
      <w:pPr>
        <w:pStyle w:val="TextBody"/>
        <w:bidi w:val="0"/>
        <w:spacing w:before="0" w:after="0"/>
        <w:jc w:val="left"/>
        <w:rPr/>
      </w:pPr>
      <w:r>
        <w:rPr/>
        <w:t>•</w:t>
      </w:r>
    </w:p>
    <w:p>
      <w:pPr>
        <w:pStyle w:val="TextBody"/>
        <w:bidi w:val="0"/>
        <w:jc w:val="left"/>
        <w:rPr>
          <w:rFonts w:ascii="Times New Roman;serif" w:hAnsi="Times New Roman;serif"/>
          <w:b w:val="false"/>
          <w:sz w:val="20"/>
        </w:rPr>
      </w:pPr>
      <w:r>
        <w:rPr>
          <w:rFonts w:ascii="Times New Roman;serif" w:hAnsi="Times New Roman;serif"/>
          <w:b w:val="false"/>
          <w:sz w:val="20"/>
        </w:rPr>
        <w:t>increases in cash-based compensation expenses of approximately $0.3 million due to the hiring of additional personnel.</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Income tax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Income tax expense for the three months ended March 31, 2023 was relatively consistent with the income tax expense recognized for the three months ended March 31, 2022.</w:t>
      </w:r>
    </w:p>
    <w:p>
      <w:pPr>
        <w:pStyle w:val="TextBody"/>
        <w:bidi w:val="0"/>
        <w:spacing w:before="360" w:after="0"/>
        <w:jc w:val="left"/>
        <w:rPr>
          <w:rFonts w:ascii="Times New Roman;serif" w:hAnsi="Times New Roman;serif"/>
          <w:b/>
          <w:i/>
          <w:sz w:val="20"/>
        </w:rPr>
      </w:pPr>
      <w:r>
        <w:rPr>
          <w:rFonts w:ascii="Times New Roman;serif" w:hAnsi="Times New Roman;serif"/>
          <w:b/>
          <w:i/>
          <w:sz w:val="20"/>
        </w:rPr>
        <w:t>Liquidity and Capital Resources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Sources of liquidity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From our inception through March 31, 2023, we funded our operations primarily through capital contributions from the holders of PKLP and the proceeds obtained through the business combination between Social Capital Suvretta Holdings Corp. III and PKLP (the “Business Combination”) and related PIPE financing.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that our existing cash, cash equivalents and marketable securities held at March 31, 2023, will enable us to fund our operating expenses and capital expenditure requirements through 2024. We have based this estimate on assumptions that may prove to be wrong and we could exhaust our capital resources sooner than we expect.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our expenses to increase substantially if, and as, we: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initiate and continue research and clinical development of our product candidates, including in particular our clinical trials for REACT;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incur third-party manufacturing costs to support our non-clinical studies and clinical trials of our product candidate and, if approved, its commercialization;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seek to identify and develop additional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make investment in developing internal manufacturing capabilities;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seek regulatory and marketing approvals for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since the closing of the Business Combination (the “Closing”) we have begun incurring additional costs associated with operating as a public company, including significant legal, audit, accounting, investor and public relations, regulatory, tax-related, director and officer insurance premiums and other expenses.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unitholders.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shares. Our ability to raise additional funds may be adversely impacted by potential worsening global economic conditions and disruptions to and volatility in the credit and financial markets in the United States and worldwide. Because of the numerous risks and uncertainties associated with product development, we cannot predict the timing or amount of increased expenses, and there is no assurance that we will ever be profitable or generate positive cash flow from operating activities.</w:t>
      </w:r>
    </w:p>
    <w:p>
      <w:pPr>
        <w:pStyle w:val="TextBody"/>
        <w:bidi w:val="0"/>
        <w:spacing w:before="0" w:after="0"/>
        <w:jc w:val="left"/>
        <w:rPr>
          <w:rFonts w:ascii="Times New Roman;serif" w:hAnsi="Times New Roman;serif"/>
          <w:b/>
          <w:i/>
          <w:sz w:val="20"/>
        </w:rPr>
      </w:pPr>
      <w:r>
        <w:rPr>
          <w:rFonts w:ascii="Times New Roman;serif" w:hAnsi="Times New Roman;serif"/>
          <w:b/>
          <w:i/>
          <w:sz w:val="20"/>
        </w:rPr>
        <w:t>Cash Flows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Cash Flows for the Three Months Ended March 31, 2023 and 2022</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provides information regarding our cash flows for the three months ended March 31, 2023 and 2022 (in thousands):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8020" w:type="dxa"/>
        <w:jc w:val="left"/>
        <w:tblInd w:w="0" w:type="dxa"/>
        <w:tblLayout w:type="fixed"/>
        <w:tblCellMar>
          <w:top w:w="28" w:type="dxa"/>
          <w:left w:w="28" w:type="dxa"/>
          <w:bottom w:w="28" w:type="dxa"/>
          <w:right w:w="28" w:type="dxa"/>
        </w:tblCellMar>
      </w:tblPr>
      <w:tblGrid>
        <w:gridCol w:w="4696"/>
        <w:gridCol w:w="146"/>
        <w:gridCol w:w="254"/>
        <w:gridCol w:w="1015"/>
        <w:gridCol w:w="200"/>
        <w:gridCol w:w="176"/>
        <w:gridCol w:w="254"/>
        <w:gridCol w:w="888"/>
        <w:gridCol w:w="3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8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 operating activities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(25,992</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(15,459</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 investing activities</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10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(192,612</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vAlign w:val="center"/>
          </w:tcPr>
          <w:p>
            <w:pPr>
              <w:pStyle w:val="TableContents"/>
              <w:bidi w:val="0"/>
              <w:spacing w:before="0" w:after="0"/>
              <w:ind w:left="0" w:right="0" w:hanging="0"/>
              <w:jc w:val="right"/>
              <w:rPr/>
            </w:pPr>
            <w:r>
              <w:rPr/>
              <w:t> </w:t>
            </w:r>
          </w:p>
        </w:tc>
        <w:tc>
          <w:tcPr>
            <w:tcW w:w="254" w:type="dxa"/>
            <w:tcBorders/>
            <w:vAlign w:val="center"/>
          </w:tcPr>
          <w:p>
            <w:pPr>
              <w:pStyle w:val="TableContents"/>
              <w:bidi w:val="0"/>
              <w:spacing w:before="0" w:after="0"/>
              <w:ind w:left="0" w:right="0" w:hanging="0"/>
              <w:jc w:val="left"/>
              <w:rPr/>
            </w:pPr>
            <w:r>
              <w:rPr/>
              <w:t> </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 provided by financing activities</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vAlign w:val="center"/>
          </w:tcPr>
          <w:p>
            <w:pPr>
              <w:pStyle w:val="TableContents"/>
              <w:bidi w:val="0"/>
              <w:spacing w:before="0" w:after="0"/>
              <w:ind w:left="0" w:right="0" w:hanging="0"/>
              <w:jc w:val="righ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25,542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6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change in cash and cash equivalents</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(218,617</w:t>
            </w:r>
          </w:p>
        </w:tc>
        <w:tc>
          <w:tcPr>
            <w:tcW w:w="2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6" w:type="dxa"/>
            <w:tcBorders/>
            <w:vAlign w:val="center"/>
          </w:tcPr>
          <w:p>
            <w:pPr>
              <w:pStyle w:val="TableContents"/>
              <w:bidi w:val="0"/>
              <w:spacing w:before="0" w:after="0"/>
              <w:ind w:left="0" w:right="0" w:hanging="0"/>
              <w:jc w:val="righ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Operating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used in operating activities was approximately $26.0 million for the three months ended March 31, 2023, reflecting a net loss of approximately $36.9 million and uses driven by changes in working capital of approximately $2.4 million. Such uses were partially offset by non-cash charges of $13.9 million. The non-cash charges primarily consisted of equity-based compensation expense of $13.0 million and depreciation and amortization expense of $0.8 million. The changes in working capital primarily relate to the timing of payments made to our vendors for services performed and the recognition of receivable amounts related to interest on our marketable security investments.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used in operating activities was approximately $15.5 million for the three months ended March 31, 2022, reflecting a net loss of $67.5 million and uses driven by changes in working capital of approximately $1.4 million, partially offset by non-cash charges of $53.4 million. The non-cash charges primarily consisted of equity-based compensation expense of $52.7 million and depreciation and amortization expense of $0.7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approximately $10.5 million increase in cash used in operating activities for the three months ended March 31, 2023 compared to the three months ended March 31, 2022 was primarily driven by an increase in net loss after adjusting for the non-cash charges of approximately $9.0 million coupled with the increased use of cash related to the timing of payments to our vendors.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Investing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used in investing activities was approximately $192.6 million and $0.8 million for the three months ended March 31, 2023 and 2022, respectively. The cash used in investing activities during the three months ended March 31, 2023 was primarily related to the investment of a portion of the proceeds raised through the Closing in marketable securities.</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Financing Activities</w:t>
      </w:r>
    </w:p>
    <w:p>
      <w:pPr>
        <w:pStyle w:val="TextBody"/>
        <w:bidi w:val="0"/>
        <w:spacing w:before="120" w:after="0"/>
        <w:jc w:val="left"/>
        <w:rPr>
          <w:rFonts w:ascii="Times New Roman" w:hAnsi="Times New Roman"/>
          <w:sz w:val="20"/>
        </w:rPr>
      </w:pPr>
      <w:r>
        <w:rPr>
          <w:rFonts w:ascii="Times New Roman;serif" w:hAnsi="Times New Roman;serif"/>
          <w:b w:val="false"/>
          <w:sz w:val="20"/>
        </w:rPr>
        <w:t>Net cash used in financing activities for the three months ended March 31, 2023 was an insignificant amount. Net cash provided by financing activities was $25.5 million for the three months ended March 31, 2022 and relates to the sale of Class A and B-1 Units of PKLP during that period.</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Critical Accounting Policies and Significant Judgments and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management’s discussion and analysis of financial condition and results of operations is based on our consolidated financial statements. Our consolidated financial statements are prepared in accordance with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significant accounting policies are described in Note 2 to our unaudited consolidated financial statements included elsewhere in this Quarterly Report on Form 10-Q.</w:t>
      </w:r>
    </w:p>
    <w:p>
      <w:pPr>
        <w:pStyle w:val="TextBody"/>
        <w:bidi w:val="0"/>
        <w:spacing w:before="240" w:after="0"/>
        <w:jc w:val="left"/>
        <w:rPr>
          <w:rFonts w:ascii="Times New Roman;serif" w:hAnsi="Times New Roman;serif"/>
          <w:b/>
          <w:sz w:val="20"/>
        </w:rPr>
      </w:pPr>
      <w:r>
        <w:rPr>
          <w:rFonts w:ascii="Times New Roman;serif" w:hAnsi="Times New Roman;serif"/>
          <w:b/>
          <w:sz w:val="20"/>
        </w:rPr>
        <w:t>Recent Accounting Pronouncements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description of recently issued accounting pronouncements that may potentially impact our financial position and results of operations is disclosed in Note 2 to our unaudited condensed consolidated financial statements included elsewhere in this Quarterly Report on Form 10-Q.</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Off-Balance Sheet Arrangements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did not have during the periods presented, and we do not currently have, any off-balance sheet arrangements, as defined in the rules and regulations of the SEC.</w:t>
      </w:r>
    </w:p>
    <w:p>
      <w:pPr>
        <w:pStyle w:val="TextBody"/>
        <w:bidi w:val="0"/>
        <w:spacing w:before="240" w:after="0"/>
        <w:jc w:val="left"/>
        <w:rPr>
          <w:rFonts w:ascii="Times New Roman;serif" w:hAnsi="Times New Roman;serif"/>
          <w:b/>
          <w:sz w:val="20"/>
        </w:rPr>
      </w:pPr>
      <w:r>
        <w:rPr>
          <w:rFonts w:ascii="Times New Roman;serif" w:hAnsi="Times New Roman;serif"/>
          <w:b/>
          <w:sz w:val="20"/>
        </w:rPr>
        <w:t>JOBS Act Accounting Election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ordinary shares less attractive to investors.</w:t>
      </w:r>
    </w:p>
    <w:p>
      <w:pPr>
        <w:pStyle w:val="TextBody"/>
        <w:bidi w:val="0"/>
        <w:spacing w:before="360" w:after="0"/>
        <w:jc w:val="left"/>
        <w:rPr>
          <w:rFonts w:ascii="Times New Roman;serif" w:hAnsi="Times New Roman;serif"/>
          <w:b/>
          <w:sz w:val="20"/>
        </w:rPr>
      </w:pPr>
      <w:bookmarkStart w:id="11" w:name="i_item3"/>
      <w:bookmarkEnd w:id="11"/>
      <w:r>
        <w:rPr>
          <w:rFonts w:ascii="Times New Roman;serif" w:hAnsi="Times New Roman;serif"/>
          <w:b/>
          <w:sz w:val="20"/>
        </w:rPr>
        <w:t>Item 3. Quantitative and Qualitative Disclosures About Market Risk.</w:t>
      </w:r>
    </w:p>
    <w:p>
      <w:pPr>
        <w:pStyle w:val="TextBody"/>
        <w:bidi w:val="0"/>
        <w:spacing w:before="240" w:after="0"/>
        <w:jc w:val="left"/>
        <w:rPr>
          <w:rFonts w:ascii="Times New Roman;serif" w:hAnsi="Times New Roman;serif"/>
          <w:b/>
          <w:sz w:val="20"/>
        </w:rPr>
      </w:pPr>
      <w:r>
        <w:rPr>
          <w:rFonts w:ascii="Times New Roman;serif" w:hAnsi="Times New Roman;serif"/>
          <w:b/>
          <w:sz w:val="20"/>
        </w:rPr>
        <w:t>Interest Rate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exposure to changes in interest rates relates primarily to the Company’s investment portfolio.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All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pStyle w:val="TextBody"/>
        <w:bidi w:val="0"/>
        <w:spacing w:before="240" w:after="0"/>
        <w:jc w:val="left"/>
        <w:rPr>
          <w:rFonts w:ascii="Times New Roman;serif" w:hAnsi="Times New Roman;serif"/>
          <w:b/>
          <w:sz w:val="20"/>
        </w:rPr>
      </w:pPr>
      <w:r>
        <w:rPr>
          <w:rFonts w:ascii="Times New Roman;serif" w:hAnsi="Times New Roman;serif"/>
          <w:b/>
          <w:sz w:val="20"/>
        </w:rPr>
        <w:t>Foreign Currency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have any material foreign currency exposure.</w:t>
      </w:r>
    </w:p>
    <w:p>
      <w:pPr>
        <w:pStyle w:val="TextBody"/>
        <w:bidi w:val="0"/>
        <w:spacing w:before="360" w:after="0"/>
        <w:jc w:val="left"/>
        <w:rPr>
          <w:rFonts w:ascii="Times New Roman;serif" w:hAnsi="Times New Roman;serif"/>
          <w:b/>
          <w:sz w:val="20"/>
        </w:rPr>
      </w:pPr>
      <w:bookmarkStart w:id="12" w:name="i_item4"/>
      <w:bookmarkEnd w:id="12"/>
      <w:r>
        <w:rPr>
          <w:rFonts w:ascii="Times New Roman;serif" w:hAnsi="Times New Roman;serif"/>
          <w:b/>
          <w:sz w:val="20"/>
        </w:rPr>
        <w:t>Item 4. Controls and Procedures.</w:t>
      </w:r>
    </w:p>
    <w:p>
      <w:pPr>
        <w:pStyle w:val="TextBody"/>
        <w:bidi w:val="0"/>
        <w:spacing w:before="24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as of March 31, 2023. Based upon that evaluation, our Chief Executive Officer and Chief Financial Officer concluded that, as of March 31, 2023,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before="240" w:after="0"/>
        <w:jc w:val="left"/>
        <w:rPr>
          <w:rFonts w:ascii="Times New Roman;serif" w:hAnsi="Times New Roman;serif"/>
          <w:b/>
          <w:sz w:val="20"/>
        </w:rPr>
      </w:pPr>
      <w:r>
        <w:rPr>
          <w:rFonts w:ascii="Times New Roman;serif" w:hAnsi="Times New Roman;serif"/>
          <w:b/>
          <w:sz w:val="20"/>
        </w:rPr>
        <w:t>Changes to Internal Control over Financial Reporting</w:t>
      </w:r>
    </w:p>
    <w:p>
      <w:pPr>
        <w:pStyle w:val="TextBody"/>
        <w:bidi w:val="0"/>
        <w:spacing w:before="120" w:after="0"/>
        <w:jc w:val="left"/>
        <w:rPr>
          <w:rFonts w:ascii="Times New Roman" w:hAnsi="Times New Roman"/>
          <w:sz w:val="20"/>
        </w:rPr>
      </w:pPr>
      <w:r>
        <w:rPr>
          <w:rFonts w:ascii="Times New Roman;serif" w:hAnsi="Times New Roman;serif"/>
          <w:b w:val="false"/>
          <w:sz w:val="20"/>
        </w:rPr>
        <w:t>We previously reported a material weakness in our internal control over financial reporting related to the Company’s accounting for complex financial instruments, which condition existed prior to the Closing of the Business Combination. That material</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weakness has been remediated. There have been no other changes in our internal control over financial reporting during our most recent fiscal quarter that have materially affected, or are reasonably likely to materially affect, our internal control over financial reporting.</w:t>
      </w:r>
    </w:p>
    <w:p>
      <w:pPr>
        <w:pStyle w:val="TextBody"/>
        <w:bidi w:val="0"/>
        <w:spacing w:before="240" w:after="0"/>
        <w:jc w:val="left"/>
        <w:rPr>
          <w:rFonts w:ascii="Times New Roman;serif" w:hAnsi="Times New Roman;serif"/>
          <w:b/>
          <w:sz w:val="20"/>
        </w:rPr>
      </w:pPr>
      <w:r>
        <w:rPr>
          <w:rFonts w:ascii="Times New Roman;serif" w:hAnsi="Times New Roman;serif"/>
          <w:b/>
          <w:sz w:val="20"/>
        </w:rPr>
        <w:t>Website Availability of Reports and other Corporate Governance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https://investors.prokidney.com/,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pStyle w:val="TextBody"/>
        <w:bidi w:val="0"/>
        <w:spacing w:before="360" w:after="0"/>
        <w:jc w:val="center"/>
        <w:rPr>
          <w:rFonts w:ascii="Times New Roman;serif" w:hAnsi="Times New Roman;serif"/>
          <w:b/>
          <w:sz w:val="20"/>
        </w:rPr>
      </w:pPr>
      <w:bookmarkStart w:id="13" w:name="part_ii_other_information"/>
      <w:bookmarkEnd w:id="13"/>
      <w:r>
        <w:rPr>
          <w:rFonts w:ascii="Times New Roman;serif" w:hAnsi="Times New Roman;serif"/>
          <w:b/>
          <w:sz w:val="20"/>
        </w:rPr>
        <w:t>PART II—OTHER INFORMATION</w:t>
      </w:r>
    </w:p>
    <w:p>
      <w:pPr>
        <w:pStyle w:val="TextBody"/>
        <w:bidi w:val="0"/>
        <w:spacing w:before="360" w:after="0"/>
        <w:jc w:val="left"/>
        <w:rPr>
          <w:rFonts w:ascii="Times New Roman;serif" w:hAnsi="Times New Roman;serif"/>
          <w:b/>
          <w:sz w:val="20"/>
        </w:rPr>
      </w:pPr>
      <w:bookmarkStart w:id="14" w:name="ii_item1"/>
      <w:bookmarkEnd w:id="14"/>
      <w:r>
        <w:rPr>
          <w:rFonts w:ascii="Times New Roman;serif" w:hAnsi="Times New Roman;serif"/>
          <w:b/>
          <w:sz w:val="20"/>
        </w:rPr>
        <w:t>Item 1. 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not currently a party to any material legal proceedings.</w:t>
      </w:r>
    </w:p>
    <w:p>
      <w:pPr>
        <w:pStyle w:val="TextBody"/>
        <w:bidi w:val="0"/>
        <w:spacing w:before="360" w:after="0"/>
        <w:jc w:val="left"/>
        <w:rPr>
          <w:rFonts w:ascii="Times New Roman;serif" w:hAnsi="Times New Roman;serif"/>
          <w:b/>
          <w:sz w:val="20"/>
        </w:rPr>
      </w:pPr>
      <w:bookmarkStart w:id="15" w:name="ii_item1a"/>
      <w:bookmarkEnd w:id="15"/>
      <w:r>
        <w:rPr>
          <w:rFonts w:ascii="Times New Roman;serif" w:hAnsi="Times New Roman;serif"/>
          <w:b/>
          <w:sz w:val="20"/>
        </w:rPr>
        <w:t>Item 1A. Risk Factors.</w:t>
      </w:r>
    </w:p>
    <w:p>
      <w:pPr>
        <w:pStyle w:val="TextBody"/>
        <w:bidi w:val="0"/>
        <w:spacing w:before="120" w:after="0"/>
        <w:jc w:val="left"/>
        <w:rPr>
          <w:rFonts w:ascii="Times New Roman;serif" w:hAnsi="Times New Roman;serif"/>
          <w:b/>
          <w:sz w:val="20"/>
        </w:rPr>
      </w:pPr>
      <w:r>
        <w:rPr>
          <w:rFonts w:ascii="Times New Roman;serif" w:hAnsi="Times New Roman;serif"/>
          <w:b/>
          <w:sz w:val="20"/>
        </w:rPr>
        <w:t>Summary of Risk Factors</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Our business is subject to a number of risks, including risks that may prevent us from achieving our business objectives or may adversely affect our business, financial condition, results of operations, cash flows, and prospects. These risks are discussed more fully in the section entitled “Risk Factors” in our Registration Statement on Form 10-K filed with the SEC on March 28, 2023 as amended on April 27, 2023.</w:t>
      </w:r>
    </w:p>
    <w:p>
      <w:pPr>
        <w:pStyle w:val="TextBody"/>
        <w:bidi w:val="0"/>
        <w:spacing w:before="120" w:after="0"/>
        <w:jc w:val="left"/>
        <w:rPr/>
      </w:pPr>
      <w:r>
        <w:rPr/>
        <w:t> </w:t>
      </w:r>
    </w:p>
    <w:p>
      <w:pPr>
        <w:pStyle w:val="TextBody"/>
        <w:bidi w:val="0"/>
        <w:spacing w:before="360" w:after="0"/>
        <w:jc w:val="left"/>
        <w:rPr>
          <w:rFonts w:ascii="Times New Roman;serif" w:hAnsi="Times New Roman;serif"/>
          <w:b/>
          <w:sz w:val="20"/>
        </w:rPr>
      </w:pPr>
      <w:bookmarkStart w:id="16" w:name="ii_item2"/>
      <w:bookmarkEnd w:id="16"/>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were no sales of unregistered equity securities during the three months ended March 31, 2023.</w:t>
      </w:r>
    </w:p>
    <w:p>
      <w:pPr>
        <w:pStyle w:val="TextBody"/>
        <w:bidi w:val="0"/>
        <w:spacing w:before="360" w:after="0"/>
        <w:jc w:val="left"/>
        <w:rPr>
          <w:rFonts w:ascii="Times New Roman;serif" w:hAnsi="Times New Roman;serif"/>
          <w:b/>
          <w:sz w:val="20"/>
        </w:rPr>
      </w:pPr>
      <w:bookmarkStart w:id="17" w:name="ii_item3"/>
      <w:bookmarkEnd w:id="17"/>
      <w:r>
        <w:rPr>
          <w:rFonts w:ascii="Times New Roman;serif" w:hAnsi="Times New Roman;serif"/>
          <w:b/>
          <w:sz w:val="20"/>
        </w:rPr>
        <w:t>Item 3. Defaults Upon 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serif" w:hAnsi="Times New Roman;serif"/>
          <w:b/>
          <w:sz w:val="20"/>
        </w:rPr>
      </w:pPr>
      <w:bookmarkStart w:id="18" w:name="ii_item4"/>
      <w:bookmarkEnd w:id="18"/>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serif" w:hAnsi="Times New Roman;serif"/>
          <w:b/>
          <w:sz w:val="20"/>
        </w:rPr>
      </w:pPr>
      <w:bookmarkStart w:id="19" w:name="ii_item5"/>
      <w:bookmarkEnd w:id="19"/>
      <w:r>
        <w:rPr>
          <w:rFonts w:ascii="Times New Roman;serif" w:hAnsi="Times New Roman;serif"/>
          <w:b/>
          <w:sz w:val="20"/>
        </w:rPr>
        <w:t>Item 5. Other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360" w:after="0"/>
        <w:jc w:val="left"/>
        <w:rPr>
          <w:rFonts w:ascii="Times New Roman;serif" w:hAnsi="Times New Roman;serif"/>
          <w:b/>
          <w:sz w:val="20"/>
        </w:rPr>
      </w:pPr>
      <w:bookmarkStart w:id="20" w:name="ii_item6"/>
      <w:bookmarkEnd w:id="20"/>
      <w:r>
        <w:rPr>
          <w:rFonts w:ascii="Times New Roman;serif" w:hAnsi="Times New Roman;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5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rok-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rok-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rok-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98"/>
        <w:gridCol w:w="146"/>
        <w:gridCol w:w="9561"/>
      </w:tblGrid>
      <w:tr>
        <w:trPr/>
        <w:tc>
          <w:tcPr>
            <w:tcW w:w="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61" w:type="dxa"/>
            <w:tcBorders/>
            <w:vAlign w:val="center"/>
          </w:tcPr>
          <w:p>
            <w:pPr>
              <w:pStyle w:val="TableContents"/>
              <w:bidi w:val="0"/>
              <w:spacing w:before="0" w:after="283"/>
              <w:jc w:val="left"/>
              <w:rPr>
                <w:sz w:val="4"/>
                <w:szCs w:val="4"/>
              </w:rPr>
            </w:pPr>
            <w:r>
              <w:rPr>
                <w:sz w:val="4"/>
                <w:szCs w:val="4"/>
              </w:rPr>
            </w:r>
          </w:p>
        </w:tc>
      </w:tr>
      <w:tr>
        <w:trPr/>
        <w:tc>
          <w:tcPr>
            <w:tcW w:w="49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56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rok-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49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5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49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5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following materials from the Company’s Quarterly report on Form 10-Q for the quarter ended March 31, 2023, formatted in iXBRL (Inline Extensible Business Reporting Language): (i) Condensed Consolidated Balance Sheets (unaudited), (ii) Condensed Consolidated Statements of Operations (unaudited), (iii) Condensed Consolidated Statements of Changes in Redeemable Noncontrolling Interest and Stockholders’ Deficit (unaudited), (iv) Consolidated Statements of Cash Flows (unaudited) and (v) Notes to Condensed Consolidated Financial Statements (unaudited), tagged as blocks of text and including detailed tags.</w:t>
            </w:r>
          </w:p>
        </w:tc>
      </w:tr>
      <w:tr>
        <w:trPr/>
        <w:tc>
          <w:tcPr>
            <w:tcW w:w="49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5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49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5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cover page from this Quarterly Report on Form 10-Q for the quarter ended March 31, 2023, formatted in Inline XBRL.</w:t>
            </w:r>
          </w:p>
        </w:tc>
      </w:tr>
      <w:tr>
        <w:trPr/>
        <w:tc>
          <w:tcPr>
            <w:tcW w:w="49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5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1" w:name="signatures"/>
      <w:bookmarkEnd w:id="21"/>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its behalf by the undersigned thereunto duly authorized.</w:t>
      </w:r>
    </w:p>
    <w:p>
      <w:pPr>
        <w:pStyle w:val="TextBody"/>
        <w:bidi w:val="0"/>
        <w:spacing w:before="0" w:after="0"/>
        <w:jc w:val="left"/>
        <w:rPr/>
      </w:pPr>
      <w:r>
        <w:rPr/>
        <w:t> </w:t>
      </w:r>
    </w:p>
    <w:tbl>
      <w:tblPr>
        <w:tblW w:w="6059" w:type="dxa"/>
        <w:jc w:val="left"/>
        <w:tblInd w:w="0" w:type="dxa"/>
        <w:tblLayout w:type="fixed"/>
        <w:tblCellMar>
          <w:top w:w="28" w:type="dxa"/>
          <w:left w:w="28" w:type="dxa"/>
          <w:bottom w:w="28" w:type="dxa"/>
          <w:right w:w="28" w:type="dxa"/>
        </w:tblCellMar>
      </w:tblPr>
      <w:tblGrid>
        <w:gridCol w:w="1741"/>
        <w:gridCol w:w="146"/>
        <w:gridCol w:w="406"/>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72"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Company Name</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Timothy A. Bertram</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 Timothy A. Bertram</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Executive Officer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Coulston</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 James Coulston</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 Chief Financial Officer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240" w:after="0"/>
        <w:jc w:val="left"/>
        <w:rPr/>
      </w:pPr>
      <w:r>
        <w:rPr/>
        <w:t> </w:t>
      </w:r>
    </w:p>
    <w:p>
      <w:pPr>
        <w:pStyle w:val="TextBody"/>
        <w:bidi w:val="0"/>
        <w:spacing w:before="240" w:after="0"/>
        <w:jc w:val="left"/>
        <w:rPr/>
      </w:pPr>
      <w:r>
        <w:rPr/>
        <w:t> </w:t>
      </w:r>
    </w:p>
    <w:p>
      <w:pPr>
        <w:pStyle w:val="TextBody"/>
        <w:bidi w:val="0"/>
        <w:spacing w:before="24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2" w:name="prok-ex31_1.htm"/>
      <w:bookmarkStart w:id="23" w:name="ksprokex31_1"/>
      <w:bookmarkEnd w:id="22"/>
      <w:bookmarkEnd w:id="23"/>
      <w:r>
        <w:rPr>
          <w:rFonts w:ascii="Times New Roman;serif" w:hAnsi="Times New Roman;serif"/>
          <w:b/>
          <w:sz w:val="20"/>
        </w:rPr>
        <w:t>Exhibit 31.1</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Timothy A. Bertram,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Form 10-Q of ProKidney Corp.;</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769" w:type="dxa"/>
        <w:jc w:val="left"/>
        <w:tblInd w:w="0" w:type="dxa"/>
        <w:tblLayout w:type="fixed"/>
        <w:tblCellMar>
          <w:top w:w="28" w:type="dxa"/>
          <w:left w:w="28" w:type="dxa"/>
          <w:bottom w:w="28" w:type="dxa"/>
          <w:right w:w="28" w:type="dxa"/>
        </w:tblCellMar>
      </w:tblPr>
      <w:tblGrid>
        <w:gridCol w:w="1741"/>
        <w:gridCol w:w="146"/>
        <w:gridCol w:w="406"/>
        <w:gridCol w:w="247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7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Timothy A. Bertram</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A. Bertram</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4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4" w:name="prok-ex31_2.htm"/>
      <w:bookmarkStart w:id="25" w:name="ksprokex31_2"/>
      <w:bookmarkEnd w:id="24"/>
      <w:bookmarkEnd w:id="25"/>
      <w:r>
        <w:rPr>
          <w:rFonts w:ascii="Times New Roman;serif" w:hAnsi="Times New Roman;serif"/>
          <w:b/>
          <w:sz w:val="20"/>
        </w:rPr>
        <w:t>Exhibit 31.2</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James Coulston,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Form 10-Q of ProKidney Corp.;</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6059" w:type="dxa"/>
        <w:jc w:val="left"/>
        <w:tblInd w:w="0" w:type="dxa"/>
        <w:tblLayout w:type="fixed"/>
        <w:tblCellMar>
          <w:top w:w="28" w:type="dxa"/>
          <w:left w:w="28" w:type="dxa"/>
          <w:bottom w:w="28" w:type="dxa"/>
          <w:right w:w="28" w:type="dxa"/>
        </w:tblCellMar>
      </w:tblPr>
      <w:tblGrid>
        <w:gridCol w:w="1741"/>
        <w:gridCol w:w="146"/>
        <w:gridCol w:w="406"/>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Coulston</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James Coulston</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6" w:name="prok-ex32_1.htm"/>
      <w:bookmarkStart w:id="27" w:name="ksprokex32_1"/>
      <w:bookmarkEnd w:id="26"/>
      <w:bookmarkEnd w:id="27"/>
      <w:r>
        <w:rPr>
          <w:rFonts w:ascii="Times New Roman;serif" w:hAnsi="Times New Roman;serif"/>
          <w:b/>
          <w:sz w:val="20"/>
        </w:rPr>
        <w:t>Exhibit 32.1</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ProKidney Corp. (the “Company”) on Form 10-Q for the period ending March 31, 2023, as filed with the Securities and Exchange Commission on the date hereof (the “Report”), I certify, pursuant to 18 U.S.C. § 1350, as adopted pursuant to §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 of operations of the Company.</w:t>
      </w:r>
    </w:p>
    <w:p>
      <w:pPr>
        <w:pStyle w:val="TextBody"/>
        <w:bidi w:val="0"/>
        <w:spacing w:before="0" w:after="0"/>
        <w:jc w:val="left"/>
        <w:rPr/>
      </w:pPr>
      <w:r>
        <w:rPr/>
        <w:t> </w:t>
      </w:r>
    </w:p>
    <w:tbl>
      <w:tblPr>
        <w:tblW w:w="4769" w:type="dxa"/>
        <w:jc w:val="left"/>
        <w:tblInd w:w="0" w:type="dxa"/>
        <w:tblLayout w:type="fixed"/>
        <w:tblCellMar>
          <w:top w:w="28" w:type="dxa"/>
          <w:left w:w="28" w:type="dxa"/>
          <w:bottom w:w="28" w:type="dxa"/>
          <w:right w:w="28" w:type="dxa"/>
        </w:tblCellMar>
      </w:tblPr>
      <w:tblGrid>
        <w:gridCol w:w="1741"/>
        <w:gridCol w:w="146"/>
        <w:gridCol w:w="406"/>
        <w:gridCol w:w="247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7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Timothy A. Bertram</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A. Bertram</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4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8" w:name="prok-ex32_2.htm"/>
      <w:bookmarkStart w:id="29" w:name="ksprokex32_2"/>
      <w:bookmarkEnd w:id="28"/>
      <w:bookmarkEnd w:id="29"/>
      <w:r>
        <w:rPr>
          <w:rFonts w:ascii="Times New Roman;serif" w:hAnsi="Times New Roman;serif"/>
          <w:b/>
          <w:sz w:val="20"/>
        </w:rPr>
        <w:t>Exhibit 32.2</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ProKidney Corp. (the “Company”) on Form 10-Q for the period ending March 31, 2023, as filed with the Securities and Exchange Commission on the date hereof (the “Report”), I certify, pursuant to 18 U.S.C. § 1350, as adopted pursuant to §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 of operations of the Company.</w:t>
      </w:r>
    </w:p>
    <w:p>
      <w:pPr>
        <w:pStyle w:val="TextBody"/>
        <w:bidi w:val="0"/>
        <w:spacing w:before="0" w:after="0"/>
        <w:jc w:val="left"/>
        <w:rPr/>
      </w:pPr>
      <w:r>
        <w:rPr/>
        <w:t> </w:t>
      </w:r>
    </w:p>
    <w:tbl>
      <w:tblPr>
        <w:tblW w:w="6059" w:type="dxa"/>
        <w:jc w:val="left"/>
        <w:tblInd w:w="0" w:type="dxa"/>
        <w:tblLayout w:type="fixed"/>
        <w:tblCellMar>
          <w:top w:w="28" w:type="dxa"/>
          <w:left w:w="28" w:type="dxa"/>
          <w:bottom w:w="28" w:type="dxa"/>
          <w:right w:w="28" w:type="dxa"/>
        </w:tblCellMar>
      </w:tblPr>
      <w:tblGrid>
        <w:gridCol w:w="1741"/>
        <w:gridCol w:w="146"/>
        <w:gridCol w:w="406"/>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Coulston</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James Coulston</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17806</Words>
  <Characters>98983</Characters>
  <CharactersWithSpaces>117043</CharactersWithSpaces>
  <Paragraphs>3271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