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rok-20250331.htm"/>
      <w:bookmarkStart w:id="1" w:name="ksprok2025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001-40560</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98-1586514</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2000 Frontis Plaza Blvd., Suite 250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Winston-Salem, NC</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27103</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(336) 999-7019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320" w:type="dxa"/>
        <w:jc w:val="left"/>
        <w:tblInd w:w="0" w:type="dxa"/>
        <w:tblLayout w:type="fixed"/>
        <w:tblCellMar>
          <w:top w:w="28" w:type="dxa"/>
          <w:left w:w="28" w:type="dxa"/>
          <w:bottom w:w="28" w:type="dxa"/>
          <w:right w:w="28" w:type="dxa"/>
        </w:tblCellMar>
      </w:tblPr>
      <w:tblGrid>
        <w:gridCol w:w="3886"/>
        <w:gridCol w:w="146"/>
        <w:gridCol w:w="826"/>
        <w:gridCol w:w="146"/>
        <w:gridCol w:w="331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ordinary shares,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tbl>
      <w:tblPr>
        <w:tblW w:w="7198" w:type="dxa"/>
        <w:jc w:val="left"/>
        <w:tblInd w:w="0" w:type="dxa"/>
        <w:tblLayout w:type="fixed"/>
        <w:tblCellMar>
          <w:top w:w="28" w:type="dxa"/>
          <w:left w:w="28" w:type="dxa"/>
          <w:bottom w:w="28" w:type="dxa"/>
          <w:right w:w="28" w:type="dxa"/>
        </w:tblCellMar>
      </w:tblPr>
      <w:tblGrid>
        <w:gridCol w:w="3886"/>
        <w:gridCol w:w="146"/>
        <w:gridCol w:w="316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Class of Stock</w:t>
            </w:r>
          </w:p>
        </w:tc>
        <w:tc>
          <w:tcPr>
            <w:tcW w:w="146" w:type="dxa"/>
            <w:tcBorders>
              <w:bottom w:val="single" w:sz="4" w:space="0" w:color="000000"/>
            </w:tcBorders>
            <w:tcMar>
              <w:top w:w="0" w:type="dxa"/>
              <w:left w:w="0" w:type="dxa"/>
              <w:right w:w="0" w:type="dxa"/>
            </w:tcMar>
            <w:vAlign w:val="center"/>
          </w:tcPr>
          <w:p>
            <w:pPr>
              <w:pStyle w:val="TableContents"/>
              <w:bidi w:val="0"/>
              <w:spacing w:before="80" w:after="283"/>
              <w:jc w:val="left"/>
              <w:rPr/>
            </w:pPr>
            <w:r>
              <w:rPr/>
              <w:t> </w:t>
            </w:r>
          </w:p>
        </w:tc>
        <w:tc>
          <w:tcPr>
            <w:tcW w:w="3166"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Shares Outstanding as of May 12, 2025</w:t>
            </w:r>
          </w:p>
        </w:tc>
      </w:tr>
      <w:tr>
        <w:trPr/>
        <w:tc>
          <w:tcPr>
            <w:tcW w:w="388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A ordinary shares,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129,536,121</w:t>
            </w:r>
          </w:p>
        </w:tc>
      </w:tr>
      <w:tr>
        <w:trPr/>
        <w:tc>
          <w:tcPr>
            <w:tcW w:w="388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B ordinary shares,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163,166,903</w:t>
            </w:r>
          </w:p>
        </w:tc>
      </w:tr>
    </w:tbl>
    <w:p>
      <w:pPr>
        <w:pStyle w:val="TextBody"/>
        <w:pBdr>
          <w:bottom w:val="double" w:sz="6" w:space="1" w:color="000000"/>
        </w:pBdr>
        <w:bidi w:val="0"/>
        <w:jc w:val="left"/>
        <w:rPr>
          <w:rFonts w:ascii="Times New Roman" w:hAnsi="Times New Roman"/>
          <w:color w:val="000000"/>
          <w:sz w:val="4"/>
        </w:rPr>
      </w:pPr>
      <w:r>
        <w:rPr>
          <w:rFonts w:ascii="Times New Roman" w:hAnsi="Times New Roman"/>
          <w:color w:val="000000"/>
          <w:sz w:val="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5"/>
        <w:gridCol w:w="8691"/>
        <w:gridCol w:w="649"/>
      </w:tblGrid>
      <w:tr>
        <w:trPr/>
        <w:tc>
          <w:tcPr>
            <w:tcW w:w="865" w:type="dxa"/>
            <w:tcBorders/>
            <w:vAlign w:val="center"/>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loss">
              <w:r>
                <w:rPr>
                  <w:rStyle w:val="InternetLink"/>
                  <w:rFonts w:ascii="Times New Roman" w:hAnsi="Times New Roman"/>
                  <w:color w:val="0000FF"/>
                  <w:sz w:val="20"/>
                  <w:u w:val="single"/>
                </w:rPr>
                <w:t>Condensed Consolidated Statements of Comprehensive Loss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000FF"/>
                  <w:sz w:val="20"/>
                  <w:u w:val="single"/>
                </w:rPr>
                <w:t>Condensed Consolidated Statements of Changes in Redeemable Noncontrolling Interest and Shareholders’ Deficit</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Times New Roman" w:hAnsi="Times New Roman"/>
                  <w:color w:val="0000FF"/>
                  <w:sz w:val="20"/>
                  <w:u w:val="single"/>
                </w:rPr>
                <w:t>Notes to Unaudited Condensed Consolidated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Condensed Consolidated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73"/>
        <w:gridCol w:w="251"/>
        <w:gridCol w:w="1183"/>
        <w:gridCol w:w="246"/>
        <w:gridCol w:w="246"/>
        <w:gridCol w:w="299"/>
        <w:gridCol w:w="1413"/>
        <w:gridCol w:w="694"/>
      </w:tblGrid>
      <w:tr>
        <w:trPr/>
        <w:tc>
          <w:tcPr>
            <w:tcW w:w="58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230,693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259,172</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clinical</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assets</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395,884</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42,222</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net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2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406,061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Deficit</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31,137</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36,217</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 net of current portion</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39,436</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1,368,530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1,396,591</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deficit</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Class A ordinary shares, $0.0001 par value; 500,000,000 shares </w:t>
              <w:br/>
              <w:t xml:space="preserve">   authorized; 129,536,121 and 128,054,417 issued and outstanding as </w:t>
              <w:br/>
              <w:t>   of March 31, 2025 and December 31, 2024, respectively</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B ordinary shares, $0.0001 par value; 500,000,000 shares</w:t>
              <w:br/>
              <w:t>   authorized; 163,161,681 and 163,693,707 issued and outstanding as</w:t>
              <w:br/>
              <w:t>   of March 31, 2025 and December 31, 2024, respectively</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205,736</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gain</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(1,217,583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(1,200,849</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deficit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(998,553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(994,954</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shareholders' deficit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406,061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r>
        <w:rPr>
          <w:rFonts w:ascii="Times New Roman" w:hAnsi="Times New Roman"/>
          <w:b/>
          <w:color w:val="000000"/>
          <w:sz w:val="20"/>
        </w:rPr>
        <w:t>-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4726"/>
        <w:gridCol w:w="646"/>
        <w:gridCol w:w="211"/>
        <w:gridCol w:w="1141"/>
        <w:gridCol w:w="666"/>
        <w:gridCol w:w="646"/>
        <w:gridCol w:w="211"/>
        <w:gridCol w:w="1036"/>
        <w:gridCol w:w="611"/>
      </w:tblGrid>
      <w:tr>
        <w:trPr/>
        <w:tc>
          <w:tcPr>
            <w:tcW w:w="47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27,263</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41,618</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(41,388</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(37,361</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w:t>
              <w:br/>
              <w:t>   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(37,952</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(21,218</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available to Class A ordinary shareholders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(16,734</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ordinary shares outstanding: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128,976,366</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60,951,721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ordinary shares: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6" w:name="consolidated_statements_of_comp_loss"/>
      <w:bookmarkEnd w:id="6"/>
      <w:r>
        <w:rPr>
          <w:rFonts w:ascii="Times New Roman" w:hAnsi="Times New Roman"/>
          <w:b/>
          <w:color w:val="000000"/>
          <w:sz w:val="20"/>
        </w:rPr>
        <w:t>Condensed Consolidated Statements of Comprehensive Loss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9249" w:type="dxa"/>
        <w:jc w:val="left"/>
        <w:tblInd w:w="0" w:type="dxa"/>
        <w:tblLayout w:type="fixed"/>
        <w:tblCellMar>
          <w:top w:w="28" w:type="dxa"/>
          <w:left w:w="28" w:type="dxa"/>
          <w:bottom w:w="28" w:type="dxa"/>
          <w:right w:w="28" w:type="dxa"/>
        </w:tblCellMar>
      </w:tblPr>
      <w:tblGrid>
        <w:gridCol w:w="6051"/>
        <w:gridCol w:w="225"/>
        <w:gridCol w:w="788"/>
        <w:gridCol w:w="391"/>
        <w:gridCol w:w="370"/>
        <w:gridCol w:w="225"/>
        <w:gridCol w:w="788"/>
        <w:gridCol w:w="411"/>
      </w:tblGrid>
      <w:tr>
        <w:trPr/>
        <w:tc>
          <w:tcPr>
            <w:tcW w:w="60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including noncontrolling interest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income (loss) on marketable securities</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 including noncontrolling interest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Total comprehensive loss attributable to noncontrolling interest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 attributable to Class A ordinary shareholders</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tockholders_deficit"/>
      <w:bookmarkEnd w:id="7"/>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Shareholders’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4076" w:type="dxa"/>
        <w:jc w:val="left"/>
        <w:tblInd w:w="0" w:type="dxa"/>
        <w:tblLayout w:type="fixed"/>
        <w:tblCellMar>
          <w:top w:w="28" w:type="dxa"/>
          <w:left w:w="28" w:type="dxa"/>
          <w:bottom w:w="28" w:type="dxa"/>
          <w:right w:w="28" w:type="dxa"/>
        </w:tblCellMar>
      </w:tblPr>
      <w:tblGrid>
        <w:gridCol w:w="1256"/>
        <w:gridCol w:w="246"/>
        <w:gridCol w:w="241"/>
        <w:gridCol w:w="1020"/>
        <w:gridCol w:w="166"/>
        <w:gridCol w:w="146"/>
        <w:gridCol w:w="146"/>
        <w:gridCol w:w="146"/>
        <w:gridCol w:w="1006"/>
        <w:gridCol w:w="146"/>
        <w:gridCol w:w="146"/>
        <w:gridCol w:w="305"/>
        <w:gridCol w:w="446"/>
        <w:gridCol w:w="146"/>
        <w:gridCol w:w="146"/>
        <w:gridCol w:w="146"/>
        <w:gridCol w:w="1006"/>
        <w:gridCol w:w="166"/>
        <w:gridCol w:w="146"/>
        <w:gridCol w:w="305"/>
        <w:gridCol w:w="446"/>
        <w:gridCol w:w="146"/>
        <w:gridCol w:w="146"/>
        <w:gridCol w:w="205"/>
        <w:gridCol w:w="726"/>
        <w:gridCol w:w="146"/>
        <w:gridCol w:w="146"/>
        <w:gridCol w:w="447"/>
        <w:gridCol w:w="859"/>
        <w:gridCol w:w="166"/>
        <w:gridCol w:w="146"/>
        <w:gridCol w:w="203"/>
        <w:gridCol w:w="923"/>
        <w:gridCol w:w="166"/>
        <w:gridCol w:w="146"/>
        <w:gridCol w:w="242"/>
        <w:gridCol w:w="929"/>
        <w:gridCol w:w="41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3"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Shareholders' Deficit / Members'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Balance as of January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128,054,417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163,693,707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(994,954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Vesting of Class B restricted stock rights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Class B ordinary shares for Class A ordinary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1,368,530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129,536,121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163,161,681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(1,217,583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(998,553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Shareholders’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3986" w:type="dxa"/>
        <w:jc w:val="left"/>
        <w:tblInd w:w="0" w:type="dxa"/>
        <w:tblLayout w:type="fixed"/>
        <w:tblCellMar>
          <w:top w:w="28" w:type="dxa"/>
          <w:left w:w="28" w:type="dxa"/>
          <w:bottom w:w="28" w:type="dxa"/>
          <w:right w:w="28" w:type="dxa"/>
        </w:tblCellMar>
      </w:tblPr>
      <w:tblGrid>
        <w:gridCol w:w="1256"/>
        <w:gridCol w:w="246"/>
        <w:gridCol w:w="241"/>
        <w:gridCol w:w="1020"/>
        <w:gridCol w:w="166"/>
        <w:gridCol w:w="146"/>
        <w:gridCol w:w="146"/>
        <w:gridCol w:w="146"/>
        <w:gridCol w:w="916"/>
        <w:gridCol w:w="146"/>
        <w:gridCol w:w="146"/>
        <w:gridCol w:w="348"/>
        <w:gridCol w:w="403"/>
        <w:gridCol w:w="146"/>
        <w:gridCol w:w="146"/>
        <w:gridCol w:w="146"/>
        <w:gridCol w:w="1006"/>
        <w:gridCol w:w="166"/>
        <w:gridCol w:w="146"/>
        <w:gridCol w:w="305"/>
        <w:gridCol w:w="446"/>
        <w:gridCol w:w="146"/>
        <w:gridCol w:w="146"/>
        <w:gridCol w:w="228"/>
        <w:gridCol w:w="703"/>
        <w:gridCol w:w="146"/>
        <w:gridCol w:w="146"/>
        <w:gridCol w:w="405"/>
        <w:gridCol w:w="901"/>
        <w:gridCol w:w="166"/>
        <w:gridCol w:w="146"/>
        <w:gridCol w:w="203"/>
        <w:gridCol w:w="923"/>
        <w:gridCol w:w="166"/>
        <w:gridCol w:w="146"/>
        <w:gridCol w:w="212"/>
        <w:gridCol w:w="959"/>
        <w:gridCol w:w="41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3"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59,880,347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168,297,916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(1,103,396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Vesting of Class B restricted stock rights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Class B shares for Class A ordinary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61,621,330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167,723,553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(1,096,062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 </w:t>
      </w: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7"/>
        <w:gridCol w:w="146"/>
        <w:gridCol w:w="253"/>
        <w:gridCol w:w="886"/>
        <w:gridCol w:w="199"/>
        <w:gridCol w:w="175"/>
        <w:gridCol w:w="253"/>
        <w:gridCol w:w="941"/>
        <w:gridCol w:w="815"/>
      </w:tblGrid>
      <w:tr>
        <w:trPr/>
        <w:tc>
          <w:tcPr>
            <w:tcW w:w="6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0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loss before noncontrolling interest to net cash flows used </w:t>
              <w:br/>
              <w:t>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equipment and facility expansion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58,399</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84,389</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Exchange of Class B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equity transactions and compensation on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7,507</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and facility expansion included in accounts payable and</w:t>
              <w:br/>
              <w:t>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9" w:name="notes_to_unaudited_condensed"/>
      <w:bookmarkEnd w:id="9"/>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Consolidated Financial Statements</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 Description of Business and Basis of Presentation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business combination between SCS and PKLP (the “Business Combination”) closed (the “Closing”) on July 11, 2022 (the “Closing Date”). Upon consummation of the transaction, SCS changed its name to ProKidney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rilparencel, which has the potential to preserve kidney function in patients with chronic kidney disease or delay or eliminate the need for dialysis and organ transplantation.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March 31, 2025, various holders own non-voting interests in PKLP, representing a 55.7% economic interest in PKLP, effectively restricting ProKidney’s interest to 44.3%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intercompany transactions and balances have been eliminated.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Unaudited Interim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The accompanying Condensed Consolidated Balance Sheet as of March 31, 2025, Condensed Consolidated Statements of Operations for the three months ended March 31, 2025 and 2024, Condensed Consolidated Statements of Comprehensive Loss for the three months ended March 31, 2025 and 2024, Condensed Consolidated Statement of Changes in Redeemable Noncontrolling Interest and Shareholders’ Deficit for the three months ended March 31, 2025 and 2024 and Condensed Consolidated Statements of Cash Flows for the three months ended March 31, 2025 and 2024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2025, the results of operations for the three months ended March 31, 2025 and 2024 and cash flows for the three months ended March 31, 2025 and 2024. Certain prior year amounts have been reclassified to conform to the current year presentation. The December 31, 2024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2024, contained in the Company’s Annual Report on Form 10-K filed with the SEC on March 17,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results are not necessarily indicative of results for an entire year.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available evidence to evaluate if a credit loss exists, and if so, recognizes an allowance for credit loss.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Concentrations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as presented in the Condensed Consolidated Balance Sheets as of March 31, 2025 and December 31, 2024 consisted of the following (in thousands):</w:t>
      </w:r>
    </w:p>
    <w:p>
      <w:pPr>
        <w:pStyle w:val="TextBody"/>
        <w:bidi w:val="0"/>
        <w:jc w:val="both"/>
        <w:rPr/>
      </w:pPr>
      <w:r>
        <w:rPr/>
        <w:t> </w:t>
      </w:r>
    </w:p>
    <w:tbl>
      <w:tblPr>
        <w:tblW w:w="7199" w:type="dxa"/>
        <w:jc w:val="left"/>
        <w:tblInd w:w="0" w:type="dxa"/>
        <w:tblLayout w:type="fixed"/>
        <w:tblCellMar>
          <w:top w:w="28" w:type="dxa"/>
          <w:left w:w="28" w:type="dxa"/>
          <w:bottom w:w="28" w:type="dxa"/>
          <w:right w:w="28" w:type="dxa"/>
        </w:tblCellMar>
      </w:tblPr>
      <w:tblGrid>
        <w:gridCol w:w="3451"/>
        <w:gridCol w:w="342"/>
        <w:gridCol w:w="1098"/>
        <w:gridCol w:w="146"/>
        <w:gridCol w:w="146"/>
        <w:gridCol w:w="409"/>
        <w:gridCol w:w="1316"/>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study related costs</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related costs</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costs</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improvement costs</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 and other</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obtaining technology licenses are charged to research and development expense as purchased in-process research and development if the technology licensed has not reached technological feasibility and has no alternative future use.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pStyle w:val="TextBody"/>
        <w:bidi w:val="0"/>
        <w:jc w:val="both"/>
        <w:rPr/>
      </w:pPr>
      <w:r>
        <w:rPr/>
        <w:t> </w:t>
      </w:r>
    </w:p>
    <w:tbl>
      <w:tblPr>
        <w:tblW w:w="4937" w:type="dxa"/>
        <w:jc w:val="left"/>
        <w:tblInd w:w="0" w:type="dxa"/>
        <w:tblLayout w:type="fixed"/>
        <w:tblCellMar>
          <w:top w:w="28" w:type="dxa"/>
          <w:left w:w="28" w:type="dxa"/>
          <w:bottom w:w="28" w:type="dxa"/>
          <w:right w:w="28" w:type="dxa"/>
        </w:tblCellMar>
      </w:tblPr>
      <w:tblGrid>
        <w:gridCol w:w="2911"/>
        <w:gridCol w:w="2026"/>
      </w:tblGrid>
      <w:tr>
        <w:trPr/>
        <w:tc>
          <w:tcPr>
            <w:tcW w:w="29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25-30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 years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lease term</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Fixed assets consisted of the following (in thousands):</w:t>
      </w:r>
    </w:p>
    <w:p>
      <w:pPr>
        <w:pStyle w:val="TextBody"/>
        <w:bidi w:val="0"/>
        <w:jc w:val="left"/>
        <w:rPr/>
      </w:pPr>
      <w:r>
        <w:rPr/>
        <w:t> </w:t>
      </w:r>
    </w:p>
    <w:tbl>
      <w:tblPr>
        <w:tblW w:w="6799" w:type="dxa"/>
        <w:jc w:val="left"/>
        <w:tblInd w:w="0" w:type="dxa"/>
        <w:tblLayout w:type="fixed"/>
        <w:tblCellMar>
          <w:top w:w="28" w:type="dxa"/>
          <w:left w:w="28" w:type="dxa"/>
          <w:bottom w:w="28" w:type="dxa"/>
          <w:right w:w="28" w:type="dxa"/>
        </w:tblCellMar>
      </w:tblPr>
      <w:tblGrid>
        <w:gridCol w:w="2911"/>
        <w:gridCol w:w="321"/>
        <w:gridCol w:w="1119"/>
        <w:gridCol w:w="166"/>
        <w:gridCol w:w="146"/>
        <w:gridCol w:w="384"/>
        <w:gridCol w:w="1341"/>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fixed assets, net</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for the three months ended March 31, 2025 and 2024 was $1,384,000 and $832,000,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Impairment of Long-Lived Assets and Assets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real property in Greensboro, North Carolina continues to meet the criteria for held-for-sale accounting. The carrying value of this asset has been reflected as a component of total current assets in the accompanying Condensed Consolidated Balance Sheets as of March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impairment charges were recorded for the three months ended March 31, 2025 or 2024.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March 31, 2025 and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penalties related to income taxes are included in the expense for income taxes in the Company’s Condensed Consolidated Statements of Operations and Comprehensive Loss. The Company has not incurred any significant interest or penalties related to income taxes in any of the periods presented.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The three levels of inputs used to measure fair value are as follows:</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1 – Unadjusted quoted prices in active markets for identical assets or liabilities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Inputs other than quoted prices included within Level 1 that are either directly or indirectly observable through correlation with market data</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 Unobservable inputs that are supported by little or no market data, which require the reporting entity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values of cash equivalents, accounts payable, and accrued liabilities approximate fair value due to the short term nature of these instruments.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Contingent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reserves for contingent liabilities when it is probable that an asset has been impaired or a liability has been incurred at the date of the financial statements, and the amount of the loss can be reasonably estimated.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grant date fair value of time and performance-based stock option awards is estimated using the Black-Scholes option pricing formula. Due to the lack of sufficient historical trading information with respect to its own shares, the Company estimates expected volatility based on the volatility of its own Class A ordinary shares as well as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in only one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2023-09, Improvements to Income Tax Disclosures, which requires entities to disclose disaggregated information about their effective tax rate reconciliation and income taxes paid. The disclosure requirements will be applied on a prospective basis, with the option to apply them retrospectively. The standard is effective for annual periods beginning after December 15, 2024, with early adoption permitted. The Company is currently evaluating the disclosure requirements related to this new standard.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equivalents and marketable securities are measured at fair value and within Level 2 in the fair value hierarchy, because we use quoted market prices to the extent available or alternative pricing sources and models utilizing market observable inputs to determine fair value.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our cash equivalents and marketable securities measured at fair value on a recurring basis (in thousands):</w:t>
      </w:r>
    </w:p>
    <w:p>
      <w:pPr>
        <w:pStyle w:val="TextBody"/>
        <w:bidi w:val="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345"/>
        <w:gridCol w:w="691"/>
        <w:gridCol w:w="146"/>
        <w:gridCol w:w="146"/>
        <w:gridCol w:w="372"/>
        <w:gridCol w:w="664"/>
        <w:gridCol w:w="166"/>
        <w:gridCol w:w="146"/>
        <w:gridCol w:w="211"/>
        <w:gridCol w:w="781"/>
        <w:gridCol w:w="146"/>
        <w:gridCol w:w="146"/>
        <w:gridCol w:w="264"/>
        <w:gridCol w:w="847"/>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020"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165,278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345"/>
        <w:gridCol w:w="691"/>
        <w:gridCol w:w="146"/>
        <w:gridCol w:w="146"/>
        <w:gridCol w:w="372"/>
        <w:gridCol w:w="664"/>
        <w:gridCol w:w="166"/>
        <w:gridCol w:w="146"/>
        <w:gridCol w:w="211"/>
        <w:gridCol w:w="781"/>
        <w:gridCol w:w="146"/>
        <w:gridCol w:w="146"/>
        <w:gridCol w:w="264"/>
        <w:gridCol w:w="847"/>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020"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fair value of the Company’s cash equivalents and marketable securities, by contractual maturity, as of March 31, 2025 (in thousands):</w:t>
      </w:r>
    </w:p>
    <w:p>
      <w:pPr>
        <w:pStyle w:val="TextBody"/>
        <w:bidi w:val="0"/>
        <w:jc w:val="left"/>
        <w:rPr/>
      </w:pPr>
      <w:r>
        <w:rPr/>
        <w:t> </w:t>
      </w:r>
    </w:p>
    <w:tbl>
      <w:tblPr>
        <w:tblW w:w="4237" w:type="dxa"/>
        <w:jc w:val="left"/>
        <w:tblInd w:w="0" w:type="dxa"/>
        <w:tblLayout w:type="fixed"/>
        <w:tblCellMar>
          <w:top w:w="28" w:type="dxa"/>
          <w:left w:w="28" w:type="dxa"/>
          <w:bottom w:w="28" w:type="dxa"/>
          <w:right w:w="28" w:type="dxa"/>
        </w:tblCellMar>
      </w:tblPr>
      <w:tblGrid>
        <w:gridCol w:w="2506"/>
        <w:gridCol w:w="306"/>
        <w:gridCol w:w="1134"/>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or less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through 5 years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fair values and gross unrealized losses recorded to accumulated other comprehensive income, aggregated by category and the length of time that individual securities have been in a continuous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9"/>
        <w:gridCol w:w="228"/>
        <w:gridCol w:w="733"/>
        <w:gridCol w:w="148"/>
        <w:gridCol w:w="148"/>
        <w:gridCol w:w="459"/>
        <w:gridCol w:w="820"/>
        <w:gridCol w:w="166"/>
        <w:gridCol w:w="146"/>
        <w:gridCol w:w="431"/>
        <w:gridCol w:w="404"/>
        <w:gridCol w:w="201"/>
        <w:gridCol w:w="201"/>
        <w:gridCol w:w="617"/>
        <w:gridCol w:w="662"/>
        <w:gridCol w:w="146"/>
        <w:gridCol w:w="146"/>
        <w:gridCol w:w="228"/>
        <w:gridCol w:w="733"/>
        <w:gridCol w:w="146"/>
        <w:gridCol w:w="146"/>
        <w:gridCol w:w="459"/>
        <w:gridCol w:w="820"/>
        <w:gridCol w:w="318"/>
      </w:tblGrid>
      <w:tr>
        <w:trPr/>
        <w:tc>
          <w:tcPr>
            <w:tcW w:w="16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887"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40,056</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90,719</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4"/>
        <w:gridCol w:w="228"/>
        <w:gridCol w:w="733"/>
        <w:gridCol w:w="148"/>
        <w:gridCol w:w="148"/>
        <w:gridCol w:w="460"/>
        <w:gridCol w:w="820"/>
        <w:gridCol w:w="166"/>
        <w:gridCol w:w="146"/>
        <w:gridCol w:w="431"/>
        <w:gridCol w:w="405"/>
        <w:gridCol w:w="201"/>
        <w:gridCol w:w="201"/>
        <w:gridCol w:w="617"/>
        <w:gridCol w:w="662"/>
        <w:gridCol w:w="146"/>
        <w:gridCol w:w="146"/>
        <w:gridCol w:w="228"/>
        <w:gridCol w:w="733"/>
        <w:gridCol w:w="146"/>
        <w:gridCol w:w="146"/>
        <w:gridCol w:w="460"/>
        <w:gridCol w:w="820"/>
        <w:gridCol w:w="320"/>
      </w:tblGrid>
      <w:tr>
        <w:trPr/>
        <w:tc>
          <w:tcPr>
            <w:tcW w:w="16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885"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36,312</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holds debt securities of companies with high credit quality and has determined that there was no material change in the credit risk of its debt securities during the three months ended March 31, 2025 and 2024. As such, the Company has not recognized an allowance for credit losses related to our marketable debt securities during the three months ended March 31, 2025 and 2024. As of March 31, 2025, there were 39 investment positions that were in an unrealized loss position.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ProKidney is considered to be an exempted Cayman Islands company and is presently not subject to income taxes or income tax filing requirements in the Cayman Islands or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subsidiary, PKLP, is organized as a limited partnership and is classified as a partnership for U.S. income tax purposes.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tax rates and the Cayman statutory rate of 0% is primarily attributable to the recording of a tax provision for U.S. federal and state taxes for the Company’s subsidiary, ProKidney-US, which is treated as a C corporation for income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net unrecognized tax benefits as of March 31, 2025 which, if recognized, would affect our effective tax rate. We expect none of the gross unrecognized tax benefits will decrease within the next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in the Company’s uncertain tax positions during the three months ended March 31,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real estate (primarily its operating facilities) and certain equipment with various expiration dates. The Company also has finance leases for certain equipment. During the year ended December 31, 2024, the Company purchased two multi-tenant buildings in Winston-Salem, North Carolina, which it had previously occupied under the terms of a real estate lease. In connection with this purchase, the Company assumed the existing lease agreements held with certain third parties which leased space in these buildings.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Lessee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and 2024, the Company’s rent expense was $321,000 and $422,000, respectively. Cash paid for operating leases during the three months ended March 31, 2025 was $261,000.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 of operating and finance lease assets and obligations in the Company's Condensed Consolidated Balance Sheets as of March 31, 2025 and December 31, 2024 (in thousands):</w:t>
      </w:r>
    </w:p>
    <w:p>
      <w:pPr>
        <w:pStyle w:val="TextBody"/>
        <w:bidi w:val="0"/>
        <w:jc w:val="left"/>
        <w:rPr/>
      </w:pPr>
      <w:r>
        <w:rPr/>
        <w:t> </w:t>
      </w:r>
    </w:p>
    <w:tbl>
      <w:tblPr>
        <w:tblW w:w="7175" w:type="dxa"/>
        <w:jc w:val="left"/>
        <w:tblInd w:w="0" w:type="dxa"/>
        <w:tblLayout w:type="fixed"/>
        <w:tblCellMar>
          <w:top w:w="28" w:type="dxa"/>
          <w:left w:w="28" w:type="dxa"/>
          <w:bottom w:w="28" w:type="dxa"/>
          <w:right w:w="28" w:type="dxa"/>
        </w:tblCellMar>
      </w:tblPr>
      <w:tblGrid>
        <w:gridCol w:w="3181"/>
        <w:gridCol w:w="146"/>
        <w:gridCol w:w="388"/>
        <w:gridCol w:w="1052"/>
        <w:gridCol w:w="146"/>
        <w:gridCol w:w="146"/>
        <w:gridCol w:w="465"/>
        <w:gridCol w:w="1260"/>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lease liabilities for the Company’s operating and finance leases are as follows as of March 31, 2025 (in thousands):</w:t>
      </w:r>
    </w:p>
    <w:p>
      <w:pPr>
        <w:pStyle w:val="TextBody"/>
        <w:bidi w:val="0"/>
        <w:jc w:val="both"/>
        <w:rPr/>
      </w:pPr>
      <w:r>
        <w:rPr/>
        <w:t> </w:t>
      </w:r>
    </w:p>
    <w:tbl>
      <w:tblPr>
        <w:tblW w:w="7434" w:type="dxa"/>
        <w:jc w:val="left"/>
        <w:tblInd w:w="0" w:type="dxa"/>
        <w:tblLayout w:type="fixed"/>
        <w:tblCellMar>
          <w:top w:w="28" w:type="dxa"/>
          <w:left w:w="28" w:type="dxa"/>
          <w:bottom w:w="28" w:type="dxa"/>
          <w:right w:w="28" w:type="dxa"/>
        </w:tblCellMar>
      </w:tblPr>
      <w:tblGrid>
        <w:gridCol w:w="2686"/>
        <w:gridCol w:w="146"/>
        <w:gridCol w:w="428"/>
        <w:gridCol w:w="1162"/>
        <w:gridCol w:w="166"/>
        <w:gridCol w:w="146"/>
        <w:gridCol w:w="464"/>
        <w:gridCol w:w="931"/>
        <w:gridCol w:w="166"/>
        <w:gridCol w:w="146"/>
        <w:gridCol w:w="211"/>
        <w:gridCol w:w="57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remaining lease term for operating leases is 3.3 years, and 4.7 years for finance leases. The weighted average discount rate for operating leases is 10.7% and 5.6% for finance leases.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Lessor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a portion of its facilities in Winston-Salem, North Carolina under agreements that are classified as operating leases. In addition to the rental payments, tenants pay a fixed rate for their pro rata share of real estate taxes, insurance and other facility operating expenses. These amounts are recognized as revenues on a straight-line basis over the term of the related leases. For leasing revenues where collectability is not considered probable, lease income is recognized on a cash basis and all previously recognized tenant accounts receivables, including straight-line rent, are fully reserved in the period in which the lease income is determined not to be probable of collection. These lease agreements terminate between 2026 and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leasing revenue for the three months ended March 31, 2025 was $230,000 and there was no such revenue for the three months ended March 31, 2024. Future minimum lease payments under non-cancelable operating leases as of March 31, 2025 excluding the effect of straight-line rent and variable rental payments are as follows (in thousands):</w:t>
      </w:r>
    </w:p>
    <w:p>
      <w:pPr>
        <w:pStyle w:val="TextBody"/>
        <w:bidi w:val="0"/>
        <w:jc w:val="left"/>
        <w:rPr/>
      </w:pPr>
      <w:r>
        <w:rPr/>
        <w:t> </w:t>
      </w:r>
    </w:p>
    <w:tbl>
      <w:tblPr>
        <w:tblW w:w="3860" w:type="dxa"/>
        <w:jc w:val="left"/>
        <w:tblInd w:w="0" w:type="dxa"/>
        <w:tblLayout w:type="fixed"/>
        <w:tblCellMar>
          <w:top w:w="28" w:type="dxa"/>
          <w:left w:w="28" w:type="dxa"/>
          <w:bottom w:w="28" w:type="dxa"/>
          <w:right w:w="28" w:type="dxa"/>
        </w:tblCellMar>
      </w:tblPr>
      <w:tblGrid>
        <w:gridCol w:w="2641"/>
        <w:gridCol w:w="146"/>
        <w:gridCol w:w="211"/>
        <w:gridCol w:w="571"/>
        <w:gridCol w:w="2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6: Related Party Transactions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pStyle w:val="TextBody"/>
        <w:bidi w:val="0"/>
        <w:spacing w:before="360" w:after="283"/>
        <w:jc w:val="both"/>
        <w:rPr>
          <w:rFonts w:ascii="Times New Roman" w:hAnsi="Times New Roman"/>
          <w:sz w:val="20"/>
        </w:rPr>
      </w:pPr>
      <w:r>
        <w:rPr>
          <w:rFonts w:ascii="Times New Roman" w:hAnsi="Times New Roman"/>
          <w:i/>
          <w:color w:val="000000"/>
          <w:sz w:val="20"/>
        </w:rPr>
        <w:t>Lock-Up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end on the earlier of (i)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rilparencel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January 2023, the lock-up period for 50% of the shares held by the Closing ProKidney Unitholders (other than the Earnout Shares) expired.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Earnout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ordinary shares.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ProKidney-KY and Nefro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 2020, ProKidney-KY (formerly known as inRegen) entered into a consulting services agreement with Nefro Health (“Nefro”), an Irish partnership controlled and majority-owned by Mr. Pablo Legorreta, a director of the Company, ProKidney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GP Limited, a private limited company incorporated under the laws of Ireland (“Legacy GP”) and a holder of over 5% of Class A 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$25,000 for each of the three months ended March 31, 2025 and 2024,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ProKidney-US and Nefro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$25,000 for each of the three months ended March 31, 2025 and 2024,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the Exchange Agreement with respect to the Post-Combination ProKidney Common Units representing the outstanding 55.7%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redeemable noncontrolling interest is recognized at the higher of (1) its initial fair value plus accumulated earnings/losses associated with the noncontrolling interest or (2) the redemption value as of the balance sheet date. At March 31, 2025, the redeemable noncontrolling interest was recorded based on its initial fair value plus accumulated losses associated with the noncontrolling interest which was higher than the redemption value as of the balance sheet date.</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 (in thousands):</w:t>
      </w:r>
    </w:p>
    <w:p>
      <w:pPr>
        <w:pStyle w:val="TextBody"/>
        <w:bidi w:val="0"/>
        <w:jc w:val="both"/>
        <w:rPr/>
      </w:pPr>
      <w:r>
        <w:rPr/>
        <w:t> </w:t>
      </w:r>
    </w:p>
    <w:tbl>
      <w:tblPr>
        <w:tblW w:w="10201" w:type="dxa"/>
        <w:jc w:val="left"/>
        <w:tblInd w:w="0" w:type="dxa"/>
        <w:tblLayout w:type="fixed"/>
        <w:tblCellMar>
          <w:top w:w="28" w:type="dxa"/>
          <w:left w:w="28" w:type="dxa"/>
          <w:bottom w:w="28" w:type="dxa"/>
          <w:right w:w="28" w:type="dxa"/>
        </w:tblCellMar>
      </w:tblPr>
      <w:tblGrid>
        <w:gridCol w:w="6541"/>
        <w:gridCol w:w="330"/>
        <w:gridCol w:w="1151"/>
        <w:gridCol w:w="259"/>
        <w:gridCol w:w="228"/>
        <w:gridCol w:w="330"/>
        <w:gridCol w:w="1151"/>
        <w:gridCol w:w="211"/>
      </w:tblGrid>
      <w:tr>
        <w:trPr/>
        <w:tc>
          <w:tcPr>
            <w:tcW w:w="65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ordinary shareholders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accumulated deficit for impact of</w:t>
              <w:br/>
              <w:t>   subsidiary equity-based compensation</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exchange</w:t>
              <w:br/>
              <w:t>   of Common Units in ProKidney LP for Class A ordinary shares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vesting of</w:t>
              <w:br/>
              <w:t>   Restricted Common Units in ProKidney LP</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from net loss available to Class A ordinary shareholders and change</w:t>
              <w:br/>
              <w:t>   in ownership interest in ProKidney LP</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(23,508</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Shareholders’ Equity</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the Company entered into an Open Market Sale Agreement</w:t>
      </w:r>
      <w:r>
        <w:rPr>
          <w:rFonts w:ascii="Times New Roman" w:hAnsi="Times New Roman"/>
          <w:color w:val="000000"/>
          <w:sz w:val="13"/>
        </w:rPr>
        <w:t>SM</w:t>
      </w:r>
      <w:r>
        <w:rPr>
          <w:rFonts w:ascii="Times New Roman" w:hAnsi="Times New Roman"/>
          <w:color w:val="000000"/>
          <w:sz w:val="20"/>
        </w:rPr>
        <w:t xml:space="preserve"> (“Sales Agreement”) with Jefferies LLC (“Jefferies”) as the sales agent, pursuant to which the Company may offer and sell, from time to time, through Jefferies, shares of its Class A ordinary shares having an aggregate offering price of up to $100.0 million by any method deemed to be an “at the market offering” as defined in Rule 415(a)(4) under the Securities Act. The shares are offered and sold pursuant to the Company’s shelf registration statement on Form S-3.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and 2024, the Company did not sell any shares under the Sales Agreement.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9: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net loss attributable to Class A ordinary shareholders by the weighted-average shares of Class A ordinary shares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for the three months ended March 31, 2025 and 2024 (in thousands, except share and per share amounts):</w:t>
      </w:r>
    </w:p>
    <w:p>
      <w:pPr>
        <w:pStyle w:val="TextBody"/>
        <w:bidi w:val="0"/>
        <w:jc w:val="both"/>
        <w:rPr/>
      </w:pPr>
      <w:r>
        <w:rPr/>
        <w:t> </w:t>
      </w:r>
    </w:p>
    <w:tbl>
      <w:tblPr>
        <w:tblW w:w="10116" w:type="dxa"/>
        <w:jc w:val="left"/>
        <w:tblInd w:w="0" w:type="dxa"/>
        <w:tblLayout w:type="fixed"/>
        <w:tblCellMar>
          <w:top w:w="28" w:type="dxa"/>
          <w:left w:w="28" w:type="dxa"/>
          <w:bottom w:w="28" w:type="dxa"/>
          <w:right w:w="28" w:type="dxa"/>
        </w:tblCellMar>
      </w:tblPr>
      <w:tblGrid>
        <w:gridCol w:w="6256"/>
        <w:gridCol w:w="250"/>
        <w:gridCol w:w="1352"/>
        <w:gridCol w:w="196"/>
        <w:gridCol w:w="173"/>
        <w:gridCol w:w="250"/>
        <w:gridCol w:w="1228"/>
        <w:gridCol w:w="411"/>
      </w:tblGrid>
      <w:tr>
        <w:trPr/>
        <w:tc>
          <w:tcPr>
            <w:tcW w:w="62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available to Class A ordinary shareholders of ProKidney Corp., </w:t>
              <w:br/>
              <w:t>   basic and diluted</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Class A ordinary shares or ProKidney Corp. outstanding, </w:t>
              <w:br/>
              <w:t>   basic and diluted</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128,976,366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60,951,721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Class A ordinary share</w:t>
            </w:r>
          </w:p>
        </w:tc>
        <w:tc>
          <w:tcPr>
            <w:tcW w:w="16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Class A ordinary share of ProKidney Corp., basic and diluted</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Outstanding anti-dilutive securities not included in the diluted net loss per share calculation include the following:</w:t>
      </w:r>
    </w:p>
    <w:p>
      <w:pPr>
        <w:pStyle w:val="TextBody"/>
        <w:bidi w:val="0"/>
        <w:jc w:val="left"/>
        <w:rPr/>
      </w:pPr>
      <w:r>
        <w:rPr/>
        <w:t> </w:t>
      </w:r>
    </w:p>
    <w:tbl>
      <w:tblPr>
        <w:tblW w:w="8453" w:type="dxa"/>
        <w:jc w:val="left"/>
        <w:tblInd w:w="0" w:type="dxa"/>
        <w:tblLayout w:type="fixed"/>
        <w:tblCellMar>
          <w:top w:w="28" w:type="dxa"/>
          <w:left w:w="28" w:type="dxa"/>
          <w:bottom w:w="28" w:type="dxa"/>
          <w:right w:w="28" w:type="dxa"/>
        </w:tblCellMar>
      </w:tblPr>
      <w:tblGrid>
        <w:gridCol w:w="5196"/>
        <w:gridCol w:w="146"/>
        <w:gridCol w:w="1141"/>
        <w:gridCol w:w="146"/>
        <w:gridCol w:w="146"/>
        <w:gridCol w:w="146"/>
        <w:gridCol w:w="1141"/>
        <w:gridCol w:w="391"/>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Antidilutive securities</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ProKidney Corp. Class B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163,161,681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167,723,553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Restricted Stock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2,312,356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Earnout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granted under the 2022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30,393,917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21,845,327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10: Equity-Based Compensation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2022 Incentive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11, 2022, the shareholders of the Company approved the ProKidney Corp. 2022 Incentive Equity Plan (the “2022 Plan”) which provides for the issuance of equity-based awards to the Company’s employees, non-employee directors, individual consultants, advisors and other service providers.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incentive and non-qualified stock option awards under the 2022 Plan to certain employees, individual consultants and non-employee directors of the Company. Given that the Company has established a full valuation allowance against its deferred tax assets, the Company has recognized no tax benefit related to these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Time-Vested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three months ended March 31, 2025:</w:t>
      </w:r>
    </w:p>
    <w:p>
      <w:pPr>
        <w:pStyle w:val="TextBody"/>
        <w:bidi w:val="0"/>
        <w:jc w:val="left"/>
        <w:rPr/>
      </w:pPr>
      <w:r>
        <w:rPr/>
        <w:t> </w:t>
      </w:r>
    </w:p>
    <w:tbl>
      <w:tblPr>
        <w:tblW w:w="5771" w:type="dxa"/>
        <w:jc w:val="left"/>
        <w:tblInd w:w="0" w:type="dxa"/>
        <w:tblLayout w:type="fixed"/>
        <w:tblCellMar>
          <w:top w:w="28" w:type="dxa"/>
          <w:left w:w="28" w:type="dxa"/>
          <w:bottom w:w="28" w:type="dxa"/>
          <w:right w:w="28" w:type="dxa"/>
        </w:tblCellMar>
      </w:tblPr>
      <w:tblGrid>
        <w:gridCol w:w="2791"/>
        <w:gridCol w:w="146"/>
        <w:gridCol w:w="1321"/>
        <w:gridCol w:w="147"/>
        <w:gridCol w:w="136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99.0% - 99.7%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82.9% - 84.9%</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- 4.4%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activity related to the Company’s time-vested stock option awards granted under the 2022 Plan for the three months ended March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72"/>
        <w:gridCol w:w="146"/>
        <w:gridCol w:w="193"/>
        <w:gridCol w:w="1374"/>
        <w:gridCol w:w="166"/>
        <w:gridCol w:w="146"/>
        <w:gridCol w:w="844"/>
        <w:gridCol w:w="1870"/>
        <w:gridCol w:w="394"/>
      </w:tblGrid>
      <w:tr>
        <w:trPr/>
        <w:tc>
          <w:tcPr>
            <w:tcW w:w="5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19,778,670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28,805,167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 years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vested and expected to vest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 years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Company had total unrecognized stock-based compensation expense of approximately $44,516,000 related to the time-vested grants under the 2022 Plan, which is expected to be recognized on a straight-line basis over a weighted average period of 3.0 years. The weighted average grant date fair value for the option grants during the three months ended March 31, 2025 and 2024 was $1.00 and $1.15, respectively.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the in-the-money time-vested awards outstanding and those exercisable as of March 31, 2025 was $0 in each instance.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three months ended March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71"/>
        <w:gridCol w:w="146"/>
        <w:gridCol w:w="205"/>
        <w:gridCol w:w="1311"/>
        <w:gridCol w:w="166"/>
        <w:gridCol w:w="146"/>
        <w:gridCol w:w="798"/>
        <w:gridCol w:w="1769"/>
        <w:gridCol w:w="393"/>
      </w:tblGrid>
      <w:tr>
        <w:trPr/>
        <w:tc>
          <w:tcPr>
            <w:tcW w:w="5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exercisable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vested and expected to vest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2025, the Company had total unrecognized stock-based compensation expense of approximately $13,000 related to the performance-based grants under the 2022 Plan, which is expected to be recognized on a straight-line basis over a weighted average period of 0.3 years.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Legacy Profits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Deed for the Establishment of a Limited Partnership of PKLP,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activity related to the Profits Interest awards for the three months ended March 31, 2025: </w:t>
      </w:r>
    </w:p>
    <w:p>
      <w:pPr>
        <w:pStyle w:val="TextBody"/>
        <w:bidi w:val="0"/>
        <w:jc w:val="both"/>
        <w:rPr/>
      </w:pPr>
      <w:r>
        <w:rPr/>
        <w:t> </w:t>
      </w:r>
    </w:p>
    <w:tbl>
      <w:tblPr>
        <w:tblW w:w="10135" w:type="dxa"/>
        <w:jc w:val="left"/>
        <w:tblInd w:w="0" w:type="dxa"/>
        <w:tblLayout w:type="fixed"/>
        <w:tblCellMar>
          <w:top w:w="28" w:type="dxa"/>
          <w:left w:w="28" w:type="dxa"/>
          <w:bottom w:w="28" w:type="dxa"/>
          <w:right w:w="28" w:type="dxa"/>
        </w:tblCellMar>
      </w:tblPr>
      <w:tblGrid>
        <w:gridCol w:w="4036"/>
        <w:gridCol w:w="146"/>
        <w:gridCol w:w="219"/>
        <w:gridCol w:w="1401"/>
        <w:gridCol w:w="166"/>
        <w:gridCol w:w="146"/>
        <w:gridCol w:w="1129"/>
        <w:gridCol w:w="250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2025, the unrecognized compensation expense related to these awards was $4,567,000. The current weighted average remaining period over which the unrecognized compensation expense is expected to be recognized is 0.8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the unvested profits interests outstanding at March 31, 2025 was $683,000. The aggregate fair value of profits interests vested during the three months ended March 31, 2025 and 2024 was $1,575,000 and $1,604,000,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Equity-Based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related to equity-based awards is included in research and development and general and administrative expense as follows (in thousands):</w:t>
      </w:r>
    </w:p>
    <w:p>
      <w:pPr>
        <w:pStyle w:val="TextBody"/>
        <w:bidi w:val="0"/>
        <w:jc w:val="both"/>
        <w:rPr/>
      </w:pPr>
      <w:r>
        <w:rPr/>
        <w:t> </w:t>
      </w:r>
    </w:p>
    <w:tbl>
      <w:tblPr>
        <w:tblW w:w="6720" w:type="dxa"/>
        <w:jc w:val="left"/>
        <w:tblInd w:w="0" w:type="dxa"/>
        <w:tblLayout w:type="fixed"/>
        <w:tblCellMar>
          <w:top w:w="28" w:type="dxa"/>
          <w:left w:w="28" w:type="dxa"/>
          <w:bottom w:w="28" w:type="dxa"/>
          <w:right w:w="28" w:type="dxa"/>
        </w:tblCellMar>
      </w:tblPr>
      <w:tblGrid>
        <w:gridCol w:w="3641"/>
        <w:gridCol w:w="317"/>
        <w:gridCol w:w="858"/>
        <w:gridCol w:w="219"/>
        <w:gridCol w:w="219"/>
        <w:gridCol w:w="317"/>
        <w:gridCol w:w="858"/>
        <w:gridCol w:w="291"/>
      </w:tblGrid>
      <w:tr>
        <w:trPr/>
        <w:tc>
          <w:tcPr>
            <w:tcW w:w="36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equity-based compensation expense</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equity-based compensation by type of award (in thousands):</w:t>
      </w:r>
    </w:p>
    <w:p>
      <w:pPr>
        <w:pStyle w:val="TextBody"/>
        <w:bidi w:val="0"/>
        <w:jc w:val="left"/>
        <w:rPr/>
      </w:pPr>
      <w:r>
        <w:rPr/>
        <w:t> </w:t>
      </w:r>
    </w:p>
    <w:tbl>
      <w:tblPr>
        <w:tblW w:w="6720" w:type="dxa"/>
        <w:jc w:val="left"/>
        <w:tblInd w:w="0" w:type="dxa"/>
        <w:tblLayout w:type="fixed"/>
        <w:tblCellMar>
          <w:top w:w="28" w:type="dxa"/>
          <w:left w:w="28" w:type="dxa"/>
          <w:bottom w:w="28" w:type="dxa"/>
          <w:right w:w="28" w:type="dxa"/>
        </w:tblCellMar>
      </w:tblPr>
      <w:tblGrid>
        <w:gridCol w:w="3641"/>
        <w:gridCol w:w="317"/>
        <w:gridCol w:w="858"/>
        <w:gridCol w:w="219"/>
        <w:gridCol w:w="219"/>
        <w:gridCol w:w="317"/>
        <w:gridCol w:w="858"/>
        <w:gridCol w:w="291"/>
      </w:tblGrid>
      <w:tr>
        <w:trPr/>
        <w:tc>
          <w:tcPr>
            <w:tcW w:w="36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stock options</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stock options</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Market-vested stock options</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profits interests</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equity-based compensation expense</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review our operating segments and the approach used by management to evaluate performance and allocate resources. We manage our business as a single operating segment. The Company’s Chief Executive Officer is considered to be the Company’s chief operating decision maker under the requirements of Topic 280 of the ASC “Segments”. The primary measure of profit/loss reviewed by the chief operating decision maker (“CODM”) is net loss before noncontrolling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any product candidates approved for sale and has not generated any revenue from product sales. The Company recognizes lease revenue related to lease agreements held with certain third parties which leased space in the buildings which also house the Company’s manufacturing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our assets on a total company basis, not by operating segment. Therefore, our CODM does not regularly review any asset information other than total Company assets. See the Company’s Condensed Consolidated Balance Sheets for total assets. The majority of the Company’s long-lived assets are located in the United States.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selected income statement information for our single reportable segment (in thousands):</w:t>
      </w:r>
    </w:p>
    <w:p>
      <w:pPr>
        <w:pStyle w:val="TextBody"/>
        <w:bidi w:val="0"/>
        <w:jc w:val="left"/>
        <w:rPr/>
      </w:pPr>
      <w:r>
        <w:rPr/>
        <w:t> </w:t>
      </w:r>
    </w:p>
    <w:tbl>
      <w:tblPr>
        <w:tblW w:w="6901" w:type="dxa"/>
        <w:jc w:val="left"/>
        <w:tblInd w:w="0" w:type="dxa"/>
        <w:tblLayout w:type="fixed"/>
        <w:tblCellMar>
          <w:top w:w="28" w:type="dxa"/>
          <w:left w:w="28" w:type="dxa"/>
          <w:bottom w:w="28" w:type="dxa"/>
          <w:right w:w="28" w:type="dxa"/>
        </w:tblCellMar>
      </w:tblPr>
      <w:tblGrid>
        <w:gridCol w:w="3241"/>
        <w:gridCol w:w="330"/>
        <w:gridCol w:w="1151"/>
        <w:gridCol w:w="259"/>
        <w:gridCol w:w="228"/>
        <w:gridCol w:w="330"/>
        <w:gridCol w:w="1151"/>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(37,952</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income</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significant expense categories that are regularly reported to the CODM (in thousands):</w:t>
      </w:r>
    </w:p>
    <w:p>
      <w:pPr>
        <w:pStyle w:val="TextBody"/>
        <w:bidi w:val="0"/>
        <w:jc w:val="left"/>
        <w:rPr/>
      </w:pPr>
      <w:r>
        <w:rPr/>
        <w:t> </w:t>
      </w:r>
    </w:p>
    <w:tbl>
      <w:tblPr>
        <w:tblW w:w="7281" w:type="dxa"/>
        <w:jc w:val="left"/>
        <w:tblInd w:w="0" w:type="dxa"/>
        <w:tblLayout w:type="fixed"/>
        <w:tblCellMar>
          <w:top w:w="28" w:type="dxa"/>
          <w:left w:w="28" w:type="dxa"/>
          <w:bottom w:w="28" w:type="dxa"/>
          <w:right w:w="28" w:type="dxa"/>
        </w:tblCellMar>
      </w:tblPr>
      <w:tblGrid>
        <w:gridCol w:w="3441"/>
        <w:gridCol w:w="330"/>
        <w:gridCol w:w="1151"/>
        <w:gridCol w:w="259"/>
        <w:gridCol w:w="228"/>
        <w:gridCol w:w="330"/>
        <w:gridCol w:w="1151"/>
        <w:gridCol w:w="391"/>
      </w:tblGrid>
      <w:tr>
        <w:trPr/>
        <w:tc>
          <w:tcPr>
            <w:tcW w:w="34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expense</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compensation</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operating expenses</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 (1)</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(37,952</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primarily include interest income, equity-based compensation and depreciation.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_item2"/>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As used in this Quarterly Report on Form 10-Q, the “Company”, the “Registrant”, “we” or “us” refer to ProKidney Corp. The following discussion and analysis of our financial condition and results of operations should be read in conjunction with our unaudited condensed consolidated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with a transformative proprietary cell therapy platform that has the potential to treat multiple chronic kidney diseases using a patient’s own cells isolated from the patient intended for treatment. Our approach seeks to redefine the treatment of chronic kidney disease (“CKD”), shifting the emphasis away from management of kidney failure to the preservation of kidney function. Our lead product candidate, rilparencel, is designed to preserve kidney function in a CKD patient’s diseased kidneys. Rilparencel is a product that includes autologous Selected Renal Cells (“SRC”) prepared from a patient’s own kidney cells. SRC are formulated into a product for reinjection into the patient’s kidneys using a minimally invasive outpatient procedure that is repeatable, if necessary. Because rilparencel is a personalized treatment composed of cells prepared from a patient’s own kidney, there is no need for treatment with immunosuppressive therapies that are required during a patient’s lifetime when a patient receives a kidney transplant from another, allogeneic donor.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conducting a Phase 3 development program and an ongoing Phase 2 clinical trial for rilparencel in subjects with moderate to severe CKD and diabetes. Rilparencel has received regenerative medicine advanced therapy (“RMAT”) designation from the United States Food and Drug Administration (“FDA”). We also completed a Phase 1 clinical trial for rilparencel in subjects with CKD due to congenital anomalies of the kidney and urinary tract (“CAKUT”) for which the last subject visit occurred in January 2023 and the clinical study report was submitted to the FDA in December 2023. Rilparencel has, to date, been generally well tolerated by subjects with moderate to severe CKD in Phase 1 and 2 clinical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devoted substantially all of our resources to organizing and staffing our Company, business and scientific planning, conducting discovery and research activities, acquiring or discovering product candidates, establishing and protecting our intellectual property portfolio, developing and progressing rilparencel, raising capital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PROACT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2024, we completed a comprehensive internal and external review to determine the optimal path to bring rilparencel to patients in the U.S. with type 2 diabetes and advanced CKD – a market where there is high unmet clinical and economic need. An important conclusion of this review was that under the provisions of the RMAT designation, we believe rilparencel is eligible for initial FDA approval under an expedited approval pathway based upon successful completion of the ongoing Phase 3 REGEN-006 (PROACT 1) trial, and that the Phase 3 REGEN-016 (PROACT 2) trial is not required for initial U.S. registration. Thus, we discontinued REGEN-016 (PROACT 2), which was focused on enrollment outside the U.S. Subsequently, we had a Type B meeting with the FDA to discuss updates to rilparencel’s registrational trial strategy. The FDA confirmed that PROACT 1 could be sufficient to support a potential Biologics License Application (“BLA”) submission. Additionally, the FDA confirmed that the accelerated approval pathway is available to rilparencel if an acceptable endpoint, which may include eGFR slope is used. We will continue to engage with the FDA, under our RMAT designation, to further define the details supporting this accelerated pathway. We will continue to advance the U.S. clinical development program with the benefit of enhanced clarity as to the FDA’s expectations and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for a registrational program, including the design of the trials needed for approval, manufacturing assays, and comparability studies, as set forth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REGEN-007: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REGEN-007 is an ongoing Phase 2, prospective, randomized, open-label, repeat dose, two group, safety and efficacy study of rilparencel in subjects with type 1 or 2 diabetes and CKD. Full data from Group 1 of the Phase 2 REGEN-007 study are expected in the second quarter of 2025 and will comprise approximately 20 patients who have received two rilparencel injections, with an average follow-up of approximately 18 months.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the three months ended December 31, 2024, we recognized revenue related to leasing activities associated with existing lease agreements assumed through the acquisition of two buildings in Winston-Salem, North Carolina where we also conduct our manufacturing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our research and development activities, including the development of rilparencel.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research and development expenses incurred under agreements with CROs and other scientific development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other outside consultants, including their fees and related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quality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laboratory supplies and acquiring and developing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third-party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bonuses, benefits and stock-based compensation expenses, for individuals involved in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insurance and other internal operating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significantly for the foreseeable future as rilparencel moves into later stages of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numerous risks and uncertainties associated with developing product candidates, many of which are outside of our control,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nonclinical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nonclinical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appropriate safety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and patients involved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clinical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of, clinical trials, as well as drop out or discontinuation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the FDA and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new licensing or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future collaborators,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patient claims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rilparencel over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rilparencel, if approved,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rilparencel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for the foreseeable future as our business expands and we hire additional personnel to support our operations. </w:t>
      </w:r>
    </w:p>
    <w:p>
      <w:pPr>
        <w:pStyle w:val="TextBody"/>
        <w:bidi w:val="0"/>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consists primarily of interest income earned on cash, cash equivalents and marketable securities.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reflects federal and state taxes on income earned by our subsidiary that is organized as a C corporation for U.S. income tax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March 31, 2025 and 2024 (in thousands):</w:t>
      </w:r>
    </w:p>
    <w:p>
      <w:pPr>
        <w:pStyle w:val="TextBody"/>
        <w:bidi w:val="0"/>
        <w:jc w:val="left"/>
        <w:rPr/>
      </w:pPr>
      <w:r>
        <w:rPr/>
        <w:t> </w:t>
      </w:r>
    </w:p>
    <w:tbl>
      <w:tblPr>
        <w:tblW w:w="8328" w:type="dxa"/>
        <w:jc w:val="left"/>
        <w:tblInd w:w="0" w:type="dxa"/>
        <w:tblLayout w:type="fixed"/>
        <w:tblCellMar>
          <w:top w:w="28" w:type="dxa"/>
          <w:left w:w="28" w:type="dxa"/>
          <w:bottom w:w="28" w:type="dxa"/>
          <w:right w:w="28" w:type="dxa"/>
        </w:tblCellMar>
      </w:tblPr>
      <w:tblGrid>
        <w:gridCol w:w="4231"/>
        <w:gridCol w:w="146"/>
        <w:gridCol w:w="211"/>
        <w:gridCol w:w="736"/>
        <w:gridCol w:w="166"/>
        <w:gridCol w:w="146"/>
        <w:gridCol w:w="211"/>
        <w:gridCol w:w="736"/>
        <w:gridCol w:w="166"/>
        <w:gridCol w:w="146"/>
        <w:gridCol w:w="211"/>
        <w:gridCol w:w="631"/>
        <w:gridCol w:w="5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ordinary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relatively consistent between periods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cash-based compensation costs of approximately $1.1 million due to the hiring of additional personnel; and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facility costs of $1.0 driven by improvements to and expansion of manufacturing space; offset by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decreases in clinical study costs of approximately $1.4 million as increases of $1.0 for our ongoing Phase 3 trial (PROACT 1) were outpaced by decreases from our other trials due to timing and extent of activities or termination; and</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decreases in professional fees of $0.8 million related to the remediation of quality and manufacturing compliance</w:t>
      </w:r>
      <w:r>
        <w:rPr>
          <w:color w:val="000000"/>
        </w:rPr>
        <w:t xml:space="preserve"> </w:t>
      </w:r>
      <w:r>
        <w:rPr>
          <w:rFonts w:ascii="Times New Roman" w:hAnsi="Times New Roman"/>
          <w:color w:val="000000"/>
          <w:sz w:val="20"/>
        </w:rPr>
        <w:t>deficiencies during the 2024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general and administrative expenses of approximately $1.5 million was primarily driven by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increases in cash-based compensation of approximately $1.2 million related to the hiring of new employees; and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professional fees of approximately $0.8 million driven by current quarter activities; offset by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decreases in equity-based compensation of approximately $0.7 million due to forfeitures of awards and lower fair value of recent awards.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of approximately $0.8 million was driven primarily by lower interest rates for the 2025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income tax expense was driven by the change in the taxable income associated with the U.S. entities that are treated as corporations for U.S. tax purposes.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March 31, 2025, we funded our operations primarily through capital contributions from the holders of PKLP, the proceeds obtained through the Business Combination and related private placement financing, and public equity offerings.</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we entered into an Open Market Sale Agreement</w:t>
      </w:r>
      <w:r>
        <w:rPr>
          <w:rFonts w:ascii="Times New Roman" w:hAnsi="Times New Roman"/>
          <w:color w:val="000000"/>
          <w:sz w:val="13"/>
        </w:rPr>
        <w:t>SM</w:t>
      </w:r>
      <w:r>
        <w:rPr>
          <w:rFonts w:ascii="Times New Roman" w:hAnsi="Times New Roman"/>
          <w:color w:val="000000"/>
          <w:sz w:val="20"/>
        </w:rPr>
        <w:t xml:space="preserve"> (“Sales Agreement”) with Jefferies LLC (“Jefferies”) as the sales agent, pursuant to which we may offer and sell, from time to time, through Jefferies, our Class A ordinary shares having an aggregate offering price of up to $100.0 million by any method deemed to be an “at the market offering” as defined in Rule 415(a)(4) under the Securities Act. The shares are offered and sold pursuant to the Company’s shelf registration statement on Form S-3. As of March 31, 2025, we have sold $7.9 million worth of Class A ordinary shares under the Sales Agreement for net proceeds of $7.7 million, leaving $92.1 million available to be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Company sold 46,886,452 of its Class A ordinary shares in an underwritten public offering at a price of $2.42 per share. Additionally, in June 2024, the Company sold 11,030,574 of its Class A ordinary shares to certain investment entities at a price of $2.42 per share in a concurrent registered direct offering pursuant to share purchase agreements. The net proceeds to the Company from the offerings were approximately $136.7 million, after deducting the underwriting discounts and commissions and offering expenses payable by the Company. The shares were offered and sold pursuant to the Company’s shelf registration statement on Form S-3.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existing cash, cash equivalents and marketable securities held at March 31, 2025, will enable us to fund our operating expenses and capital expenditure requirements into mid-2027. We have based this estimate on assumptions that may prove to be wrong and we could exhaust our capital resources sooner than we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continue research and clinical development of our product candidates, including in particular our clinical trials for rilparencel;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third-party manufacturing costs to support our nonclinical studies and clinical trials of our product candidate and, if approved, its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investments in developing internal manufacturing capabilities;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since the closing of the Business Combination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shareholders.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or amount of increased expenses, and there is no assurance that we will ever be profitable or generate positive cash flow from operating activities.</w:t>
      </w:r>
    </w:p>
    <w:p>
      <w:pPr>
        <w:pStyle w:val="TextBody"/>
        <w:bidi w:val="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for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three months ended March 31, 2025 and 2024 (in thousands): </w:t>
      </w:r>
    </w:p>
    <w:p>
      <w:pPr>
        <w:pStyle w:val="TextBody"/>
        <w:bidi w:val="0"/>
        <w:jc w:val="left"/>
        <w:rPr/>
      </w:pPr>
      <w:r>
        <w:rPr/>
        <w:t> </w:t>
      </w:r>
    </w:p>
    <w:tbl>
      <w:tblPr>
        <w:tblW w:w="7276" w:type="dxa"/>
        <w:jc w:val="left"/>
        <w:tblInd w:w="0" w:type="dxa"/>
        <w:tblLayout w:type="fixed"/>
        <w:tblCellMar>
          <w:top w:w="28" w:type="dxa"/>
          <w:left w:w="28" w:type="dxa"/>
          <w:bottom w:w="28" w:type="dxa"/>
          <w:right w:w="28" w:type="dxa"/>
        </w:tblCellMar>
      </w:tblPr>
      <w:tblGrid>
        <w:gridCol w:w="3931"/>
        <w:gridCol w:w="146"/>
        <w:gridCol w:w="266"/>
        <w:gridCol w:w="931"/>
        <w:gridCol w:w="210"/>
        <w:gridCol w:w="184"/>
        <w:gridCol w:w="266"/>
        <w:gridCol w:w="931"/>
        <w:gridCol w:w="41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$29.6 million for the three months ended March 31, 2025, reflecting a net loss of approximately $38.0 million offset by cash provided by changes in working capital of approximately $1.1 million. Such uses were partially offset by non-cash charges and gains on investments of $1.1 million. The non-cash charges primarily consisted of equity-based compensation expense of $6.4 million and depreciation and amortization expense of $1.6 million. The changes in working capital primarily relate to the timing of payments made to our vendors for services performed and the recognition of receivable amounts related to interest on our marketable security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$34.6 million for the three months ended March 31, 2024, reflecting net loss of $35.3 million, and uses driven by changes in working capital of approximately $5.8 million and non-cash charges and gains on investments of $2.3 million. The non-cash charges primarily consisted of equity-based compensation expense of $7.7 million and depreciation and amortization expense of $1.1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approximately $5.1 million decrease in cash used in operating activities for the three months ended March 31, 2025 compared to the three months ended March 31, 2024 was primarily driven by a decrease in the use of cash related to the timing of payments to our vendors and receipt of interest due, partially offset by an increase in net loss after adjusting for the non-cash charges and gains on investments of approximately $2.1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approximately $28.3 million and $58.4 million for the three months ended March 31, 2025 and 2024, respectively. The cash provided by investing activities during the three months ended March 31, 2025 and 2024 was primarily related to the conversion of these investments to cash and cash equivalents or use to fund our operations.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financing activities for each of the three months ended March 31, 2025 and 2024 was insignificant.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consolidated financial statements. Our condensed consolidated financial statements are prepared in accordance with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are described in Note 2 to our unaudited condensed consolidated financial statements included elsewhere in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 </w:t>
      </w:r>
    </w:p>
    <w:p>
      <w:pPr>
        <w:pStyle w:val="TextBody"/>
        <w:bidi w:val="0"/>
        <w:spacing w:before="360" w:after="283"/>
        <w:jc w:val="left"/>
        <w:rPr>
          <w:rFonts w:ascii="Times New Roman" w:hAnsi="Times New Roman"/>
          <w:b/>
          <w:color w:val="000000"/>
          <w:sz w:val="20"/>
        </w:rPr>
      </w:pPr>
      <w:bookmarkStart w:id="11" w:name="i_item3"/>
      <w:bookmarkEnd w:id="11"/>
      <w:r>
        <w:rPr>
          <w:rFonts w:ascii="Times New Roman" w:hAnsi="Times New Roman"/>
          <w:b/>
          <w:color w:val="000000"/>
          <w:sz w:val="20"/>
        </w:rPr>
        <w:t>Item 3. Quantitative and Qualitative Disclosures About Market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otherwise required under this item.</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_item4"/>
      <w:bookmarkEnd w:id="12"/>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March 31, 2025. Based upon that evaluation, our Chief Executive Officer and Chief Financial Officer concluded that, as of March 31, 2025,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to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Website Availability of Reports and other Corporate Governance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maintains a comprehensive corporate governance program, including Corporate Governance Guidelines for its Board of Directors, Board Guidelines for Assessing Director Independence and charters for its Audit Committee, Nominating and Corporate Governance Committee and Talent and Compensation Committee. The Company maintains a corporate investor relations website, </w:t>
      </w:r>
      <w:r>
        <w:rPr>
          <w:rFonts w:ascii="Times New Roman" w:hAnsi="Times New Roman"/>
          <w:sz w:val="20"/>
        </w:rPr>
        <w:t>https://investors.prokidney.com/</w:t>
      </w:r>
      <w:r>
        <w:rPr>
          <w:rFonts w:ascii="Times New Roman" w:hAnsi="Times New Roman"/>
          <w:color w:val="000000"/>
          <w:sz w:val="20"/>
        </w:rPr>
        <w:t xml:space="preserve">, where stockholders and other interested persons may review, without charge, among other things, corporate governance materials and certain SEC filings, which are generally available on the same business day as the filing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with the SEC on the SEC’s website http://www.sec.gov. The contents of our website are not made a part of this Quarterly Report on Form 10-Q.</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i_item1"/>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spacing w:before="360" w:after="283"/>
        <w:jc w:val="left"/>
        <w:rPr>
          <w:rFonts w:ascii="Times New Roman" w:hAnsi="Times New Roman"/>
          <w:b/>
          <w:color w:val="000000"/>
          <w:sz w:val="20"/>
        </w:rPr>
      </w:pPr>
      <w:bookmarkStart w:id="15" w:name="ii_item1a"/>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Annual Report on Form 10-K filed with the SEC on March 17, 2025 (the “2024 Annual Report”). There have been no material changes to the risk factors described in the 2024 Annual Report.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domesticate to the U.S. and such domestication may result in disruptions to our business or otherwise materially harm our results of operations or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incorporated in the Cayman Islands, while our principal offices, management and board members are located in the United States. On March 31, 2025, we announced our expectation to domesticate from the Cayman Islands to the State of Delaware in the United States, subject to shareholder approval. If the domestication proposal and a new charter proposal are approved, we will begin proceedings in the Cayman Islands to domesticate to the State of Delaware in the United States, while maintaining our Nasdaq listing. Such domestication may require a significant amount of time, cost and focus from management and other employees, which may divert attention from our research and clinical activities. If any domestication activities we undertake in the future fail to achieve some or all of the expected benefits therefrom, our business, results of operations and financial condition could be materially and adversely affected. In addition, the domestication of the company is subject to all corporate approvals, including an approval of our shareholders pursuant to our proxy statement/prospectus, and such domestication may result in certain shareholders recognizing taxable income in the jurisdiction in which such shareholders are tax residents or, in certain cases, in which their members or partners are resident. Shareholders may be subject to withholding taxes or other taxes with respect to their ownership of the company after the domestication. If the plan to domesticate the company is adopted and executed, we do not intend to make any cash distributions to shareholders to pay such taxes.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rights of our shareholders will change as a result of the domestication.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the rights of our shareholders arise under the laws of the Cayman Islands, as well as our second amended and restated memorandum and articles of association (the “Existing Organizational Documents”). At the effective time of the domestication, the rights of our shareholders will arise under Delaware law, as well as the proposed certificate of incorporation and bylaws (the “Proposed Organizational Documents”). The Proposed Organizational Documents and Delaware law contain provisions that differ in certain material respects from those in our Existing Organizational Documents and Cayman Islands law and, therefore, some of the rights of our shareholders will change. For a description of your rights following the domestication and how they may differ from your current rights, as well as a description of our Existing Organizational Documents and the Proposed Organizational Documents, we urge shareholder to read our proxy statement/prospectus filed with the SEC on April 28,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expect to incur transaction costs in connection with the completion of the domestication and related transactions, some of which will be incurred whether or not the domestication is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significant transaction costs in connection with the domestication and related transactions. Our Board may decide to defer or abandon the domestication at any time prior to the completion of the domestication. The substantial majority of these costs will be incurred regardless of whether the domestication is completed and prior to the vote to adopt the domestication resolution at our annual general meeting.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to U.S. tariff and import/export regulations may have an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significant changes and continue to be ongoing discussion and commentary regarding potential significant changes to U.S. trade policies, treaties and tariffs, creating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significantly reduce global trade and, in particular, trade between the impacted nations and the United States. Any of these factors could depress economic activity and have a material adverse effect on our business, financial condition, results of operations, and the market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and changes at the United States Food and Drug Administration (the “FDA”) and other government agencies from funding cuts, personnel losses and changes,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and comparable regulatory agencies in foreign jurisdictions play an important role in the development of our product candidates by providing guidance on our clinical development programs and reviewing our regulatory submissions, including investigational new drug applications (“INDs”), requests for special designations and marketing applications. If these oversight and review activities are disrupted or change, then correspondingly our ability to develop and secure timely approval of our product candidates could be impacted in a negative manner.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the recent loss of and changes in FDA leadership and personnel could lead to disruptions and delays in FDA guidance, review and approval of our product candidates. Pursuant to President Trump’s E.O. 14210, “Implementing the President’s ‘Department of Government Efficiency’ Workforce Optimization Initiative,” the Secretary of the Department of Health and Human Services (“HHS”) announced on March 27, 2025, a reorganization and Reduction in Force (“RIF”) across HHS of approximately 20,000 employees (82,000 to 62,000), with the FDA’s workforce to decrease by 3,500 full-time employees. Shortly thereafter, thousands of employees at the FDA were fired on April 1, 2025. Subsequently, there have been reports from the preliminary budget memorandum for HHS that the administration will propose an additional 30% cut in the overall budget for HHS, with a reduction of $700 million in funding at the FDA ($7.2 billion to $6.5 billion) for the 2026 federal fiscal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while the FDA’s review of marketing applications and other activities for new drugs and biologics is largely funded through the user fee program established under the Prescription Drug User Fee Act (“PDUFA”), it remains unclear how the administration’s RIF, budget cuts and personnel changes will impact this program and the ability of the FDA to provide guidance and review our product candidates in a timely manner. For example, while the FDA RIF did not reportedly specifically target FDA reviewers, many operations, administrative and policy staff that help support such reviews were affected and those losses could lead to delays in PDUFA reviews and related activities. In addition, while currently unclear, there is a risk that the RIF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a number of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 employees and stop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critical activities. If a prolonged government shutdown occurs, it could significantly impact the ability of the FDA to timely review and process our regulatory submissions and the ability of the SEC to timely review our public filings, to the extent such review is necessary, and our ability to access the public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Accordingly, if any of the foregoing developments and others impact the ability of the FDA to provide us with guidance regarding our clinical development programs or delay the FDA’s review and processing of our regulatory submissions, including INDs and new drug applications or biologics license applications, our business would be negatively impacted. Further, any future government shutdown could impact our ability to access the public markets and obtain necessary capital in order to properly capitalize and continue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stock market is volatile, and fluctuations in our operating results, removal from various indices and other factors could cause our stock price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 market has experienced, and may continue to experience, fluctuations that significantly impact the market prices of securities issued by many companies. Market fluctuations could adversely affect our stock price. These fluctuations have often been unrelated or disproportionate to the operating performance of particular companies. These broad market fluctuations, as well as general economic, systemic, political and market conditions, such as pandemics, recessions, loss of investor confidence, interest rate changes, government shutdowns, or trade wars, may negatively affect the market price of our Class A common stock. Moreover, our operating results may fluctuate and vary from period to period due to risk factors set forth herein and described in our Annual Report on Form 10-K for the year ended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Class A common stock is quoted on The NASDAQ Capital Market (“NASDAQ”), the volume of trades on any given day has been limited historically, as a result of which stockholders might not have been able to sell or purchase our Class A common stock at the volume, price or time desired. In June 2023, our Class A common stock was added to the Russell 3000® Index. If our Class A common stock is removed from the Russell 3000® Index because it does not meet the criteria for continued inclusion in such index, index funds, institutional investors, or other holders attempting to track the composition of that index may be required to sell our Class A common stock, which would adversely impact the price and frequency at which it trades.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the de-listing of our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or the minimum closing bid price requirement, NASDAQ may take steps to de-list our securities. Such a de-listing would likely have a negative effect on the price of our Class A common stock and would impair your ability to sell or purchase our Class A common stock when you wish to do so. In the event of a de-listing, we would take actions to restore our compliance with NASDAQ’s listing requirements, but we can provide no assurance that any such action taken by us would allow our Class A common stock to become listed again, stabilize the market price or improve the liquidity of our Class A common stock, prevent our Class A common stock from dropping below the NASDAQ minimum bid price requirement or prevent future non-compliance with NASDAQ’s listing requirements.</w:t>
      </w:r>
    </w:p>
    <w:p>
      <w:pPr>
        <w:pStyle w:val="TextBody"/>
        <w:bidi w:val="0"/>
        <w:spacing w:before="120" w:after="283"/>
        <w:jc w:val="both"/>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i_item2"/>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sales of unregistered equity securities during the three months ended March 31, 2025. </w:t>
      </w:r>
    </w:p>
    <w:p>
      <w:pPr>
        <w:pStyle w:val="TextBody"/>
        <w:bidi w:val="0"/>
        <w:spacing w:before="360" w:after="283"/>
        <w:jc w:val="left"/>
        <w:rPr>
          <w:rFonts w:ascii="Times New Roman" w:hAnsi="Times New Roman"/>
          <w:b/>
          <w:color w:val="000000"/>
          <w:sz w:val="20"/>
        </w:rPr>
      </w:pPr>
      <w:bookmarkStart w:id="17" w:name="ii_item3"/>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i_item4"/>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i_item5"/>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31, 2025, the Rule 10b5-1 trading arrangement adopted by Darin Weber, Chief Regulatory Officer was modified on January 15, 2025 and is intended to satisfy the affirmative defense of Rule 10b5-1(c). The Rule 10b5-1 trading arrangement provides for the sale of up to an aggregate of 103,480 shares of our Class A ordinary shares until December 17,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8, 2025, ProKidney Corp. (the “Company”), through its wholly owned subsidiary, ProKidney Acquisition Company, LLC, entered into a purchase and sale agreement with Williams Development Group, LLC (the “Agreement”) to sell the Company’s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real property located in Greensboro, North Carolina for approximately $19.5 million in cash. The Agreement contains customary representations and closing conditions for a transaction of this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Between May 9, 2025 and May 12, 2025, the Company entered into employment agreements with each of Bruce Culleton, the Company’s Chief Executive Officer; James Coulston, the Company’s Chief Executive Officer; and Todd Girolamo, the Company’s Chief Legal Officer. A brief description of the terms of the agreements is provided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Bruce Culleton, M.D.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May 12, 2025, we entered into an employment agreement with Dr. Culleton, pursuant to which he serves as Chief Executive Officer of the Company. The agreement provides for a base salary of not less than $664,000 per year and a target cash bonus opportunity of 60% of base salary. Additionally, Dr. Culleton is eligible to receive long-term incentive awards under the Company’s 2022 Incentive Equity Plan (the “Incentive Equity Plan”) and is eligible for participation in the Company’s employee health and welfare benefit and retirement programs. Dr. Culleton is also eligible to receive certain severance benefits described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James Coulston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May 12, 2025, we entered into an employment agreement with Mr. Coulston, pursuant to which he serves as Chief Financial Officer of the Company. The agreement provides for a base salary of not less than $450,000 per year, a target cash bonus opportunity of 45% of base salary, eligibility to receive long-term incentive awards under the Incentive Equity Plan, eligibility for participation in the Company’s employee health and welfare benefit and retirement programs. Mr. Coulston is also eligible to receive certain severance benefits described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Todd Girolamo, J.D., MBA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May 9, 2025, we entered into an employment agreement with Mr. Girolamo, pursuant to which he serves as Chief Legal Officer of the Company. The agreement provides for a base salary of not less than $450,000 per year, a target cash bonus opportunity of 45% of base salary, eligibility to receive long-term incentive awards under the Incentive Equity Plan, eligibility for participation in the Company’s employee health and welfare benefit and retirement programs. Mr. Girolamo is also eligible to receive certain severance benefits described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Severance Benefits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Under each of the above Employment Agreements, if the executive’s employment is terminated by the Company without Cause or by the executive for Good Reason (each as defined in the applicable Employment Agreement) (a “Qualifying Termination Absent a Change in Control”), subject to the executive’s timely execution and non-revocation of a release of claims, the executive will be eligible to receive (i) any earned but unpaid bonus for any prior completed fiscal year, payable when such payments would otherwise be paid, (ii) severance payments in the form of base salary continuation payable over the applicable post-termination severance period set forth in the table below and (iii) continued participation in the Company’s group health plan for the applicable post-termination severance period set forth in the table below. </w:t>
      </w:r>
    </w:p>
    <w:p>
      <w:pPr>
        <w:pStyle w:val="TextBody"/>
        <w:bidi w:val="0"/>
        <w:jc w:val="left"/>
        <w:rPr>
          <w:rFonts w:ascii="Times New Roman" w:hAnsi="Times New Roman"/>
          <w:color w:val="000000"/>
          <w:sz w:val="20"/>
        </w:rPr>
      </w:pPr>
      <w:r>
        <w:rPr>
          <w:rFonts w:ascii="Times New Roman" w:hAnsi="Times New Roman"/>
          <w:color w:val="000000"/>
          <w:sz w:val="20"/>
        </w:rPr>
        <w:t>Under each of the above Employment Agreements, in the event that the executive’s employment is terminated by the Company without Cause or by the executive for Good Reason within the applicable protection period set forth in the table below following a Change in Control (as defined in the Incentive Equity Plan) (a “Qualifying Termination Following a Change in Control”), subject to the executive’s timely execution and non-revocation of a release of claims, the executive will receive (i) a lump sum payment equal to the number of months set forth in the table below under Post-Termination Benefits Period of the executive’s base salary as of immediately prior to the Change in Control and the executive’s then-current target cash bonus opportunity multiplied by the Severance Mulitple set forth in the table below, (ii) continued participation in the Company’s group health plan for the applicable post-termination benefits period set forth in the table below and (iii) full vesting of any equity awards then outstanding held by the executive.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7"/>
        <w:gridCol w:w="146"/>
        <w:gridCol w:w="2852"/>
        <w:gridCol w:w="146"/>
        <w:gridCol w:w="1254"/>
        <w:gridCol w:w="146"/>
        <w:gridCol w:w="1303"/>
        <w:gridCol w:w="146"/>
        <w:gridCol w:w="2225"/>
      </w:tblGrid>
      <w:tr>
        <w:trPr/>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Qualifying Termination Absent a Change in Control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7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Qualifying Termination Following a Change in Control</w:t>
            </w:r>
          </w:p>
        </w:tc>
      </w:tr>
      <w:tr>
        <w:trPr/>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Post-Termination Severance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Protection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Severance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Post-Termination Benefits Period</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 months</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months</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Girolamo, Chief Legal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months</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i_item6"/>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the Company’s Quarterly Report on Form 10-Q for the quarter ended March 31, 2025, formatted in iXBRL (Inline Extensible Business Reporting Language): (i) Condensed Consolidated Balance Sheets (unaudited), (ii) Condensed Consolidated Statements of Operations (unaudited), (iii) Condensed Consolidated Statements of Comprehensive Loss (unaudited), (iv) Condensed Consolidated Statements of Changes in Redeemable Noncontrolling Interest and Stockholders’ Deficit (unaudited), (v) Consolidated Statements of Cash Flows (unaudited) and (vi) Notes to Condensed Consolidated Financial Statements (unaudited), tagged as blocks of text and including detailed tags.</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Quarterly Report on Form 10-Q for the quarter ended March 31, 2025, formatted in Inline XBRL.</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prok-ex31_1.htm"/>
      <w:bookmarkStart w:id="23" w:name="ksprok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Culleton,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1741"/>
        <w:gridCol w:w="146"/>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prok-ex31_2.htm"/>
      <w:bookmarkStart w:id="25" w:name="ksprok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Coulston,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prok-ex32_1.htm"/>
      <w:bookmarkStart w:id="27" w:name="ksprok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1741"/>
        <w:gridCol w:w="146"/>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prok-ex32_2.htm"/>
      <w:bookmarkStart w:id="29" w:name="ksprokex32_2"/>
      <w:bookmarkEnd w:id="28"/>
      <w:bookmarkEnd w:id="2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19741</Words>
  <Characters>110117</Characters>
  <CharactersWithSpaces>130379</CharactersWithSpaces>
  <Paragraphs>4378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