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rok-20260630.htm"/>
      <w:bookmarkStart w:id="1" w:name="ksprok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001-40560</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98-1586514</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2000 Frontis Plaza Blvd., Suite 250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Winston-Salem, NC</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27103</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(336) 999-7019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tbl>
      <w:tblPr>
        <w:tblW w:w="7363" w:type="dxa"/>
        <w:jc w:val="left"/>
        <w:tblInd w:w="0" w:type="dxa"/>
        <w:tblLayout w:type="fixed"/>
        <w:tblCellMar>
          <w:top w:w="28" w:type="dxa"/>
          <w:left w:w="28" w:type="dxa"/>
          <w:bottom w:w="28" w:type="dxa"/>
          <w:right w:w="28" w:type="dxa"/>
        </w:tblCellMar>
      </w:tblPr>
      <w:tblGrid>
        <w:gridCol w:w="3826"/>
        <w:gridCol w:w="146"/>
        <w:gridCol w:w="3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Class of Stock</w:t>
            </w:r>
          </w:p>
        </w:tc>
        <w:tc>
          <w:tcPr>
            <w:tcW w:w="146" w:type="dxa"/>
            <w:tcBorders>
              <w:bottom w:val="single" w:sz="4" w:space="0" w:color="000000"/>
            </w:tcBorders>
            <w:tcMar>
              <w:top w:w="0" w:type="dxa"/>
              <w:left w:w="0" w:type="dxa"/>
              <w:right w:w="0" w:type="dxa"/>
            </w:tcMar>
            <w:vAlign w:val="center"/>
          </w:tcPr>
          <w:p>
            <w:pPr>
              <w:pStyle w:val="TableContents"/>
              <w:bidi w:val="0"/>
              <w:spacing w:before="80" w:after="283"/>
              <w:jc w:val="left"/>
              <w:rPr/>
            </w:pPr>
            <w:r>
              <w:rPr/>
              <w:t> </w:t>
            </w:r>
          </w:p>
        </w:tc>
        <w:tc>
          <w:tcPr>
            <w:tcW w:w="3391"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Shares Outstanding as of August 10, 2026</w:t>
            </w:r>
          </w:p>
        </w:tc>
      </w:tr>
      <w:tr>
        <w:trPr/>
        <w:tc>
          <w:tcPr>
            <w:tcW w:w="3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208,926,941</w:t>
            </w:r>
          </w:p>
        </w:tc>
      </w:tr>
      <w:tr>
        <w:trPr/>
        <w:tc>
          <w:tcPr>
            <w:tcW w:w="3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B common stock,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93,395,714</w:t>
            </w:r>
          </w:p>
        </w:tc>
      </w:tr>
    </w:tbl>
    <w:p>
      <w:pPr>
        <w:pStyle w:val="TextBody"/>
        <w:pBdr>
          <w:bottom w:val="double" w:sz="6" w:space="1" w:color="000000"/>
        </w:pBdr>
        <w:bidi w:val="0"/>
        <w:jc w:val="left"/>
        <w:rPr>
          <w:rFonts w:ascii="Times New Roman" w:hAnsi="Times New Roman"/>
          <w:color w:val="000000"/>
          <w:sz w:val="4"/>
        </w:rPr>
      </w:pPr>
      <w:r>
        <w:rPr>
          <w:rFonts w:ascii="Times New Roman" w:hAnsi="Times New Roman"/>
          <w:color w:val="000000"/>
          <w:sz w:val="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5"/>
        <w:gridCol w:w="8691"/>
        <w:gridCol w:w="649"/>
      </w:tblGrid>
      <w:tr>
        <w:trPr/>
        <w:tc>
          <w:tcPr>
            <w:tcW w:w="865" w:type="dxa"/>
            <w:tcBorders/>
            <w:vAlign w:val="center"/>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loss">
              <w:r>
                <w:rPr>
                  <w:rStyle w:val="InternetLink"/>
                  <w:rFonts w:ascii="Times New Roman" w:hAnsi="Times New Roman"/>
                  <w:color w:val="0000FF"/>
                  <w:sz w:val="20"/>
                  <w:u w:val="single"/>
                </w:rPr>
                <w:t>Condensed Consolidated Statements of Comprehensive Loss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000FF"/>
                  <w:sz w:val="20"/>
                  <w:u w:val="single"/>
                </w:rPr>
                <w:t>Condensed Consolidated Statements of Changes in Redeemable Noncontrolling Interest and Stockholders’ Deficit</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Times New Roman" w:hAnsi="Times New Roman"/>
                  <w:color w:val="0000FF"/>
                  <w:sz w:val="20"/>
                  <w:u w:val="single"/>
                </w:rPr>
                <w:t>Notes to Unaudited Condensed Consolidated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Condensed Consolidated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9509" w:type="dxa"/>
        <w:jc w:val="left"/>
        <w:tblInd w:w="0" w:type="dxa"/>
        <w:tblLayout w:type="fixed"/>
        <w:tblCellMar>
          <w:top w:w="28" w:type="dxa"/>
          <w:left w:w="28" w:type="dxa"/>
          <w:bottom w:w="28" w:type="dxa"/>
          <w:right w:w="28" w:type="dxa"/>
        </w:tblCellMar>
      </w:tblPr>
      <w:tblGrid>
        <w:gridCol w:w="5306"/>
        <w:gridCol w:w="223"/>
        <w:gridCol w:w="1052"/>
        <w:gridCol w:w="266"/>
        <w:gridCol w:w="246"/>
        <w:gridCol w:w="302"/>
        <w:gridCol w:w="1423"/>
        <w:gridCol w:w="691"/>
      </w:tblGrid>
      <w:tr>
        <w:trPr/>
        <w:tc>
          <w:tcPr>
            <w:tcW w:w="53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161,480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clinical</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assets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280,679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56,037</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net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249,016</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335,574</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2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22,710</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30,742</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 net of current portion</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1,106,370</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1,311,990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common stock, $0.0001 par value; 700,000,000 </w:t>
              <w:br/>
              <w:t xml:space="preserve">   shares authorized as of June 30, 2026 and </w:t>
              <w:br/>
              <w:t>   December 31, 2025; 205,716,189 and 141,807,277</w:t>
              <w:br/>
              <w:t xml:space="preserve">   shares issued and outstanding as of June 30, 2026 and </w:t>
              <w:br/>
              <w:t>   December 31, 2025, respectively</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B common stock, $0.0001 par value; 500,000,000 shares</w:t>
              <w:br/>
              <w:t>   authorized; 96,596,315 and 159,262,779 shares issued and</w:t>
              <w:br/>
              <w:t xml:space="preserve">   outstanding as of June 30, 2026 and December 31, 2025, </w:t>
              <w:br/>
              <w:t>   respectively</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258,552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 gain</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(1,318,294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(1,269,835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(883,532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(1,011,197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249,016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335,574</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r>
        <w:rPr>
          <w:rFonts w:ascii="Times New Roman" w:hAnsi="Times New Roman"/>
          <w:b/>
          <w:color w:val="000000"/>
          <w:sz w:val="20"/>
        </w:rPr>
        <w:t>-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1152" w:type="dxa"/>
        <w:jc w:val="left"/>
        <w:tblInd w:w="0" w:type="dxa"/>
        <w:tblLayout w:type="fixed"/>
        <w:tblCellMar>
          <w:top w:w="28" w:type="dxa"/>
          <w:left w:w="28" w:type="dxa"/>
          <w:bottom w:w="28" w:type="dxa"/>
          <w:right w:w="28" w:type="dxa"/>
        </w:tblCellMar>
      </w:tblPr>
      <w:tblGrid>
        <w:gridCol w:w="1551"/>
        <w:gridCol w:w="646"/>
        <w:gridCol w:w="211"/>
        <w:gridCol w:w="1141"/>
        <w:gridCol w:w="666"/>
        <w:gridCol w:w="646"/>
        <w:gridCol w:w="211"/>
        <w:gridCol w:w="1141"/>
        <w:gridCol w:w="166"/>
        <w:gridCol w:w="146"/>
        <w:gridCol w:w="211"/>
        <w:gridCol w:w="1141"/>
        <w:gridCol w:w="666"/>
        <w:gridCol w:w="646"/>
        <w:gridCol w:w="211"/>
        <w:gridCol w:w="1141"/>
        <w:gridCol w:w="611"/>
      </w:tblGrid>
      <w:tr>
        <w:trPr/>
        <w:tc>
          <w:tcPr>
            <w:tcW w:w="15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36,095</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69,937</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48,523</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93,682</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(48,373</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(93,306</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w:t>
              <w:br/>
              <w:t>   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(40,598</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(28,422</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(48,459</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Class A common stock outstanding: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186,560,999</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130,730,840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164,366,352</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129,858,450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common stock:</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6" w:name="consolidated_statements_of_comp_loss"/>
      <w:bookmarkEnd w:id="6"/>
      <w:r>
        <w:rPr>
          <w:rFonts w:ascii="Times New Roman" w:hAnsi="Times New Roman"/>
          <w:b/>
          <w:color w:val="000000"/>
          <w:sz w:val="20"/>
        </w:rPr>
        <w:t>Condensed Consolidated Statements of Comprehensive Loss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15"/>
        <w:gridCol w:w="346"/>
        <w:gridCol w:w="211"/>
        <w:gridCol w:w="738"/>
        <w:gridCol w:w="367"/>
        <w:gridCol w:w="347"/>
        <w:gridCol w:w="211"/>
        <w:gridCol w:w="738"/>
        <w:gridCol w:w="166"/>
        <w:gridCol w:w="146"/>
        <w:gridCol w:w="211"/>
        <w:gridCol w:w="736"/>
        <w:gridCol w:w="366"/>
        <w:gridCol w:w="346"/>
        <w:gridCol w:w="211"/>
        <w:gridCol w:w="736"/>
        <w:gridCol w:w="414"/>
      </w:tblGrid>
      <w:tr>
        <w:trPr/>
        <w:tc>
          <w:tcPr>
            <w:tcW w:w="39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including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income (loss) on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 including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(46,407</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Total comprehensive loss attributable to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 attributable to Class A common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(28,403</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tockholders_deficit"/>
      <w:bookmarkEnd w:id="7"/>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2328" w:type="dxa"/>
        <w:jc w:val="left"/>
        <w:tblInd w:w="0" w:type="dxa"/>
        <w:tblLayout w:type="fixed"/>
        <w:tblCellMar>
          <w:top w:w="28" w:type="dxa"/>
          <w:left w:w="28" w:type="dxa"/>
          <w:bottom w:w="28" w:type="dxa"/>
          <w:right w:w="28" w:type="dxa"/>
        </w:tblCellMar>
      </w:tblPr>
      <w:tblGrid>
        <w:gridCol w:w="1106"/>
        <w:gridCol w:w="246"/>
        <w:gridCol w:w="211"/>
        <w:gridCol w:w="810"/>
        <w:gridCol w:w="251"/>
        <w:gridCol w:w="246"/>
        <w:gridCol w:w="246"/>
        <w:gridCol w:w="146"/>
        <w:gridCol w:w="841"/>
        <w:gridCol w:w="146"/>
        <w:gridCol w:w="146"/>
        <w:gridCol w:w="236"/>
        <w:gridCol w:w="335"/>
        <w:gridCol w:w="146"/>
        <w:gridCol w:w="146"/>
        <w:gridCol w:w="146"/>
        <w:gridCol w:w="841"/>
        <w:gridCol w:w="151"/>
        <w:gridCol w:w="146"/>
        <w:gridCol w:w="236"/>
        <w:gridCol w:w="335"/>
        <w:gridCol w:w="151"/>
        <w:gridCol w:w="146"/>
        <w:gridCol w:w="181"/>
        <w:gridCol w:w="586"/>
        <w:gridCol w:w="146"/>
        <w:gridCol w:w="146"/>
        <w:gridCol w:w="383"/>
        <w:gridCol w:w="638"/>
        <w:gridCol w:w="151"/>
        <w:gridCol w:w="146"/>
        <w:gridCol w:w="181"/>
        <w:gridCol w:w="736"/>
        <w:gridCol w:w="151"/>
        <w:gridCol w:w="146"/>
        <w:gridCol w:w="183"/>
        <w:gridCol w:w="748"/>
        <w:gridCol w:w="396"/>
      </w:tblGrid>
      <w:tr>
        <w:trPr/>
        <w:tc>
          <w:tcPr>
            <w:tcW w:w="11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0"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Noncontrolling Interest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Gain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Deficit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April 1,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1,286,887</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141,980,643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159,973,334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(1,289,872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(1,023,783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Issuance of Class A ordinary shares, net of offering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Class B restricted stock rights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Exchange of Class B common stock for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(124,998</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63,387,108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(63,387,108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124,998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(37,516</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37,516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Unrealized income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(18,014</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(28,422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1,106,370</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205,716,189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96,596,315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434,765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(1,318,294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(883,532</w:t>
            </w:r>
          </w:p>
        </w:tc>
        <w:tc>
          <w:tcPr>
            <w:tcW w:w="3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2023" w:type="dxa"/>
        <w:jc w:val="left"/>
        <w:tblInd w:w="0" w:type="dxa"/>
        <w:tblLayout w:type="fixed"/>
        <w:tblCellMar>
          <w:top w:w="28" w:type="dxa"/>
          <w:left w:w="28" w:type="dxa"/>
          <w:bottom w:w="28" w:type="dxa"/>
          <w:right w:w="28" w:type="dxa"/>
        </w:tblCellMar>
      </w:tblPr>
      <w:tblGrid>
        <w:gridCol w:w="1106"/>
        <w:gridCol w:w="246"/>
        <w:gridCol w:w="211"/>
        <w:gridCol w:w="810"/>
        <w:gridCol w:w="151"/>
        <w:gridCol w:w="146"/>
        <w:gridCol w:w="146"/>
        <w:gridCol w:w="146"/>
        <w:gridCol w:w="841"/>
        <w:gridCol w:w="146"/>
        <w:gridCol w:w="146"/>
        <w:gridCol w:w="236"/>
        <w:gridCol w:w="335"/>
        <w:gridCol w:w="146"/>
        <w:gridCol w:w="146"/>
        <w:gridCol w:w="146"/>
        <w:gridCol w:w="841"/>
        <w:gridCol w:w="151"/>
        <w:gridCol w:w="146"/>
        <w:gridCol w:w="236"/>
        <w:gridCol w:w="335"/>
        <w:gridCol w:w="146"/>
        <w:gridCol w:w="146"/>
        <w:gridCol w:w="181"/>
        <w:gridCol w:w="586"/>
        <w:gridCol w:w="146"/>
        <w:gridCol w:w="146"/>
        <w:gridCol w:w="383"/>
        <w:gridCol w:w="638"/>
        <w:gridCol w:w="151"/>
        <w:gridCol w:w="146"/>
        <w:gridCol w:w="181"/>
        <w:gridCol w:w="736"/>
        <w:gridCol w:w="151"/>
        <w:gridCol w:w="146"/>
        <w:gridCol w:w="183"/>
        <w:gridCol w:w="748"/>
        <w:gridCol w:w="396"/>
      </w:tblGrid>
      <w:tr>
        <w:trPr/>
        <w:tc>
          <w:tcPr>
            <w:tcW w:w="11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1"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Noncontrolling 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Gain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Deficit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April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1,368,530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129,536,121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163,161,681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(998,553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Class B restricted stock rights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Exchange of Class B common stock for Class A common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3,882,836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(3,882,836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(16,552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1,341,953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133,418,957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159,288,931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231,576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(1,234,135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(1,002,500</w:t>
            </w:r>
          </w:p>
        </w:tc>
        <w:tc>
          <w:tcPr>
            <w:tcW w:w="3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2028" w:type="dxa"/>
        <w:jc w:val="left"/>
        <w:tblInd w:w="0" w:type="dxa"/>
        <w:tblLayout w:type="fixed"/>
        <w:tblCellMar>
          <w:top w:w="28" w:type="dxa"/>
          <w:left w:w="28" w:type="dxa"/>
          <w:bottom w:w="28" w:type="dxa"/>
          <w:right w:w="28" w:type="dxa"/>
        </w:tblCellMar>
      </w:tblPr>
      <w:tblGrid>
        <w:gridCol w:w="1106"/>
        <w:gridCol w:w="246"/>
        <w:gridCol w:w="211"/>
        <w:gridCol w:w="810"/>
        <w:gridCol w:w="151"/>
        <w:gridCol w:w="146"/>
        <w:gridCol w:w="146"/>
        <w:gridCol w:w="146"/>
        <w:gridCol w:w="841"/>
        <w:gridCol w:w="146"/>
        <w:gridCol w:w="146"/>
        <w:gridCol w:w="236"/>
        <w:gridCol w:w="335"/>
        <w:gridCol w:w="146"/>
        <w:gridCol w:w="146"/>
        <w:gridCol w:w="146"/>
        <w:gridCol w:w="841"/>
        <w:gridCol w:w="151"/>
        <w:gridCol w:w="146"/>
        <w:gridCol w:w="236"/>
        <w:gridCol w:w="335"/>
        <w:gridCol w:w="151"/>
        <w:gridCol w:w="146"/>
        <w:gridCol w:w="181"/>
        <w:gridCol w:w="586"/>
        <w:gridCol w:w="146"/>
        <w:gridCol w:w="146"/>
        <w:gridCol w:w="383"/>
        <w:gridCol w:w="638"/>
        <w:gridCol w:w="151"/>
        <w:gridCol w:w="146"/>
        <w:gridCol w:w="181"/>
        <w:gridCol w:w="736"/>
        <w:gridCol w:w="151"/>
        <w:gridCol w:w="146"/>
        <w:gridCol w:w="183"/>
        <w:gridCol w:w="748"/>
        <w:gridCol w:w="396"/>
      </w:tblGrid>
      <w:tr>
        <w:trPr/>
        <w:tc>
          <w:tcPr>
            <w:tcW w:w="11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0"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Noncontrolling 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Deficit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Balance as of January 1, 2026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1,311,990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141,807,277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159,262,779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(1,269,835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(1,011,197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10,392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Issuance of Class A common stock, net of offering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Class B restricted stock rights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733,252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Exchange of Class B common stock for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63,399,716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(63,399,716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125,025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506,398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40,031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(48,459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1,106,370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205,716,189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96,596,315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434,765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(1,318,294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(883,532</w:t>
            </w:r>
          </w:p>
        </w:tc>
        <w:tc>
          <w:tcPr>
            <w:tcW w:w="3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2023" w:type="dxa"/>
        <w:jc w:val="left"/>
        <w:tblInd w:w="0" w:type="dxa"/>
        <w:tblLayout w:type="fixed"/>
        <w:tblCellMar>
          <w:top w:w="28" w:type="dxa"/>
          <w:left w:w="28" w:type="dxa"/>
          <w:bottom w:w="28" w:type="dxa"/>
          <w:right w:w="28" w:type="dxa"/>
        </w:tblCellMar>
      </w:tblPr>
      <w:tblGrid>
        <w:gridCol w:w="1106"/>
        <w:gridCol w:w="246"/>
        <w:gridCol w:w="211"/>
        <w:gridCol w:w="810"/>
        <w:gridCol w:w="151"/>
        <w:gridCol w:w="146"/>
        <w:gridCol w:w="146"/>
        <w:gridCol w:w="146"/>
        <w:gridCol w:w="841"/>
        <w:gridCol w:w="146"/>
        <w:gridCol w:w="146"/>
        <w:gridCol w:w="236"/>
        <w:gridCol w:w="335"/>
        <w:gridCol w:w="146"/>
        <w:gridCol w:w="146"/>
        <w:gridCol w:w="146"/>
        <w:gridCol w:w="841"/>
        <w:gridCol w:w="151"/>
        <w:gridCol w:w="146"/>
        <w:gridCol w:w="236"/>
        <w:gridCol w:w="335"/>
        <w:gridCol w:w="146"/>
        <w:gridCol w:w="146"/>
        <w:gridCol w:w="181"/>
        <w:gridCol w:w="586"/>
        <w:gridCol w:w="146"/>
        <w:gridCol w:w="146"/>
        <w:gridCol w:w="331"/>
        <w:gridCol w:w="690"/>
        <w:gridCol w:w="151"/>
        <w:gridCol w:w="146"/>
        <w:gridCol w:w="181"/>
        <w:gridCol w:w="736"/>
        <w:gridCol w:w="151"/>
        <w:gridCol w:w="146"/>
        <w:gridCol w:w="183"/>
        <w:gridCol w:w="748"/>
        <w:gridCol w:w="396"/>
      </w:tblGrid>
      <w:tr>
        <w:trPr/>
        <w:tc>
          <w:tcPr>
            <w:tcW w:w="11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5"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Noncontrolling 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Deficit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January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1,396,591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128,054,417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163,693,707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(1,200,849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(994,954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Class B restricted stock rights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959,764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Exchange of Class B common stock for Class A common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5,364,540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(5,364,540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(33,286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1,341,953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133,418,957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159,288,931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(1,234,135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(1,002,500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 </w:t>
      </w: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8"/>
        <w:gridCol w:w="808"/>
        <w:gridCol w:w="171"/>
        <w:gridCol w:w="150"/>
        <w:gridCol w:w="218"/>
        <w:gridCol w:w="808"/>
        <w:gridCol w:w="814"/>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loss before noncontrolling interest to net cash flows used </w:t>
              <w:br/>
              <w:t>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lease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132,040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equipment and facility expansion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46,854</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of Class A common stock,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74,868</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84,940</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Exchange of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125,024</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equity transactions and compensation on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and facility expansion included in accounts payable and</w:t>
              <w:br/>
              <w:t>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9" w:name="notes_to_unaudited_condensed"/>
      <w:bookmarkEnd w:id="9"/>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Consolidated Financial Statements</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 Description of Business and Basis of Presentation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Corp. (the “Company”, “ProKidney Delaware”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common stock. The business combination between SCS and PKLP (the “Business Combination”) closed (the “Closing”) on July 11, 2022 (the “Closing Date”). Upon consummation of the transaction, SCS changed its name to ProKidney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July 1, 2025 (the “Domestication Date”), ProKidney Corp., the Cayman Islands exempted company (“ProKidney Cayman”) completed a domestication process through which it changed its jurisdiction of incorporation from the Cayman Islands to the State of Delaware (the “Domestication”). In connection with the Domestication, the Company also completed certain other restructuring transactions (such transactions, together with the Domestication, the “Restructuring”) on the Domestication Date. Prior to the Restructuring, ProKidney Cayman conducted its business indirectly through PKLP and its subsidiaries. Immediately following the Domestication, ProKidney (“ProKidney-KY”), then a wholly owned subsidiary of PK Holdings and a Cayman Islands exempted company, domesticated and continued for purposes of the Delaware Limited Liability Company Act as a Delaware limited liability company named ProKidney IPCo, LLC (“ProKidney IPCo.”). As a result of the consummation of the Domestication and the other transactions involved in the Restructuring, the Company and the other former limited partners of PKLP are now members of ProKidney Holdings, LLC, a Delaware limited liability company (“PK Holdings”), and PK Holdings owns all of the subsidiaries that conduct the Company’s business, including ProKidney IPCo.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completing the Domestication and other Restructuring transactions, the Company also underwent a series of transactions to streamline its operating subsidiaries from a tax perspective (the “Post-Domestication Reorganization”). The Post-Domestication Reorganization was finalized effective as of September 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Domestication represents a transaction between entities under common control. Assets and liabilities transferred between entities under common control are accounted for at cost. Accordingly, the assets and liabilities of ProKidney Corp. (Delaware) and its subsidiaries will be reflected at their historical carrying amounts of ProKidney Corp. (Cayman) as of the Domestication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presentation purposes, unless otherwise noted, references to common stock refer to “ordinary shares” before the Domestication and “common stock” subsequent to the Domestication. Similarly, unless otherwise noted, references to PK Holdings herein refers to PKLP prior to the Domestication and PK Holdings subsequent to the Domestication and references to ProKidney IPCo. herein refer to ProKidney-KY prior to the Domestication and ProKidney IPCo. subsequent to the Domestication.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 Corp., through its operating subsidiaries, is focused on the development of rilparencel, which has the potential to preserve kidney function in patients with advanced CKD and type 2 diabetes.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is a holding company, and its principal asset is a controlling equity interest in PK Holdings and its wholly-owned operating subsidiaries ProKidney IPCo. and ProKidney-US. The Company has determined that PK Holdings is a variable-interest entity for accounting purposes and that ProKidney is the primary beneficiary of PK Holdings because (through its managing member interest in PK Holdings and the fact that the senior management of ProKidney is also the senior management of PK Holdings) it has the power and benefits to direct all of the activities of PK Holdings, which include those that most significantly impact PK Holdings’ economic performance. The Company has therefore consolidated PK Holdings’ results pursuant to Accounting Standards Codification Topic 810, “Consolidation” in its Condensed Consolidated Financial Statements. As of June 30, 2026, various holders own non-voting interests in PK Holdings, representing a 32.0% economic interest in PK Holdings, effectively restricting ProKidney’s interest to 68.0% of PK Holdings’ economic results, subject to increase in the future, should ProKidney purchase additional non-voting common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units (“PK Holdings Units”) of PK Holdings, or should the holders of PK Holdings Units decide to exchange such units (together with shares of Class B common stock) for Class A common stock (or cash) pursuant to the Exchange Agreement (as defined in Note 6). The Company will not be required to provide financial or other support for PK Holdings. However, ProKidney will control its business and other activities through its managing member interest in PK Holdings, and its management is the management of PK Holdings. Nevertheless, because ProKidney will have no material assets other than its interests in PK Holdings and its subsidiaries, any financial difficulties at PK Holdings could result in ProKidney recognizing a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intercompany transactions and balances have been eliminated.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on a going concern basis, which contemplates the realization of assets and satisfaction of liabilities in the normal course of business. The Company performed an analysis of its ability to continue as a going concern. As of June 30, 2026, the Company had an accumulated deficit of $1,318,294,000. The Company has generated losses from operations for each year since its inception. The Company intends to continue to conduct significant additional research, development, and clinical study activities which, together with expenses incurred for general and administrative purposes, are expected to result in continuing operating losses for the foreseeable future. The amount of future losses and when, if ever, the Company will achieve profitability are uncertain. The Company’s ability to achieve profitability will depend, among other things, on successfully completing clinical studies, obtaining requisite regulatory approvals, establishing appropriate pricing for its product with payers, and raising sufficient funds to finance the Company’s activities. No assurance can be given that the Company’s clinical development efforts will be successful, that regulatory approvals will be obtained, or that the Company will be able to achieve appropriate pricing and market access or that profitability, if achieved, can be sustained. These matters raise substantial doubt about the Company’s ability to continue as a going concern. The Company believes that, based on its current business plan, its existing cash and cash equivalents and marketable securities of $181,564,000 at June 30, 2026, will not be sufficient to fund its obligations for the 12 months following the filing of this Quarterly Report on Form 10-Q on August 10, 2026. The consolidated financial statements do not include any adjustments related to the outcome of this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execute our operating plan depends on our ability to obtain additional funding through equity offerings, debt financings or potential licensing and collaboration arrangements. There can be no assurance that additional funds will be available when needed from any source or, if available, will be available on terms that are acceptable to us. Even if we raise additional capital, we may also be required to modify, delay or abandon some of our plans which could have a material adverse effect on our business, operating results and financial condition and our ability to achieve our intended business objectives.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Unaudited Interim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The accompanying Condensed Consolidated Balance Sheet as of June 30, 2026, Condensed Consolidated Statements of Operations for the three and six months ended June 30, 2026 and 2025, Condensed Consolidated Statements of Comprehensive Loss for the three and six months ended June 30, 2026 and 2025, Condensed Consolidated Statement of Changes in Redeemable Noncontrolling Interest and Stockholders’ Deficit for the three and six months ended June 30, 2026 and 2025 and Condensed Consolidated Statements of Cash Flows for the six months ended June 30, 2026 and 2025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2026, the results of operations for the three and six months ended June 30, 2026 and 2025 and cash flows for the six months ended June 30, 2026 and 2025. Certain prior year amounts have been reclassified to conform to the current year presentation. The December 31, 2025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2025, contained in the Company’s Annual Report on Form 10-K filed with the SEC on March 18,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results are not necessarily indicative of results for an entire year.</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available evidence to evaluate if a credit loss exists, and if so, recognizes an allowance for credit loss.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Concentrations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as presented in the Condensed Consolidated Balance Sheets as of June 30, 2026 and December 31, 2025 consisted of the following (in thousands):</w:t>
      </w:r>
    </w:p>
    <w:p>
      <w:pPr>
        <w:pStyle w:val="TextBody"/>
        <w:bidi w:val="0"/>
        <w:jc w:val="both"/>
        <w:rPr/>
      </w:pPr>
      <w:r>
        <w:rPr/>
        <w:t> </w:t>
      </w:r>
    </w:p>
    <w:tbl>
      <w:tblPr>
        <w:tblW w:w="7034" w:type="dxa"/>
        <w:jc w:val="left"/>
        <w:tblInd w:w="0" w:type="dxa"/>
        <w:tblLayout w:type="fixed"/>
        <w:tblCellMar>
          <w:top w:w="28" w:type="dxa"/>
          <w:left w:w="28" w:type="dxa"/>
          <w:bottom w:w="28" w:type="dxa"/>
          <w:right w:w="28" w:type="dxa"/>
        </w:tblCellMar>
      </w:tblPr>
      <w:tblGrid>
        <w:gridCol w:w="3451"/>
        <w:gridCol w:w="303"/>
        <w:gridCol w:w="972"/>
        <w:gridCol w:w="146"/>
        <w:gridCol w:w="146"/>
        <w:gridCol w:w="409"/>
        <w:gridCol w:w="1316"/>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study related costs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related costs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costs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 and other</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obtaining technology licenses are charged to research and development expense as purchased in-process research and development if the technology licensed has not reached technological feasibility and has no alternative future use.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pStyle w:val="TextBody"/>
        <w:bidi w:val="0"/>
        <w:jc w:val="both"/>
        <w:rPr/>
      </w:pPr>
      <w:r>
        <w:rPr/>
        <w:t> </w:t>
      </w:r>
    </w:p>
    <w:tbl>
      <w:tblPr>
        <w:tblW w:w="4937" w:type="dxa"/>
        <w:jc w:val="left"/>
        <w:tblInd w:w="0" w:type="dxa"/>
        <w:tblLayout w:type="fixed"/>
        <w:tblCellMar>
          <w:top w:w="28" w:type="dxa"/>
          <w:left w:w="28" w:type="dxa"/>
          <w:bottom w:w="28" w:type="dxa"/>
          <w:right w:w="28" w:type="dxa"/>
        </w:tblCellMar>
      </w:tblPr>
      <w:tblGrid>
        <w:gridCol w:w="2911"/>
        <w:gridCol w:w="2026"/>
      </w:tblGrid>
      <w:tr>
        <w:trPr/>
        <w:tc>
          <w:tcPr>
            <w:tcW w:w="29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25-30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 years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lease term</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Fixed assets consisted of the following (in thousands):</w:t>
      </w:r>
    </w:p>
    <w:p>
      <w:pPr>
        <w:pStyle w:val="TextBody"/>
        <w:bidi w:val="0"/>
        <w:jc w:val="left"/>
        <w:rPr/>
      </w:pPr>
      <w:r>
        <w:rPr/>
        <w:t> </w:t>
      </w:r>
    </w:p>
    <w:tbl>
      <w:tblPr>
        <w:tblW w:w="6634" w:type="dxa"/>
        <w:jc w:val="left"/>
        <w:tblInd w:w="0" w:type="dxa"/>
        <w:tblLayout w:type="fixed"/>
        <w:tblCellMar>
          <w:top w:w="28" w:type="dxa"/>
          <w:left w:w="28" w:type="dxa"/>
          <w:bottom w:w="28" w:type="dxa"/>
          <w:right w:w="28" w:type="dxa"/>
        </w:tblCellMar>
      </w:tblPr>
      <w:tblGrid>
        <w:gridCol w:w="2911"/>
        <w:gridCol w:w="284"/>
        <w:gridCol w:w="991"/>
        <w:gridCol w:w="166"/>
        <w:gridCol w:w="146"/>
        <w:gridCol w:w="384"/>
        <w:gridCol w:w="1341"/>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fixed assets, net</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months ended June 30, 2026 and 2025 was $1,449,000 and $1,491,000, respectively. Depreciation expense for the six months ended June 30, 2026 and 2025 was $2,883,000 and $2,875,000,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Impairment of Long-Lived Assets and Assets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June 30, 2026 and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penalties related to income taxes are included in the expense for income taxes in the Company’s Condensed Consolidated Statements of Operations and Comprehensive Loss. The Company has not incurred any significant interest or penalties related to income taxes in any of the periods presented.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The three levels of inputs used to measure fair value are as follows:</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1 – Unadjusted quoted prices in active markets for identical assets or liabilities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Inputs other than quoted prices included within Level 1 that are either directly or indirectly observable through correlation with market data</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 Unobservable inputs that are supported by little or no market data, which require the reporting entity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values of cash equivalents, accounts payable, and accrued liabilities approximate fair value due to the short term nature of these instruments.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Contingent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reserves for contingent liabilities when it is probable that an asset has been impaired or a liability has been incurred at the date of the financial statements, and the amount of the loss can be reasonably estimated.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grant date fair value of time and performance-based stock option awards is estimated using the Black-Scholes option pricing formula. Due to the lack of sufficient historical trading information with respect to its own shares, the Company estimates expected volatility based on the volatility of its own Class A common stock as well as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in only one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which requires disclosure of additional information about specific expense categories in the notes to the financial statements on an interim and annual basis. The standard is effective for fiscal years beginning after December 15, 2026, and for interim periods within annual reporting periods beginning after December 15, 2027, with early adoption permitted. The Company is currently evaluating the disclosure requirements related to this new standard.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 – Internal-Use Software (Subtopic 350-40): Targeted Improvements to the Accounting for Internal-Use Software, which removes the concept of project stages and requires the capitalization of software costs when management has committed to funding the software project and it is probable that the project will be complete. The standard is effective for fiscal years beginning after December 15, 2027, with early adoption permitted. The Company is currently evaluating the impact of adopting this new standard.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equivalents and marketable securities are measured at fair value and within Level 2 in the fair value hierarchy, because we use quoted market prices to the extent available or alternative pricing sources and models utilizing market observable inputs to determine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our cash equivalents and marketable securities measured at fair value on a recurring basis (in thousands):</w:t>
      </w:r>
    </w:p>
    <w:p>
      <w:pPr>
        <w:pStyle w:val="TextBody"/>
        <w:bidi w:val="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414"/>
        <w:gridCol w:w="622"/>
        <w:gridCol w:w="146"/>
        <w:gridCol w:w="146"/>
        <w:gridCol w:w="372"/>
        <w:gridCol w:w="664"/>
        <w:gridCol w:w="166"/>
        <w:gridCol w:w="146"/>
        <w:gridCol w:w="211"/>
        <w:gridCol w:w="781"/>
        <w:gridCol w:w="146"/>
        <w:gridCol w:w="146"/>
        <w:gridCol w:w="264"/>
        <w:gridCol w:w="847"/>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020"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79,176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345"/>
        <w:gridCol w:w="691"/>
        <w:gridCol w:w="146"/>
        <w:gridCol w:w="146"/>
        <w:gridCol w:w="453"/>
        <w:gridCol w:w="583"/>
        <w:gridCol w:w="166"/>
        <w:gridCol w:w="146"/>
        <w:gridCol w:w="211"/>
        <w:gridCol w:w="781"/>
        <w:gridCol w:w="146"/>
        <w:gridCol w:w="146"/>
        <w:gridCol w:w="264"/>
        <w:gridCol w:w="847"/>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020"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161,480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fair value of the Company’s cash equivalents and marketable securities, by contractual maturity, as of June 30, 2026 (in thousands):</w:t>
      </w:r>
    </w:p>
    <w:p>
      <w:pPr>
        <w:pStyle w:val="TextBody"/>
        <w:bidi w:val="0"/>
        <w:jc w:val="left"/>
        <w:rPr/>
      </w:pPr>
      <w:r>
        <w:rPr/>
        <w:t> </w:t>
      </w:r>
    </w:p>
    <w:tbl>
      <w:tblPr>
        <w:tblW w:w="4072" w:type="dxa"/>
        <w:jc w:val="left"/>
        <w:tblInd w:w="0" w:type="dxa"/>
        <w:tblLayout w:type="fixed"/>
        <w:tblCellMar>
          <w:top w:w="28" w:type="dxa"/>
          <w:left w:w="28" w:type="dxa"/>
          <w:bottom w:w="28" w:type="dxa"/>
          <w:right w:w="28" w:type="dxa"/>
        </w:tblCellMar>
      </w:tblPr>
      <w:tblGrid>
        <w:gridCol w:w="2506"/>
        <w:gridCol w:w="271"/>
        <w:gridCol w:w="1004"/>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or less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134,032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through 5 years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fair values and gross unrealized losses recorded to accumulated other comprehensive income, aggregated by category and the length of time that individual securities have been in a continuous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9"/>
        <w:gridCol w:w="228"/>
        <w:gridCol w:w="733"/>
        <w:gridCol w:w="148"/>
        <w:gridCol w:w="148"/>
        <w:gridCol w:w="459"/>
        <w:gridCol w:w="820"/>
        <w:gridCol w:w="166"/>
        <w:gridCol w:w="146"/>
        <w:gridCol w:w="431"/>
        <w:gridCol w:w="404"/>
        <w:gridCol w:w="201"/>
        <w:gridCol w:w="201"/>
        <w:gridCol w:w="617"/>
        <w:gridCol w:w="662"/>
        <w:gridCol w:w="146"/>
        <w:gridCol w:w="146"/>
        <w:gridCol w:w="228"/>
        <w:gridCol w:w="733"/>
        <w:gridCol w:w="146"/>
        <w:gridCol w:w="146"/>
        <w:gridCol w:w="459"/>
        <w:gridCol w:w="820"/>
        <w:gridCol w:w="318"/>
      </w:tblGrid>
      <w:tr>
        <w:trPr/>
        <w:tc>
          <w:tcPr>
            <w:tcW w:w="16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887"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59,910</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79,968</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15"/>
        <w:gridCol w:w="248"/>
        <w:gridCol w:w="672"/>
        <w:gridCol w:w="160"/>
        <w:gridCol w:w="160"/>
        <w:gridCol w:w="563"/>
        <w:gridCol w:w="725"/>
        <w:gridCol w:w="166"/>
        <w:gridCol w:w="146"/>
        <w:gridCol w:w="434"/>
        <w:gridCol w:w="410"/>
        <w:gridCol w:w="203"/>
        <w:gridCol w:w="203"/>
        <w:gridCol w:w="622"/>
        <w:gridCol w:w="667"/>
        <w:gridCol w:w="146"/>
        <w:gridCol w:w="146"/>
        <w:gridCol w:w="248"/>
        <w:gridCol w:w="672"/>
        <w:gridCol w:w="146"/>
        <w:gridCol w:w="146"/>
        <w:gridCol w:w="563"/>
        <w:gridCol w:w="725"/>
        <w:gridCol w:w="319"/>
      </w:tblGrid>
      <w:tr>
        <w:trPr/>
        <w:tc>
          <w:tcPr>
            <w:tcW w:w="17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9886"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holds debt securities of companies with high credit quality and has determined that there was no material change in the credit risk of its debt securities during the three and six months ended June 30, 2026 and 2025. As such, the Company has not recognized an allowance for credit losses related to our marketable debt securities during the three and six months ended June 30, 2026 and 2025. As of June 30, 2026, there were 83 investment positions that were in an unrealized loss position.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Domestication and other Restructuring transactions, ProKidney was considered an exempted Cayman Islands company and was not subject to income taxes or income tax filing requirements in the Cayman Islands or the United States. The Company’s subsidiary, PKLP, was organized as a limited partnership under the laws and regulations of Ireland and was classified as a partnership for U.S. income tax purposes. Further, the Company’s subsidiary, ProKidney-KY, had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disregarded as separate from its owner, PKLP, for U.S. tax purposes, and as a result, it did not record an income tax provision.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Domestication and other Restructuring transactions resulted in the Company becoming subject to corporate level income taxes in the U.S. Further, the Post-Domestication Reorganization, which was effective on September 1, 2025, resulted in certain of the Company’s subsidiaries becoming part of a consolidated group and ProKidney-US becoming disregarded as separate from its owner, “PK Holdings” for U.S. federal income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periods prior to the Domestication and Post-Domestication Reorganization, the difference between the Company’s effective tax rates and the Cayman statutory rate of 0% was primarily attributable to the recording of a tax provision for U.S. federal and state taxes for the Company’s subsidiaries, ProKidney-US and ProKidney Acquisition Company, which were treated as a C corporation for U.S. federal income tax purposes. For periods subsequent to the Domestication and Post-Domestication Reorganization, the difference between the Company’s effective tax rates and the U.S. statutory rate of 21% was primarily attributable to the valuation allowance against the Company’s expected net operating losses.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Since the Company has established a full valuation allowance against its deferred tax assets, the Company has not recognized any liability related to this agreement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net unrecognized tax benefits as of June 30, 2026 which, if recognized, would affect our effective tax rate. We expect none of the gross unrecognized tax benefits will decrease within the next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in the Company’s uncertain tax positions during the three and six months ended June 30, 2026 and 2025.</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real estate (primarily its operating facilities) and certain equipment with various expiration dates. The Company also has finance leases for certain equipment. The Company leases a portion of two multi-tenant buildings in Winston-Salem, North Carolina, under lease agreements held with certain third parties.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Lessee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and 2025, the Company’s rent expense was $319,000 and $298,000, respectively. For the six months ended June 30, 2026 and 2025, the Company’s rent expense was $674,000 and $619,000, respectively. Cash paid for operating leases during the six months ended June 30, 2026 was $709,000.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 of operating and finance lease assets and obligations in the Company's Condensed Consolidated Balance Sheets as of June 30, 2026 and December 31, 2025 (in thousands):</w:t>
      </w:r>
    </w:p>
    <w:p>
      <w:pPr>
        <w:pStyle w:val="TextBody"/>
        <w:bidi w:val="0"/>
        <w:jc w:val="left"/>
        <w:rPr/>
      </w:pPr>
      <w:r>
        <w:rPr/>
        <w:t> </w:t>
      </w:r>
    </w:p>
    <w:tbl>
      <w:tblPr>
        <w:tblW w:w="7010" w:type="dxa"/>
        <w:jc w:val="left"/>
        <w:tblInd w:w="0" w:type="dxa"/>
        <w:tblLayout w:type="fixed"/>
        <w:tblCellMar>
          <w:top w:w="28" w:type="dxa"/>
          <w:left w:w="28" w:type="dxa"/>
          <w:bottom w:w="28" w:type="dxa"/>
          <w:right w:w="28" w:type="dxa"/>
        </w:tblCellMar>
      </w:tblPr>
      <w:tblGrid>
        <w:gridCol w:w="3181"/>
        <w:gridCol w:w="146"/>
        <w:gridCol w:w="344"/>
        <w:gridCol w:w="931"/>
        <w:gridCol w:w="146"/>
        <w:gridCol w:w="146"/>
        <w:gridCol w:w="465"/>
        <w:gridCol w:w="1260"/>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lease liabilities for the Company’s operating and finance leases are as follows as of June 30, 2026 (in thousands):</w:t>
      </w:r>
    </w:p>
    <w:p>
      <w:pPr>
        <w:pStyle w:val="TextBody"/>
        <w:bidi w:val="0"/>
        <w:jc w:val="both"/>
        <w:rPr/>
      </w:pPr>
      <w:r>
        <w:rPr/>
        <w:t> </w:t>
      </w:r>
    </w:p>
    <w:tbl>
      <w:tblPr>
        <w:tblW w:w="7434" w:type="dxa"/>
        <w:jc w:val="left"/>
        <w:tblInd w:w="0" w:type="dxa"/>
        <w:tblLayout w:type="fixed"/>
        <w:tblCellMar>
          <w:top w:w="28" w:type="dxa"/>
          <w:left w:w="28" w:type="dxa"/>
          <w:bottom w:w="28" w:type="dxa"/>
          <w:right w:w="28" w:type="dxa"/>
        </w:tblCellMar>
      </w:tblPr>
      <w:tblGrid>
        <w:gridCol w:w="2686"/>
        <w:gridCol w:w="146"/>
        <w:gridCol w:w="428"/>
        <w:gridCol w:w="1162"/>
        <w:gridCol w:w="166"/>
        <w:gridCol w:w="146"/>
        <w:gridCol w:w="500"/>
        <w:gridCol w:w="895"/>
        <w:gridCol w:w="166"/>
        <w:gridCol w:w="146"/>
        <w:gridCol w:w="211"/>
        <w:gridCol w:w="57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remaining lease term for operating and finance leases is 3.6 and 3.5 years, respectively. The weighted average discount rate for operating leases is 11.0% and 5.6% for finance leases.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Lessor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a portion of its facilities in Winston-Salem, North Carolina under agreements that are classified as operating leases. In addition to the rental payments, tenants pay a fixed rate for their pro rata share of real estate taxes, insurance and other facility operating expenses. These amounts are recognized as revenues on a straight-line basis over the term of the related leases. For leasing revenues where collectability is not considered probable, lease income is recognized on a cash basis and all previously recognized tenant accounts receivables, including straight-line rent, are fully reserved in the period in which the lease income is determined not to be probable of collection. These lease agreements terminate between 2026 and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leasing revenue for the three months ended June 30, 2026 and 2025 was $150,000 and $221,000, respectively. The leasing revenue for the six months ended June 30, 2026 and 2025 was $376,000 and $451,000, respectively. Future minimum lease payments under non-cancelable operating leases as of June 30, 2026 excluding the effect of straight-line rent and variable rental payments are as follows (in thousands):</w:t>
      </w:r>
    </w:p>
    <w:p>
      <w:pPr>
        <w:pStyle w:val="TextBody"/>
        <w:bidi w:val="0"/>
        <w:jc w:val="left"/>
        <w:rPr/>
      </w:pPr>
      <w:r>
        <w:rPr/>
        <w:t> </w:t>
      </w:r>
    </w:p>
    <w:tbl>
      <w:tblPr>
        <w:tblW w:w="3740" w:type="dxa"/>
        <w:jc w:val="left"/>
        <w:tblInd w:w="0" w:type="dxa"/>
        <w:tblLayout w:type="fixed"/>
        <w:tblCellMar>
          <w:top w:w="28" w:type="dxa"/>
          <w:left w:w="28" w:type="dxa"/>
          <w:bottom w:w="28" w:type="dxa"/>
          <w:right w:w="28" w:type="dxa"/>
        </w:tblCellMar>
      </w:tblPr>
      <w:tblGrid>
        <w:gridCol w:w="2521"/>
        <w:gridCol w:w="146"/>
        <w:gridCol w:w="211"/>
        <w:gridCol w:w="571"/>
        <w:gridCol w:w="2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6: Related Party Transactions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an exchange agreement with PKLP and certain Closing ProKidney Unitholders (as amended,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have the right from time to time at and after 180 days following the Closing to exchange their Post-Combination ProKidney Common Units and an equal number of shares of Class B common stock of the Company on a one-for-one basis for shares of Class A common stock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share of Class A common stock.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the Company amended and restated the Exchange Agreement on substantially similar terms in order to reflect updates to the Company’s corporate structure resulting from the Restructuring.</w:t>
      </w:r>
    </w:p>
    <w:p>
      <w:pPr>
        <w:pStyle w:val="TextBody"/>
        <w:bidi w:val="0"/>
        <w:spacing w:before="360" w:after="283"/>
        <w:jc w:val="both"/>
        <w:rPr>
          <w:rFonts w:ascii="Times New Roman" w:hAnsi="Times New Roman"/>
          <w:sz w:val="20"/>
        </w:rPr>
      </w:pPr>
      <w:r>
        <w:rPr>
          <w:rFonts w:ascii="Times New Roman" w:hAnsi="Times New Roman"/>
          <w:i/>
          <w:color w:val="000000"/>
          <w:sz w:val="20"/>
        </w:rPr>
        <w:t>Lock-Up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SCS Sponsor III LLC and certain Closing ProKidney Unitholders entered into a lock-up agreement (as amended, the “Lock-Up Agreement”). The Lock-Up Agreement contains certain restrictions on transfer with respect to the SCS Sponsor III LLC and the Closing ProKidney Unitholders party thereto. Such restrictions began at the Closing and end on the earlier of (i) the date that is 180 days after the Closing and (ii)(a) for 33% of the Lock-Up Shares (other than the Earnout Shares and the PIPE Shares), the date on which the last reported sale price of the Class A common stock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the Class A common stock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 Holdings receives notice of any regulatory market authorization, including full or conditional authorization, to market its lead product candidate, rilparencel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the Company amended and restated the Lock-Up Agreement on substantially similar terms in order to reflect updates to the Company’s corporate structure resulting from the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July 11, 2026, the lock-up period for the shares held by the Closing ProKidney Unitholders (other than the Earnout Shares) has fully expired.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 tax receivable agreement (as amended,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common stock of the Company or, subject to certain restrictions, cash, pursuant to the Exchange Agreement and certain other tax attributes of PK Holdings and tax benefits related to entering into the 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the Company amended and restated the Tax Receivable Agreement on substantially similar terms in order to reflect updates to the Company’s corporate structure resulting from the Restructuring.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Earnout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Closing, certain stockholders were issued an aggregate of 17,500,000 Earnout Restricted Common Units and 17,500,000 Earnout Restricted Stock Rights (collectively, the “Earnout Rights”). The Earnout Rights vest in three equal tranches if, during the five-year period after Closing, the VWAP of the Company’s Class A common stock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Post-Combination ProKidney Common Units and Class B common stock.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 IPCo. and Nefro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IPCo. is party to a consulting services agreement with Nefro Health (“Nefro”), an Irish partnership controlled and majority-owned by Mr. Pablo Legorreta, a director of the Company and a significant shareholder,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$25,000 and $50,000 for each of the three and six months ended June 30, 2026 and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2025,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 IPCo. will be obligated to pay Nefro any earned but unpaid consulting fee as of the termination 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ProKidney-US and Nefro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ProKidney-US is party 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$25,000 and $50,000 for each of the three and six months ended June 30, 2026 and 2025,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the Exchange Agreement with respect to the Post-Combination ProKidney Common Units representing the outstanding 32.0% noncontrolling interest in PK Holdings (prior to the Domestication PKLP) (see Note 1). The Exchange Agreement requires the surrender of an equal number of Post-Combination ProKidney Common Units and shares of Class B common stock for (i) shares of Class A common stock on a one-for-one basis or (ii) cash (based on the fair market value of the Class A common stock as determined pursuant to the Exchange Agreement), at the Company’s option (as the managing member of PK Holdings), subject to customary conversion rate adjustments for share splits, share dividends and reclassifications. The exchange value is determined based on a five-day VWAP of the Class A common stock as defined in the Exchange Agreement, subject to customary conversion rate adjustments for share splits, share dividends and 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redeemable noncontrolling interest is recognized at the higher of (1) its initial fair value plus accumulated earnings/losses associated with the noncontrolling interest or (2) the redemption value as of the balance sheet date. At June 30, 2026, the redeemable noncontrolling interest was recorded based on its initial fair value plus accumulated losses associated with the noncontrolling interest which was higher than the redemption value as of the balance sheet date.</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Company’s ownership interest in PK Holdings while the Company retains its controlling interest in PK Holdings are accounted for as equity transactions, and the Company is required to adjust noncontrolling interest and equity for such changes. The following is a summary of net income attributable to the Company and transfers to noncontrolling interest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32"/>
        <w:gridCol w:w="259"/>
        <w:gridCol w:w="1033"/>
        <w:gridCol w:w="204"/>
        <w:gridCol w:w="179"/>
        <w:gridCol w:w="259"/>
        <w:gridCol w:w="904"/>
        <w:gridCol w:w="166"/>
        <w:gridCol w:w="146"/>
        <w:gridCol w:w="247"/>
        <w:gridCol w:w="986"/>
        <w:gridCol w:w="194"/>
        <w:gridCol w:w="171"/>
        <w:gridCol w:w="247"/>
        <w:gridCol w:w="863"/>
        <w:gridCol w:w="215"/>
      </w:tblGrid>
      <w:tr>
        <w:trPr/>
        <w:tc>
          <w:tcPr>
            <w:tcW w:w="41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accumulated deficit for impact of</w:t>
              <w:br/>
              <w:t>   subsidiary equity-based compensation</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exchange</w:t>
              <w:br/>
              <w:t>   of Common Units in PK Holdings for Class A common stock</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vesting of</w:t>
              <w:br/>
              <w:t>   Restricted Common Units in PK Holdings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from net loss available to Class A common stockholders and change</w:t>
              <w:br/>
              <w:t>   in ownership interest in PK Holdings</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(190,935</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(213,368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(46,169</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Stockholders’ Equity</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the Company entered into an Open Market Sale Agreement</w:t>
      </w:r>
      <w:r>
        <w:rPr>
          <w:rFonts w:ascii="Times New Roman" w:hAnsi="Times New Roman"/>
          <w:color w:val="000000"/>
          <w:sz w:val="13"/>
        </w:rPr>
        <w:t>SM</w:t>
      </w:r>
      <w:r>
        <w:rPr>
          <w:rFonts w:ascii="Times New Roman" w:hAnsi="Times New Roman"/>
          <w:color w:val="000000"/>
          <w:sz w:val="20"/>
        </w:rPr>
        <w:t xml:space="preserve"> (the “2024 Sales Agreement”) with Jefferies LLC (“Jefferies”) as the sales agent, pursuant to which the Company may offer and sell, from time to time, through Jefferies, shares of its Class A common stock having an aggregate offering price of up to $100,000,000 by any method deemed to be an “at the market offering” as defined in Rule 415(a)(4) under the Securities Act of 1933 as amended (the “Securities Act”). The shares are offered and sold pursuant to the Company’s shelf registration statement on Form S-3.</w:t>
      </w:r>
    </w:p>
    <w:p>
      <w:pPr>
        <w:pStyle w:val="TextBody"/>
        <w:bidi w:val="0"/>
        <w:spacing w:before="120" w:after="283"/>
        <w:jc w:val="left"/>
        <w:rPr>
          <w:rFonts w:ascii="Times New Roman" w:hAnsi="Times New Roman"/>
          <w:sz w:val="20"/>
        </w:rPr>
      </w:pPr>
      <w:r>
        <w:rPr>
          <w:rFonts w:ascii="Times New Roman" w:hAnsi="Times New Roman"/>
          <w:color w:val="000000"/>
          <w:sz w:val="20"/>
        </w:rPr>
        <w:t>On July 14, 2025, the Company terminated the 2024 Sales Agreement with Jefferies and entered into a new Open Market Sales Agreement</w:t>
      </w:r>
      <w:r>
        <w:rPr>
          <w:rFonts w:ascii="Times New Roman" w:hAnsi="Times New Roman"/>
          <w:color w:val="000000"/>
          <w:sz w:val="10"/>
        </w:rPr>
        <w:t>SM</w:t>
      </w:r>
      <w:r>
        <w:rPr>
          <w:rFonts w:ascii="Times New Roman" w:hAnsi="Times New Roman"/>
          <w:color w:val="000000"/>
          <w:sz w:val="20"/>
        </w:rPr>
        <w:t xml:space="preserve"> (the “2025 Sales Agreement”) with Jefferies, pursuant to which the Company may offer and sell, from time to time, shares (the “Shares”) of its Class A common stock having an aggregate offering price of up to $200,000,000 through Jefferies, acting as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2025 Sales Agreement, sales of the Shares may be made by any method permitted that is deemed to be an “at the market” offering as defined in Rule 415(a)(4) under the Securities Act, in ordinary brokers’ transactions, to or through a market maker, on or through The Nasdaq Capital Market or any other market venue where the securities may be traded, in the over-the-counter market, in privately negotiated transactions or through a combination of any such methods of sale. Under the 2025 Sales Agreement, Jefferies will be entitled to compensation of up to 3.0% of the gross offering proceeds of all Shares sold through it pursuant to the 2025 Sales Agreement. The Company will also reimburse Jefferies for certain specified expenses in connection with entering into the 2025 Sales Agreement. The Company has no obligation to sell any of the Shares under the 2025 Sales Agreement and may at any time and from time to time suspend the offering of the Shares under the 2025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2025, the Company sold 2,301,900 shares of its Class A common stock under the 2024 Sales Agreement for net proceeds of $3,238,000. During the six months ended June 30, 2026, the Company sold 2,798 shares under the 2025 Sales Agreement for net proceeds of $7,000. There were no sales of Class A common stock under the 2025 Sales Agreement during the three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28, 2026, Control Empresarial de Capitales, S.A. de C.V. exchanged 63,118,645 Post-Combination ProKidney Common Units and an equal number of shares of Class B common stock of the Company on a one-for-one basis for shares of Class A common stock of the Company. This exchange occurred pursuant to the terms of the Exchange Agreement discussed in Note 6.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9: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net loss attributable to Class A common stockholders by the weighted-average shares of the Class A common stock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for the three and six months ended June 30, 2026 and 2025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41"/>
        <w:gridCol w:w="211"/>
        <w:gridCol w:w="1141"/>
        <w:gridCol w:w="166"/>
        <w:gridCol w:w="146"/>
        <w:gridCol w:w="211"/>
        <w:gridCol w:w="1141"/>
        <w:gridCol w:w="166"/>
        <w:gridCol w:w="146"/>
        <w:gridCol w:w="211"/>
        <w:gridCol w:w="1144"/>
        <w:gridCol w:w="166"/>
        <w:gridCol w:w="146"/>
        <w:gridCol w:w="211"/>
        <w:gridCol w:w="1144"/>
        <w:gridCol w:w="414"/>
      </w:tblGrid>
      <w:tr>
        <w:trPr/>
        <w:tc>
          <w:tcPr>
            <w:tcW w:w="3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available to Class A common stockholders of ProKidney Corp., </w:t>
              <w:br/>
              <w:t>   basic and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of Class A common stock of ProKidney Corp. outstanding, </w:t>
              <w:br/>
              <w:t>   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186,560,999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130,730,840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164,366,352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129,858,450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Class A common stock</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Class A common stock of ProKidney Corp.,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Outstanding anti-dilutive securities not included in the diluted net loss per share calculation include the following:</w:t>
      </w:r>
    </w:p>
    <w:p>
      <w:pPr>
        <w:pStyle w:val="TextBody"/>
        <w:bidi w:val="0"/>
        <w:jc w:val="left"/>
        <w:rPr/>
      </w:pPr>
      <w:r>
        <w:rPr/>
        <w:t> </w:t>
      </w:r>
    </w:p>
    <w:tbl>
      <w:tblPr>
        <w:tblW w:w="8348" w:type="dxa"/>
        <w:jc w:val="left"/>
        <w:tblInd w:w="0" w:type="dxa"/>
        <w:tblLayout w:type="fixed"/>
        <w:tblCellMar>
          <w:top w:w="28" w:type="dxa"/>
          <w:left w:w="28" w:type="dxa"/>
          <w:bottom w:w="28" w:type="dxa"/>
          <w:right w:w="28" w:type="dxa"/>
        </w:tblCellMar>
      </w:tblPr>
      <w:tblGrid>
        <w:gridCol w:w="5196"/>
        <w:gridCol w:w="146"/>
        <w:gridCol w:w="1036"/>
        <w:gridCol w:w="146"/>
        <w:gridCol w:w="146"/>
        <w:gridCol w:w="146"/>
        <w:gridCol w:w="1141"/>
        <w:gridCol w:w="391"/>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Antidilutive securities</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ProKidney Corp.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96,596,315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159,288,931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Restricted Stock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Earnout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granted under the 2022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39,826,692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30,504,248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10: Equity-Based Compensation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2022 Incentive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11, 2022, the stockholders of the Company approved the ProKidney Corp. 2022 Incentive Equity Plan (the “2022 Plan”) which provides for the issuance of equity-based awards to the Company’s employees, non-employee directors, individual consultants, advisors and other service providers.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shares of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incentive and non-qualified stock option awards under the 2022 Plan to certain employees, individual consultants and non-employee directors of the Company. Given that the Company has established a full valuation allowance against its deferred tax assets, the Company has recognized no tax benefit related to these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Time-Vested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Black-Scholes option pricing model to calculate the fair value of time-vested stock options granted. These awards generally vest ratably over a four-year period and the option awards expire after a term of ten years from the date of grant. The fair value of stock options granted was estimated using the following assumptions during the six months ended June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55" w:type="dxa"/>
        <w:jc w:val="left"/>
        <w:tblInd w:w="0" w:type="dxa"/>
        <w:tblLayout w:type="fixed"/>
        <w:tblCellMar>
          <w:top w:w="28" w:type="dxa"/>
          <w:left w:w="28" w:type="dxa"/>
          <w:bottom w:w="28" w:type="dxa"/>
          <w:right w:w="28" w:type="dxa"/>
        </w:tblCellMar>
      </w:tblPr>
      <w:tblGrid>
        <w:gridCol w:w="2791"/>
        <w:gridCol w:w="146"/>
        <w:gridCol w:w="1516"/>
        <w:gridCol w:w="146"/>
        <w:gridCol w:w="145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124.6% - 129.5%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99.0% - 103.5%</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 - 4.4%</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activity related to the Company’s time-vested stock option awards granted under the 2022 Plan for the six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23"/>
        <w:gridCol w:w="146"/>
        <w:gridCol w:w="194"/>
        <w:gridCol w:w="1382"/>
        <w:gridCol w:w="166"/>
        <w:gridCol w:w="146"/>
        <w:gridCol w:w="856"/>
        <w:gridCol w:w="1898"/>
        <w:gridCol w:w="394"/>
      </w:tblGrid>
      <w:tr>
        <w:trPr/>
        <w:tc>
          <w:tcPr>
            <w:tcW w:w="5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38,545,442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38,545,442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had total unrecognized stock-based compensation expense of approximately $40,103,000 related to the time-vested grants under the 2022 Plan, which is expected to be recognized on a straight-line basis over a weighted average period of 2.9 years. The weighted average grant date fair value for the option grants during the six months ended June 30, 2026 and 2025 was $1.91 and $0.95,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the in-the-money time-vested awards outstanding and those exercisable as of June 30, 2026 was $11,988,000 and $5,121,000,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six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01"/>
        <w:gridCol w:w="146"/>
        <w:gridCol w:w="207"/>
        <w:gridCol w:w="1328"/>
        <w:gridCol w:w="146"/>
        <w:gridCol w:w="146"/>
        <w:gridCol w:w="820"/>
        <w:gridCol w:w="1818"/>
        <w:gridCol w:w="293"/>
      </w:tblGrid>
      <w:tr>
        <w:trPr/>
        <w:tc>
          <w:tcPr>
            <w:tcW w:w="5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Company had no remaining unrecognized stock-based compensation expense related to its performance-based awards.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Legacy Profits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periods prior to the Business Combination, the Company issued Profits Interests (as defined in The Deed for the Establishment of a Limited Partnership of PKLP, dated as of August 5, 2021 (the “Limited Partnership Agreement”)) to employees, directors, other service providers of the Company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Profits Interests vested at a rate of 25% on the latter of the first anniversary of employment and the first anniversary of January 17, 2022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consummation of the Domestication and other Restructuring transactions, PK Holdings issued Restricted Common Units to the then-current holders of the Profits Interest awards subject to the same provisions as existed prior to the Domestication.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activity related to the Profits Interest awards for the six months ended June 30, 2026: </w:t>
      </w:r>
    </w:p>
    <w:p>
      <w:pPr>
        <w:pStyle w:val="TextBody"/>
        <w:bidi w:val="0"/>
        <w:jc w:val="both"/>
        <w:rPr/>
      </w:pPr>
      <w:r>
        <w:rPr/>
        <w:t> </w:t>
      </w:r>
    </w:p>
    <w:tbl>
      <w:tblPr>
        <w:tblW w:w="10135" w:type="dxa"/>
        <w:jc w:val="left"/>
        <w:tblInd w:w="0" w:type="dxa"/>
        <w:tblLayout w:type="fixed"/>
        <w:tblCellMar>
          <w:top w:w="28" w:type="dxa"/>
          <w:left w:w="28" w:type="dxa"/>
          <w:bottom w:w="28" w:type="dxa"/>
          <w:right w:w="28" w:type="dxa"/>
        </w:tblCellMar>
      </w:tblPr>
      <w:tblGrid>
        <w:gridCol w:w="4036"/>
        <w:gridCol w:w="146"/>
        <w:gridCol w:w="239"/>
        <w:gridCol w:w="1381"/>
        <w:gridCol w:w="166"/>
        <w:gridCol w:w="146"/>
        <w:gridCol w:w="1129"/>
        <w:gridCol w:w="250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there was no remaining unrecognized compensation expense related to these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the unvested profits interests outstanding at June 30, 2026 was insignificant. The aggregate fair value of profits interests vested during the six months ended June 30, 2026 and 2025 was $1,675,000 and $1,582,000,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Equity-Based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related to equity-based awards is included in research and development and general and administrative expense as follows (in thousands):</w:t>
      </w:r>
    </w:p>
    <w:p>
      <w:pPr>
        <w:pStyle w:val="TextBody"/>
        <w:bidi w:val="0"/>
        <w:jc w:val="both"/>
        <w:rPr/>
      </w:pPr>
      <w:r>
        <w:rPr/>
        <w:t> </w:t>
      </w:r>
    </w:p>
    <w:tbl>
      <w:tblPr>
        <w:tblW w:w="9228" w:type="dxa"/>
        <w:jc w:val="left"/>
        <w:tblInd w:w="0" w:type="dxa"/>
        <w:tblLayout w:type="fixed"/>
        <w:tblCellMar>
          <w:top w:w="28" w:type="dxa"/>
          <w:left w:w="28" w:type="dxa"/>
          <w:bottom w:w="28" w:type="dxa"/>
          <w:right w:w="28" w:type="dxa"/>
        </w:tblCellMar>
      </w:tblPr>
      <w:tblGrid>
        <w:gridCol w:w="3641"/>
        <w:gridCol w:w="298"/>
        <w:gridCol w:w="807"/>
        <w:gridCol w:w="206"/>
        <w:gridCol w:w="206"/>
        <w:gridCol w:w="298"/>
        <w:gridCol w:w="807"/>
        <w:gridCol w:w="146"/>
        <w:gridCol w:w="146"/>
        <w:gridCol w:w="243"/>
        <w:gridCol w:w="780"/>
        <w:gridCol w:w="168"/>
        <w:gridCol w:w="168"/>
        <w:gridCol w:w="243"/>
        <w:gridCol w:w="780"/>
        <w:gridCol w:w="291"/>
      </w:tblGrid>
      <w:tr>
        <w:trPr/>
        <w:tc>
          <w:tcPr>
            <w:tcW w:w="36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equity-based compensation expense</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equity-based compensation by type of award (in thousands):</w:t>
      </w:r>
    </w:p>
    <w:p>
      <w:pPr>
        <w:pStyle w:val="TextBody"/>
        <w:bidi w:val="0"/>
        <w:jc w:val="left"/>
        <w:rPr/>
      </w:pPr>
      <w:r>
        <w:rPr/>
        <w:t> </w:t>
      </w:r>
    </w:p>
    <w:tbl>
      <w:tblPr>
        <w:tblW w:w="9228" w:type="dxa"/>
        <w:jc w:val="left"/>
        <w:tblInd w:w="0" w:type="dxa"/>
        <w:tblLayout w:type="fixed"/>
        <w:tblCellMar>
          <w:top w:w="28" w:type="dxa"/>
          <w:left w:w="28" w:type="dxa"/>
          <w:bottom w:w="28" w:type="dxa"/>
          <w:right w:w="28" w:type="dxa"/>
        </w:tblCellMar>
      </w:tblPr>
      <w:tblGrid>
        <w:gridCol w:w="3641"/>
        <w:gridCol w:w="298"/>
        <w:gridCol w:w="807"/>
        <w:gridCol w:w="206"/>
        <w:gridCol w:w="206"/>
        <w:gridCol w:w="298"/>
        <w:gridCol w:w="807"/>
        <w:gridCol w:w="146"/>
        <w:gridCol w:w="146"/>
        <w:gridCol w:w="243"/>
        <w:gridCol w:w="780"/>
        <w:gridCol w:w="168"/>
        <w:gridCol w:w="168"/>
        <w:gridCol w:w="243"/>
        <w:gridCol w:w="780"/>
        <w:gridCol w:w="291"/>
      </w:tblGrid>
      <w:tr>
        <w:trPr/>
        <w:tc>
          <w:tcPr>
            <w:tcW w:w="36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stock options</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stock options</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profits interests</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equity-based compensation expense</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review our operating segments and the approach used by management to evaluate performance and allocate resources. We manage our business as a single operating segment. The Company’s Chief Executive Officer is considered to be the Company’s chief operating decision maker under the requirements of Topic 280 of the ASC “Segments”. The primary measure of profit/loss reviewed by the chief operating decision maker (“CODM”) is net loss before noncontrolling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any product candidates approved for sale and has not generated any revenue from product sales. The Company recognizes lease revenue related to lease agreements held with certain third parties which leased space in the buildings which also house the Company’s manufacturing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our assets on a total company basis, not by operating segment. Therefore, our CODM does not regularly review any asset information other than total Company assets. See the Company’s Condensed Consolidated Balance Sheets for total assets. The majority of the Company’s long-lived assets are located in the United States.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selected income statement information for our single reportable segment (in thousands):</w:t>
      </w:r>
    </w:p>
    <w:p>
      <w:pPr>
        <w:pStyle w:val="TextBody"/>
        <w:bidi w:val="0"/>
        <w:jc w:val="left"/>
        <w:rPr/>
      </w:pPr>
      <w:r>
        <w:rPr/>
        <w:t> </w:t>
      </w:r>
    </w:p>
    <w:tbl>
      <w:tblPr>
        <w:tblW w:w="10092" w:type="dxa"/>
        <w:jc w:val="left"/>
        <w:tblInd w:w="0" w:type="dxa"/>
        <w:tblLayout w:type="fixed"/>
        <w:tblCellMar>
          <w:top w:w="28" w:type="dxa"/>
          <w:left w:w="28" w:type="dxa"/>
          <w:bottom w:w="28" w:type="dxa"/>
          <w:right w:w="28" w:type="dxa"/>
        </w:tblCellMar>
      </w:tblPr>
      <w:tblGrid>
        <w:gridCol w:w="3241"/>
        <w:gridCol w:w="314"/>
        <w:gridCol w:w="1096"/>
        <w:gridCol w:w="247"/>
        <w:gridCol w:w="217"/>
        <w:gridCol w:w="314"/>
        <w:gridCol w:w="1096"/>
        <w:gridCol w:w="166"/>
        <w:gridCol w:w="146"/>
        <w:gridCol w:w="291"/>
        <w:gridCol w:w="1016"/>
        <w:gridCol w:w="229"/>
        <w:gridCol w:w="201"/>
        <w:gridCol w:w="291"/>
        <w:gridCol w:w="101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income</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significant expense categories that are regularly reported to the CODM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8"/>
        <w:gridCol w:w="306"/>
        <w:gridCol w:w="1070"/>
        <w:gridCol w:w="241"/>
        <w:gridCol w:w="212"/>
        <w:gridCol w:w="306"/>
        <w:gridCol w:w="1070"/>
        <w:gridCol w:w="166"/>
        <w:gridCol w:w="146"/>
        <w:gridCol w:w="285"/>
        <w:gridCol w:w="996"/>
        <w:gridCol w:w="224"/>
        <w:gridCol w:w="197"/>
        <w:gridCol w:w="285"/>
        <w:gridCol w:w="996"/>
        <w:gridCol w:w="397"/>
      </w:tblGrid>
      <w:tr>
        <w:trPr/>
        <w:tc>
          <w:tcPr>
            <w:tcW w:w="3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expense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compensation</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27,545</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27,064</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operating expenses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 (1)</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primarily include interest income, equity-based compensation and depreciation.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_item2"/>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As used in this Quarterly Report on Form 10-Q, the “Company”, the “Registrant”, “we” or “us” refer to ProKidney Corp. and its subsidiaries. The following discussion and analysis of our financial condition and results of operations should be read in conjunction with our unaudited condensed consolidated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for the year ended December 31, 2025, filed with the Securities and Exchange Commission (the “SEC”) on March 18, 2026,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late-clinical-stage biotechnology company pioneering the development of a first-in-class, autologous cell therapy that is intended to preserve kidney function in patients with advanced chronic kidney disease (“CKD”) and diabetes. Our approach seeks to redefine the treatment of CKD, shifting the emphasis away from management of kidney failure to the preservation of kidney function. Our lead product candidate, rilparencel, is the only cell therapy in Phase 3 clinical study for the treatment of advanced CKD and type 2 diabetes. Rilparencel is a product that includes autologous Selected Renal Cells (“SRC”) prepared from a patient’s own (autologous) kidney cells. The SRC are formulated as rilparencel for reinjection into the patient’s kidneys using a minimally invasive outpatient procedure. Because rilparencel is a personalized product composed of cells prepared from a patient’s own kidney, there is no need for treatment with immunosuppressive therapies that are required during a patient’s lifetime when a patient receives a kidney transplant from another (allogeneic) donor.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conducting a Phase 3 clinical study for rilparencel in subjects with advanced CKD and type 2 diabetes and have completed two Phase 2 clinical studies for rilparencel in subjects with advanced CKD and diabetes. Rilparencel has received regenerative medicine advanced therapy (“RMAT”) designation from the United States Food and Drug Administration (the “FDA”), a status granted to accelerate the development and review of promising regenerative medicine therapies. Rilparencel has, to date, been generally well tolerated by subjects with moderate to severe CKD in Phase 1 and 2 clinical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business and scientific planning, conducting discovery and research activities, establishing and protecting our intellectual property portfolio, developing and progressing rilparencel, raising capital, sponsoring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July 1, 2025, ProKidney Corp. completed a domestication process through which it changed its jurisdiction of incorporation from the Cayman Islands to the State of Delaware (the “Domestication”). In connection with and subsequent to the Domestication, we also entered into a series of other transactions to both change the jurisdiction of incorporation of our foreign subsidiaries to the State of Delaware and streamline our operating subsidiaries from a tax perspective (collectively, the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presentation purposes, unless otherwise noted, references to common stock refer to “ordinary shares” before the Domestication and “common stock” subsequent to the Domestication. Similarly, unless otherwise noted, references to PK Holdings LLC (“PK Holdings”) herein refer to ProKidney LP (“PKLP”) prior to the Domestication and PK Holdings subsequent to the Domestication and references to ProKidney IPCo, LLC (“ProKidney IPCo.”) herein refer to ProKidney, a Cayman Islands exempted company (“ProKidney-KY”) prior to the Domestication and ProKidney IPCo. subsequent to the Domestication.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PROACT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REGEN-006 (PROACT 1) is an ongoing Phase 3, randomized, blinded, bi-lateral kidney dosing, sham controlled arm,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efficacy and safety study of rilparencel in subjects with advanced CKD and type 2 diabetes. The related study protocol has been amended to focus on a subset of patients with Stage 4 CKD (estimated glomerular filtration rate (“eGFR”) between 20 and 30 mL/min/1.73m</w:t>
      </w:r>
      <w:r>
        <w:rPr>
          <w:rFonts w:ascii="Times New Roman" w:hAnsi="Times New Roman"/>
          <w:color w:val="000000"/>
          <w:sz w:val="13"/>
        </w:rPr>
        <w:t>2</w:t>
      </w:r>
      <w:r>
        <w:rPr>
          <w:rFonts w:ascii="Times New Roman" w:hAnsi="Times New Roman"/>
          <w:color w:val="000000"/>
          <w:sz w:val="20"/>
        </w:rPr>
        <w:t>) and late Stage 3b CKD (eGFR between 30 and 35 mL/min/1.73m</w:t>
      </w:r>
      <w:r>
        <w:rPr>
          <w:rFonts w:ascii="Times New Roman" w:hAnsi="Times New Roman"/>
          <w:color w:val="000000"/>
          <w:sz w:val="13"/>
        </w:rPr>
        <w:t>2</w:t>
      </w:r>
      <w:r>
        <w:rPr>
          <w:rFonts w:ascii="Times New Roman" w:hAnsi="Times New Roman"/>
          <w:color w:val="000000"/>
          <w:sz w:val="20"/>
        </w:rPr>
        <w:t xml:space="preserve"> with accompanying albuminuria UACR between 300 and 5000 mg/g). This study is being conducted in clinical centers in the United States, Mexico, and Taiwan.</w:t>
      </w:r>
    </w:p>
    <w:p>
      <w:pPr>
        <w:pStyle w:val="TextBody"/>
        <w:bidi w:val="0"/>
        <w:spacing w:before="120" w:after="283"/>
        <w:jc w:val="left"/>
        <w:rPr>
          <w:rFonts w:ascii="Times New Roman" w:hAnsi="Times New Roman"/>
          <w:sz w:val="20"/>
        </w:rPr>
      </w:pPr>
      <w:r>
        <w:rPr>
          <w:rFonts w:ascii="Times New Roman" w:hAnsi="Times New Roman"/>
          <w:color w:val="000000"/>
          <w:sz w:val="20"/>
        </w:rPr>
        <w:t>The primary objective of this study is to assess the efficacy of up to two rilparencel injections given three months apart and delivered into both kidneys using a minimally invasive percutaneous approach with a targeted enrollment of approximately 470 patients. Subjects are randomized (1:1) to the treatment group and the sham control group prior to kidney biopsy. Subjects in the treatment group will receive two injections of rilparencel of 3x10</w:t>
      </w:r>
      <w:r>
        <w:rPr>
          <w:rFonts w:ascii="Times New Roman" w:hAnsi="Times New Roman"/>
          <w:color w:val="000000"/>
          <w:sz w:val="13"/>
        </w:rPr>
        <w:t>6</w:t>
      </w:r>
      <w:r>
        <w:rPr>
          <w:rFonts w:ascii="Times New Roman" w:hAnsi="Times New Roman"/>
          <w:color w:val="000000"/>
          <w:sz w:val="20"/>
        </w:rPr>
        <w:t>cells/g-KW</w:t>
      </w:r>
      <w:r>
        <w:rPr>
          <w:rFonts w:ascii="Times New Roman" w:hAnsi="Times New Roman"/>
          <w:color w:val="000000"/>
          <w:sz w:val="13"/>
        </w:rPr>
        <w:t>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surrogate endpoint to support a potential accelerated approval of rilparencel is annualized eGFR slope. We have completed enrollment of all patients who will contribute to the accelerated approval efficacy analysis, which is expected to comprise approximately 320 patients with at least six months of follow-up after first injection.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topline data readout of the surrogate endpoint (eGFR slope) in the second quarter of 2027 and anticipate topline data readout of the confirmatory endpoint (composite time-to-event) in the second half of 2029.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from the sale of products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related to leasing activities associated with existing lease agreements assumed through the acquisition of two buildings in Winston-Salem, North Carolina where we also conduct our manufacturing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our research and development activities, including the development of rilparencel.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research and development expenses incurred under agreements with CROs and other scientific development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other outside consultants, including their fees and related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quality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laboratory supplies and acquiring and developing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bonuses, benefits and stock-based compensation expenses, for individuals involved in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insurance and other internal operating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as we continue to enroll patients in the PROACT 1 study then trend downward as we near completion.</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the numerous risks and uncertainties associated with developing product candidates, many of which are outside of our control,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nonclinical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nonclinical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appropriate safety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and patients involved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clinical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of, clinical trials, as well as drop out or discontinuation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the FDA and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new licensing or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future collaborators,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patient claims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rilparencel over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rilparencel, if approved,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rilparencel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for the foreseeable future as our business expands and we hire additional personnel to support our operations. </w:t>
      </w:r>
    </w:p>
    <w:p>
      <w:pPr>
        <w:pStyle w:val="TextBody"/>
        <w:bidi w:val="0"/>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consists primarily of interest income earned on cash, cash equivalents and marketable securities.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Domestication and other Restructuring transactions, income tax expense reflects federal and state taxes on income earned by our subsidiary that is organized as a C corporation for U.S. income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Domestication and other Restructuring transactions resulted in the Company becoming subject to corporate level income taxes in the U.S. Further, the Post-Domestication Reorganization, which was effective on September 1, 2025, resulted in certain of the Company’s subsidiaries becoming part of a consolidated group and ProKidney-US becoming disregarded as separate from its owner, “PK Holdings” for U.S. federal income tax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 (in thousands):</w:t>
      </w:r>
    </w:p>
    <w:p>
      <w:pPr>
        <w:pStyle w:val="TextBody"/>
        <w:bidi w:val="0"/>
        <w:jc w:val="left"/>
        <w:rPr/>
      </w:pPr>
      <w:r>
        <w:rPr/>
        <w:t> </w:t>
      </w:r>
    </w:p>
    <w:tbl>
      <w:tblPr>
        <w:tblW w:w="8483" w:type="dxa"/>
        <w:jc w:val="left"/>
        <w:tblInd w:w="0" w:type="dxa"/>
        <w:tblLayout w:type="fixed"/>
        <w:tblCellMar>
          <w:top w:w="28" w:type="dxa"/>
          <w:left w:w="28" w:type="dxa"/>
          <w:bottom w:w="28" w:type="dxa"/>
          <w:right w:w="28" w:type="dxa"/>
        </w:tblCellMar>
      </w:tblPr>
      <w:tblGrid>
        <w:gridCol w:w="4261"/>
        <w:gridCol w:w="146"/>
        <w:gridCol w:w="211"/>
        <w:gridCol w:w="736"/>
        <w:gridCol w:w="166"/>
        <w:gridCol w:w="146"/>
        <w:gridCol w:w="211"/>
        <w:gridCol w:w="736"/>
        <w:gridCol w:w="166"/>
        <w:gridCol w:w="146"/>
        <w:gridCol w:w="211"/>
        <w:gridCol w:w="736"/>
        <w:gridCol w:w="6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research and development expenses of $10.2 million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in clinical study costs and cost of manufacturing materials of $8.7 million primarily driven by continued enrollment and increased activities for our ongoing Phase 3 trial (PROACT 1);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 in research costs of $0.6 million related to ongoing mechanism of action studies of rilparencel;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increase in professional fees of approximately $0.4 million related to the use of consultants as we begin to prepare for regulatory filings.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of approximately $1.6 million was primarily driven by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decreases in equity-based compensation of approximately $0.6 million due to the completion of vesting for legacy profit interests awards issued prior to the business combination and forfeitures of awards;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decreases in cash-based compensation of approximately $0.6 million related to reductions in severance amounts paid for terminated employees;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decreases in professional fees and other operating costs of approximately $0.4 million driven by ongoing initiatives including the Domestication and Restructuring transactions in 2025.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of approximately $1.7 million was driven primarily by lower investment balances and interest rates for the 2026 period.</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change in income tax expense was driven by the Domestication and Restructuring that occurred in 2025.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 (in thousands):</w:t>
      </w:r>
    </w:p>
    <w:p>
      <w:pPr>
        <w:pStyle w:val="TextBody"/>
        <w:bidi w:val="0"/>
        <w:jc w:val="left"/>
        <w:rPr/>
      </w:pPr>
      <w:r>
        <w:rPr/>
        <w:t> </w:t>
      </w:r>
    </w:p>
    <w:tbl>
      <w:tblPr>
        <w:tblW w:w="8483" w:type="dxa"/>
        <w:jc w:val="left"/>
        <w:tblInd w:w="0" w:type="dxa"/>
        <w:tblLayout w:type="fixed"/>
        <w:tblCellMar>
          <w:top w:w="28" w:type="dxa"/>
          <w:left w:w="28" w:type="dxa"/>
          <w:bottom w:w="28" w:type="dxa"/>
          <w:right w:w="28" w:type="dxa"/>
        </w:tblCellMar>
      </w:tblPr>
      <w:tblGrid>
        <w:gridCol w:w="4261"/>
        <w:gridCol w:w="146"/>
        <w:gridCol w:w="211"/>
        <w:gridCol w:w="736"/>
        <w:gridCol w:w="166"/>
        <w:gridCol w:w="146"/>
        <w:gridCol w:w="211"/>
        <w:gridCol w:w="736"/>
        <w:gridCol w:w="166"/>
        <w:gridCol w:w="146"/>
        <w:gridCol w:w="211"/>
        <w:gridCol w:w="736"/>
        <w:gridCol w:w="6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research and development expenses of $16.8 million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in clinical study costs and cost of manufacturing materials of $14.6 million driven primarily by continued enrollment and increased activities for our ongoing Phase 3 trial (PROACT 1);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 in compensation costs of approximately $1.7 million due to the hiring of additional personnel;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increase in research costs of $0.9 million related to ongoing mechanism of action studies of rilparencel.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of approximately $4.7 million was primarily driven by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decreases in equity-based compensation of approximately $1.8 million primarily due to the completion of vesting for legacy profit interests awards issued prior to the business combination and forfeitures of awards;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decreases in professional fees and other operating costs of approximately $1.7 million driven by initiatives including the Domestication and Restructuring transactions in 2025;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decreases in cash-based compensation of approximately $1.2 million related to reductions in severance amounts paid for terminated employees.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of approximately $3.4 million was driven primarily by lower investment balances and interest rates for the 2026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change in income tax expense was driven by the Domestication and Restructuring that occurred in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recognized any revenue and have incurred operating losses and negative cash flows from our operations. We have not yet commercialized any product and we do not expect to generate revenue from sales of any products for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several years, if at all. From our inception through June 30, 2026, we funded our operations primarily through capital contributions from the holders of PKLP, the proceeds obtained through the Business Combination and related private placement financing, and public equity offerings.</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we entered into an Open Market Sale Agreement</w:t>
      </w:r>
      <w:r>
        <w:rPr>
          <w:rFonts w:ascii="Times New Roman" w:hAnsi="Times New Roman"/>
          <w:color w:val="000000"/>
          <w:sz w:val="13"/>
        </w:rPr>
        <w:t>SM</w:t>
      </w:r>
      <w:r>
        <w:rPr>
          <w:rFonts w:ascii="Times New Roman" w:hAnsi="Times New Roman"/>
          <w:color w:val="000000"/>
          <w:sz w:val="20"/>
        </w:rPr>
        <w:t xml:space="preserve"> (“2024 Sales Agreement”) with Jefferies LLC (“Jefferies”) as the sales agent, pursuant to which we could offer and sell, from time to time, through Jefferies, shares of our Class A common stock having an aggregate offering price of up to $100.0 million by any method deemed to be an “at the market offering” as defined in Rule 415(a)(4) under the Securities Act of 1933, as amended (the “Securities Act”). The shares were offered and sold pursuant to our shelf registration statement on Form S-3. </w:t>
      </w:r>
    </w:p>
    <w:p>
      <w:pPr>
        <w:pStyle w:val="TextBody"/>
        <w:bidi w:val="0"/>
        <w:spacing w:before="120" w:after="283"/>
        <w:jc w:val="left"/>
        <w:rPr>
          <w:rFonts w:ascii="Times New Roman" w:hAnsi="Times New Roman"/>
          <w:sz w:val="20"/>
        </w:rPr>
      </w:pPr>
      <w:r>
        <w:rPr>
          <w:rFonts w:ascii="Times New Roman" w:hAnsi="Times New Roman"/>
          <w:color w:val="000000"/>
          <w:sz w:val="20"/>
        </w:rPr>
        <w:t>In July 2025, we terminated the 2024 Sales Agreement and entered into a new Open Market Sale Agreement</w:t>
      </w:r>
      <w:r>
        <w:rPr>
          <w:rFonts w:ascii="Times New Roman" w:hAnsi="Times New Roman"/>
          <w:color w:val="000000"/>
          <w:sz w:val="13"/>
        </w:rPr>
        <w:t>SM</w:t>
      </w:r>
      <w:r>
        <w:rPr>
          <w:rFonts w:ascii="Times New Roman" w:hAnsi="Times New Roman"/>
          <w:color w:val="000000"/>
          <w:sz w:val="20"/>
        </w:rPr>
        <w:t xml:space="preserve"> (“2025 Sales Agreement”) with Jefferies, as the sales agent, pursuant to which we may offer and sell, from time to time, through Jefferies, shares of our Class A common stock having an aggregate offering price of up to $200.0 million by any method deemed to be an “at the market offering” as defined in Rule 415(a)(4) under the Securities Act. The shares are offered and sold pursuant to our shelf registration statement on Form S-3. During the six months ended June 30, 2026, we sold an insignificant number of shares of our Class A common stock under the 2025 Sales Agreement. As of June 30, 2026, there was approximately $175.0 million remaining available to be sold under the 2025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existing cash, cash equivalents and marketable securities held at June 30, 2026, will enable us to fund our operating expenses and capital expenditure requirements into mid-2027. We have based this estimate on assumptions that may prove to be wrong and we could exhaust our capital resources sooner than we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continue research and clinical development of our product candidates, including in particular our clinical trials for rilparencel;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third-party manufacturing costs to support our nonclinical studies and clinical trials of our product candidate and, if approved, its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investments in developing internal manufacturing capabilities;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since the closing of the Business Combination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current operating plan, we do not believe our existing cash and cash equivalents and marketable securities as of June 30, 2026, will be sufficient to fund our obligations for the 12 months following the issuance of the unaudited condensed consolidated financial statements included in this Quarterly Report on Form 10-Q on August 10, 2026. Accordingly, substantial doubt exists about our ability to continue as a going concern within one year after the date the unaudited condensed consolidated financial statements included elsewhere in this Quarterly Report on Form 10-Q are issued. The accompanying unaudited condensed consolidated financial statements have been prepared on a going concern basis, which contemplates the realization of assets and satisfaction of liabilities in the normal course of business. The unaudited condensed consolidated financial statements do not include any adjustments that might result from the outcome of this uncertainty.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stockholders.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for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six months ended June 30, 2026 and 2025 (in thousands): </w:t>
      </w:r>
    </w:p>
    <w:p>
      <w:pPr>
        <w:pStyle w:val="TextBody"/>
        <w:bidi w:val="0"/>
        <w:jc w:val="left"/>
        <w:rPr/>
      </w:pPr>
      <w:r>
        <w:rPr/>
        <w:t> </w:t>
      </w:r>
    </w:p>
    <w:tbl>
      <w:tblPr>
        <w:tblW w:w="7637" w:type="dxa"/>
        <w:jc w:val="left"/>
        <w:tblInd w:w="0" w:type="dxa"/>
        <w:tblLayout w:type="fixed"/>
        <w:tblCellMar>
          <w:top w:w="28" w:type="dxa"/>
          <w:left w:w="28" w:type="dxa"/>
          <w:bottom w:w="28" w:type="dxa"/>
          <w:right w:w="28" w:type="dxa"/>
        </w:tblCellMar>
      </w:tblPr>
      <w:tblGrid>
        <w:gridCol w:w="4696"/>
        <w:gridCol w:w="146"/>
        <w:gridCol w:w="228"/>
        <w:gridCol w:w="796"/>
        <w:gridCol w:w="179"/>
        <w:gridCol w:w="157"/>
        <w:gridCol w:w="228"/>
        <w:gridCol w:w="796"/>
        <w:gridCol w:w="41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(33,669</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$82.1 million for the six months ended June 30, 2026, reflecting a net loss of approximately $89.1 million. The net loss was partially offset by non-cash charges and gains on investments of approximately $13.2 million. The non-cash charges primarily consisted of equity-based compensation expense of $10.5 million, depreciation and amortization expense of $3.3 million and were partially offset by gains on marketable securities of $0.7 million. Changes in working capital resulted in an additional use of cash of approximately $6.2 million primarily related to the timing of payments made to our vendors for services performed and the recognition of receivable amounts related to interest on our marketable security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$61.0 million for the six months ended June 30, 2025, reflecting net loss of $74.9 million, and uses driven by changes in working capital of approximately $0.8 million and non-cash charges and gains on investments of $14.1 million. The non-cash charges primarily consisted of equity-based compensation expense of $13.0 million and depreciation and amortization expense of $3.1 million, which were partially offset by gains on marketable securities of $1.9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approximately $21.1 million increase in cash used in operating activities for the six months ended June 30, 2026 compared to the six months ended June 30, 2025 was primarily driven by higher net loss and an increase in the use of cash related to the timing of payments to our vendors and receipt of interest due.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approximately $47.6 million and $46.9 million for the six months ended June 30, 2026 and 2025, respectively. The cash provided by investing activities during the six months ended June 30, 2026 and 2025 was primarily related to timing of the conversion of investments to cash and cash equivalents or use to fund our operations, partially offset by a $3.4 million increase for investment in manufacturing capacity and capability.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of $0.8 million was primarily related to the sale of our Class A common stock through stock option exercises. The cash provided by financing activities during the six months ended June 30, 2025 was insignificant.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Trends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monitor the impacts of ongoing macroeconomic conditions and geopolitical events. An escalation of geopolitical tensions or the implementation of global trade restrictions, including tariff actions, could adversely impact our business, financial condition or results of operations. Global conflicts, tariffs, labor disruptions, and regulatory developments continue to create volatility in global markets and contribute to supply chain shortages and pricing volatility. We continue to actively collaborate with our suppliers to monitor and, where possible, mitigate shortages and reduce supply and price volatility.</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consolidated financial statements. Our condensed consolidated financial statements are prepared in accordance with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are described in Note 2 to our unaudited condensed consolidated financial statements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 </w:t>
      </w:r>
    </w:p>
    <w:p>
      <w:pPr>
        <w:pStyle w:val="TextBody"/>
        <w:bidi w:val="0"/>
        <w:spacing w:before="360" w:after="283"/>
        <w:jc w:val="left"/>
        <w:rPr>
          <w:rFonts w:ascii="Times New Roman" w:hAnsi="Times New Roman"/>
          <w:b/>
          <w:color w:val="000000"/>
          <w:sz w:val="20"/>
        </w:rPr>
      </w:pPr>
      <w:bookmarkStart w:id="11" w:name="i_item3"/>
      <w:bookmarkEnd w:id="11"/>
      <w:r>
        <w:rPr>
          <w:rFonts w:ascii="Times New Roman" w:hAnsi="Times New Roman"/>
          <w:b/>
          <w:color w:val="000000"/>
          <w:sz w:val="20"/>
        </w:rPr>
        <w:t>Item 3. Quantitative and Qualitative Disclosures About Market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otherwise required under this item.</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_item4"/>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June 30, 2026. Based upon that evaluation, our Chief Executive Officer and Chief Financial Officer concluded that, as of June 30, 2026,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deteriorate. Because of the inherent limitations in a cost-effective control system, misstatements due to error or fraud may occur and may not be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to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Website Availability of Reports and other Corporate Governance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maintains a comprehensive corporate governance program, including Corporate Governance Guidelines for its Board of Directors, Board Guidelines for Assessing Director Independence and charters for its Audit Committee, Nominating and Corporate Governance Committee, Research and Development Committee and Talent and Compensation Committee. The Company maintains a corporate investor relations website, </w:t>
      </w:r>
      <w:r>
        <w:rPr>
          <w:rFonts w:ascii="Times New Roman" w:hAnsi="Times New Roman"/>
          <w:sz w:val="20"/>
        </w:rPr>
        <w:t>https://investors.prokidney.com/</w:t>
      </w:r>
      <w:r>
        <w:rPr>
          <w:rFonts w:ascii="Times New Roman" w:hAnsi="Times New Roman"/>
          <w:color w:val="000000"/>
          <w:sz w:val="20"/>
        </w:rPr>
        <w:t>,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i_item1"/>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spacing w:before="360" w:after="283"/>
        <w:jc w:val="left"/>
        <w:rPr>
          <w:rFonts w:ascii="Times New Roman" w:hAnsi="Times New Roman"/>
          <w:b/>
          <w:color w:val="000000"/>
          <w:sz w:val="20"/>
        </w:rPr>
      </w:pPr>
      <w:bookmarkStart w:id="15" w:name="ii_item1a"/>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Annual Report on Form 10-K filed with the SEC on March 18, 2026 (the “2025 Annual Report”). There have been no material changes to the risk factors described in the 2025 Annual Report, except for the addition of the risk factor set forth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recurring losses, negative cash flows, and accumulated deficit raise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generated losses from operations for each year since our inception, and as of June 30, 2026, we had an accumulated deficit of $1,318,294,000. We expect to continue incurring significant and increasing operating losses for the foreseeable future as we conduct additional research, development, and clinical study activities for our product candidates, together with the general and administrative expenses associated with our operations. As of June 30, 2026, we had cash and cash equivalents and marketable securities of $181,564,000. Based on our current business plan, we have concluded that our existing cash resources will not be sufficient to fund our anticipated level of operations for at least the 12 months following the filing date of this Quarterly Report on Form 10-Q on August 10, 2026. These conditions raise substantial doubt about our ability to continue as a going concern for a period of at least 12 months from the date these financial statements are issued. Our independent registered public accounting firm has included an explanatory paragraph in its report on our financial statements with respect to this uncertainty (See Note 1). </w:t>
      </w:r>
    </w:p>
    <w:p>
      <w:pPr>
        <w:pStyle w:val="TextBody"/>
        <w:bidi w:val="0"/>
        <w:spacing w:before="360" w:after="283"/>
        <w:jc w:val="left"/>
        <w:rPr>
          <w:rFonts w:ascii="Times New Roman" w:hAnsi="Times New Roman"/>
          <w:b/>
          <w:color w:val="000000"/>
          <w:sz w:val="20"/>
        </w:rPr>
      </w:pPr>
      <w:bookmarkStart w:id="16" w:name="ii_item2"/>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sales of unregistered equity securities during the three months ended June 30, 2026. </w:t>
      </w:r>
    </w:p>
    <w:p>
      <w:pPr>
        <w:pStyle w:val="TextBody"/>
        <w:bidi w:val="0"/>
        <w:spacing w:before="360" w:after="283"/>
        <w:jc w:val="left"/>
        <w:rPr>
          <w:rFonts w:ascii="Times New Roman" w:hAnsi="Times New Roman"/>
          <w:b/>
          <w:color w:val="000000"/>
          <w:sz w:val="20"/>
        </w:rPr>
      </w:pPr>
      <w:bookmarkStart w:id="17" w:name="ii_item3"/>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i_item4"/>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i_item5"/>
      <w:bookmarkEnd w:id="19"/>
      <w:r>
        <w:rPr>
          <w:rFonts w:ascii="Times New Roman" w:hAnsi="Times New Roman"/>
          <w:b/>
          <w:color w:val="000000"/>
          <w:sz w:val="20"/>
        </w:rPr>
        <w:t>Item 5. Other Information.</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none of the Company’s directors or officers adopted or terminated a “Rule 10b5-1 trading arrangement” or “non-Rule 10b5-1 trading arrangement,” as those terms are defined in Item 408 of Regulation S-K that was intended to satisfy the affirmative defense conditions of Rule 10b5-1(c).</w:t>
      </w:r>
    </w:p>
    <w:p>
      <w:pPr>
        <w:pStyle w:val="TextBody"/>
        <w:bidi w:val="0"/>
        <w:spacing w:before="360" w:after="283"/>
        <w:jc w:val="left"/>
        <w:rPr>
          <w:rFonts w:ascii="Times New Roman" w:hAnsi="Times New Roman"/>
          <w:b/>
          <w:color w:val="000000"/>
          <w:sz w:val="20"/>
        </w:rPr>
      </w:pPr>
      <w:bookmarkStart w:id="20" w:name="ii_item6"/>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10_1.htm">
              <w:r>
                <w:rPr>
                  <w:rStyle w:val="InternetLink"/>
                  <w:rFonts w:ascii="Times New Roman" w:hAnsi="Times New Roman"/>
                  <w:color w:val="0000FF"/>
                  <w:sz w:val="20"/>
                  <w:u w:val="single"/>
                </w:rPr>
                <w:t>Employment Agreement, dated as of May 18, 2026 by and between Kenneth Locke and ProKidney, LLC.</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the Company’s Quarterly Report on Form 10-Q for the quarter ended June 30, 2026, formatted in iXBRL (Inline Extensible Business Reporting Language): (i) Condensed Consolidated Balance Sheets (unaudited), (ii) Condensed Consolidated Statements of Operations (unaudited), (iii) Condensed Consolidated Statements of Comprehensive Loss (unaudited), (iv) Condensed Consolidated Statements of Changes in Redeemable Noncontrolling Interest and Stockholders’ Deficit (unaudited), (v) Consolidated Statements of Cash Flows (unaudited) and (vi) Notes to Condensed Consolidated Financial Statements (unaudited), tagged as blocks of text and including detailed tags.</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Quarterly Report on Form 10-Q for the quarter ended June 30, 2026, formatted in Inline XBRL.</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PROKIDNEY CORP.</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2"/>
        </w:rPr>
      </w:pPr>
      <w:bookmarkStart w:id="22" w:name="prok-ex10_1.htm"/>
      <w:bookmarkStart w:id="23" w:name="ksprokex10_1"/>
      <w:bookmarkEnd w:id="22"/>
      <w:bookmarkEnd w:id="23"/>
      <w:r>
        <w:rPr>
          <w:rFonts w:ascii="Aptos;sans-serif" w:hAnsi="Aptos;sans-serif"/>
          <w:b/>
          <w:color w:val="000000"/>
          <w:sz w:val="22"/>
        </w:rPr>
        <w:t>Exhibit 10.1</w:t>
      </w:r>
      <w:r>
        <w:br w:type="page"/>
      </w:r>
    </w:p>
    <w:p>
      <w:pPr>
        <w:pStyle w:val="TextBody"/>
        <w:bidi w:val="0"/>
        <w:jc w:val="left"/>
        <w:rPr>
          <w:rFonts w:ascii="Times New Roman" w:hAnsi="Times New Roman"/>
          <w:color w:val="000000"/>
          <w:sz w:val="24"/>
        </w:rPr>
      </w:pPr>
      <w:r>
        <w:rPr>
          <w:rFonts w:ascii="Times New Roman" w:hAnsi="Times New Roman"/>
          <w:color w:val="000000"/>
          <w:sz w:val="24"/>
        </w:rPr>
        <w:t>May 16, 2026</w:t>
      </w:r>
    </w:p>
    <w:p>
      <w:pPr>
        <w:pStyle w:val="TextBody"/>
        <w:bidi w:val="0"/>
        <w:jc w:val="left"/>
        <w:rPr>
          <w:rFonts w:ascii="Times New Roman" w:hAnsi="Times New Roman"/>
          <w:color w:val="000000"/>
          <w:sz w:val="24"/>
        </w:rPr>
      </w:pPr>
      <w:r>
        <w:rPr>
          <w:rFonts w:ascii="Times New Roman" w:hAnsi="Times New Roman"/>
          <w:color w:val="000000"/>
          <w:sz w:val="24"/>
        </w:rPr>
        <w:t>Kenneth T. Locke</w:t>
      </w:r>
    </w:p>
    <w:p>
      <w:pPr>
        <w:pStyle w:val="TextBody"/>
        <w:bidi w:val="0"/>
        <w:jc w:val="left"/>
        <w:rPr>
          <w:rFonts w:ascii="Times New Roman" w:hAnsi="Times New Roman"/>
          <w:color w:val="000000"/>
          <w:sz w:val="24"/>
        </w:rPr>
      </w:pPr>
      <w:r>
        <w:rPr>
          <w:rFonts w:ascii="Times New Roman" w:hAnsi="Times New Roman"/>
          <w:color w:val="000000"/>
          <w:sz w:val="24"/>
        </w:rPr>
        <w:t>Dear Kenneth:</w:t>
      </w:r>
    </w:p>
    <w:p>
      <w:pPr>
        <w:pStyle w:val="TextBody"/>
        <w:bidi w:val="0"/>
        <w:spacing w:before="0" w:after="0"/>
        <w:jc w:val="left"/>
        <w:rPr>
          <w:rFonts w:ascii="Cambria;serif" w:hAnsi="Cambria;serif"/>
          <w:b/>
          <w:color w:val="000000"/>
          <w:sz w:val="24"/>
        </w:rPr>
      </w:pPr>
      <w:r>
        <w:rPr>
          <w:rFonts w:ascii="Cambria;serif" w:hAnsi="Cambria;serif"/>
          <w:b/>
          <w:color w:val="000000"/>
          <w:sz w:val="24"/>
        </w:rPr>
        <w:t>1.</w:t>
      </w:r>
    </w:p>
    <w:p>
      <w:pPr>
        <w:pStyle w:val="TextBody"/>
        <w:bidi w:val="0"/>
        <w:jc w:val="left"/>
        <w:rPr/>
      </w:pPr>
      <w:r>
        <w:rPr>
          <w:rFonts w:ascii="Times New Roman" w:hAnsi="Times New Roman"/>
          <w:color w:val="000000"/>
          <w:sz w:val="24"/>
        </w:rPr>
        <w:t>This letter agreement (this “</w:t>
      </w:r>
      <w:r>
        <w:rPr>
          <w:rFonts w:ascii="Times New Roman" w:hAnsi="Times New Roman"/>
          <w:color w:val="000000"/>
          <w:sz w:val="24"/>
          <w:u w:val="single"/>
        </w:rPr>
        <w:t>Agreement</w:t>
      </w:r>
      <w:r>
        <w:rPr>
          <w:color w:val="000000"/>
        </w:rPr>
        <w:t>”</w:t>
      </w:r>
      <w:r>
        <w:rPr>
          <w:rFonts w:ascii="Times New Roman" w:hAnsi="Times New Roman"/>
          <w:color w:val="000000"/>
          <w:sz w:val="24"/>
        </w:rPr>
        <w:t>) sets forth the terms and conditions of your</w:t>
      </w:r>
    </w:p>
    <w:p>
      <w:pPr>
        <w:pStyle w:val="TextBody"/>
        <w:bidi w:val="0"/>
        <w:jc w:val="left"/>
        <w:rPr>
          <w:rFonts w:ascii="Times New Roman" w:hAnsi="Times New Roman"/>
          <w:sz w:val="20"/>
        </w:rPr>
      </w:pPr>
      <w:r>
        <w:rPr>
          <w:rFonts w:ascii="Times New Roman" w:hAnsi="Times New Roman"/>
          <w:color w:val="000000"/>
          <w:sz w:val="24"/>
        </w:rPr>
        <w:t>continued employment with ProKidney,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as of June1, 2026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The period during which you are employed by the Company pursuant to this Agreement shall be referred to as the “Term.”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Agreement will govern your employment with the Company following the Effective Date on the following terms and conditions:</w:t>
      </w:r>
    </w:p>
    <w:p>
      <w:pPr>
        <w:pStyle w:val="TextBody"/>
        <w:bidi w:val="0"/>
        <w:jc w:val="left"/>
        <w:rPr>
          <w:rFonts w:ascii="Times New Roman" w:hAnsi="Times New Roman"/>
          <w:sz w:val="20"/>
        </w:rPr>
      </w:pPr>
      <w:r>
        <w:rPr>
          <w:rFonts w:ascii="Times New Roman" w:hAnsi="Times New Roman"/>
          <w:b/>
          <w:color w:val="000000"/>
          <w:sz w:val="24"/>
        </w:rPr>
        <w:t xml:space="preserve">Position: </w:t>
      </w:r>
      <w:r>
        <w:rPr>
          <w:rFonts w:ascii="Times New Roman" w:hAnsi="Times New Roman"/>
          <w:color w:val="000000"/>
          <w:sz w:val="24"/>
        </w:rPr>
        <w:t>Chief Technical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Reporting: </w:t>
      </w:r>
      <w:r>
        <w:rPr>
          <w:rFonts w:ascii="Times New Roman" w:hAnsi="Times New Roman"/>
          <w:color w:val="000000"/>
          <w:sz w:val="24"/>
        </w:rPr>
        <w:t>You will report directly to the Chief Executive Officer (“Supervisor”).</w:t>
      </w:r>
    </w:p>
    <w:p>
      <w:pPr>
        <w:pStyle w:val="TextBody"/>
        <w:bidi w:val="0"/>
        <w:jc w:val="left"/>
        <w:rPr>
          <w:rFonts w:ascii="Times New Roman" w:hAnsi="Times New Roman"/>
          <w:sz w:val="20"/>
        </w:rPr>
      </w:pPr>
      <w:r>
        <w:rPr>
          <w:rFonts w:ascii="Times New Roman" w:hAnsi="Times New Roman"/>
          <w:b/>
          <w:color w:val="000000"/>
          <w:sz w:val="24"/>
        </w:rPr>
        <w:t xml:space="preserve">Duties and Commitment: </w:t>
      </w:r>
      <w:r>
        <w:rPr>
          <w:rFonts w:ascii="Times New Roman" w:hAnsi="Times New Roman"/>
          <w:color w:val="000000"/>
          <w:sz w:val="24"/>
        </w:rPr>
        <w:t>You shall be employed by the Company on a full-time basis and shall perform such duties and responsibilities on behalf of the Company and its subsidiaries and affiliates (collectively, the “</w:t>
      </w:r>
      <w:r>
        <w:rPr>
          <w:rFonts w:ascii="Times New Roman" w:hAnsi="Times New Roman"/>
          <w:color w:val="000000"/>
          <w:sz w:val="24"/>
          <w:u w:val="single"/>
        </w:rPr>
        <w:t>Company Group</w:t>
      </w:r>
      <w:r>
        <w:rPr>
          <w:rFonts w:ascii="Times New Roman" w:hAnsi="Times New Roman"/>
          <w:color w:val="000000"/>
          <w:sz w:val="20"/>
        </w:rPr>
        <w:t>”</w:t>
      </w:r>
      <w:r>
        <w:rPr>
          <w:rFonts w:ascii="Times New Roman" w:hAnsi="Times New Roman"/>
          <w:color w:val="000000"/>
          <w:sz w:val="24"/>
        </w:rPr>
        <w:t>) as are consistent with your position, and such additional duties and responsibilities on behalf of the Company Group, as may be designated from time to time by the Supervisor.</w:t>
      </w:r>
    </w:p>
    <w:p>
      <w:pPr>
        <w:pStyle w:val="TextBody"/>
        <w:bidi w:val="0"/>
        <w:jc w:val="left"/>
        <w:rPr>
          <w:rFonts w:ascii="Times New Roman" w:hAnsi="Times New Roman"/>
          <w:sz w:val="20"/>
        </w:rPr>
      </w:pPr>
      <w:r>
        <w:rPr>
          <w:rFonts w:ascii="Times New Roman" w:hAnsi="Times New Roman"/>
          <w:color w:val="000000"/>
          <w:sz w:val="24"/>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of Directors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of ProKidney Corp.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In addition, you shall be permitted to serve as a director on any other company’s board of directors subject to the prior consent of the Board (which will not be unreasonably withheld).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Base Salary: </w:t>
      </w:r>
      <w:r>
        <w:rPr>
          <w:rFonts w:ascii="Times New Roman" w:hAnsi="Times New Roman"/>
          <w:color w:val="000000"/>
          <w:sz w:val="24"/>
        </w:rPr>
        <w:t>During the Term, your annual base salary will be $500,000.00 per year and will be payable in accordance with the Company’s normal payroll practices, less the applicable taxes and elective withholdings. Your base salary may be increased, but not decreased, as determined by the Board or the Compensation Committee of the Board (the “</w:t>
      </w:r>
      <w:r>
        <w:rPr>
          <w:rFonts w:ascii="Times New Roman" w:hAnsi="Times New Roman"/>
          <w:color w:val="000000"/>
          <w:sz w:val="24"/>
          <w:u w:val="single"/>
        </w:rPr>
        <w:t>Compensation Committee</w:t>
      </w:r>
      <w:r>
        <w:rPr>
          <w:rFonts w:ascii="Times New Roman" w:hAnsi="Times New Roman"/>
          <w:color w:val="000000"/>
          <w:sz w:val="20"/>
        </w:rPr>
        <w:t>”</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b/>
          <w:color w:val="000000"/>
          <w:sz w:val="24"/>
        </w:rPr>
        <w:t xml:space="preserve">Incentive Bonus Eligibility: </w:t>
      </w:r>
      <w:r>
        <w:rPr>
          <w:rFonts w:ascii="Times New Roman" w:hAnsi="Times New Roman"/>
          <w:color w:val="000000"/>
          <w:sz w:val="24"/>
        </w:rPr>
        <w:t>During the Term, you will be eligible for an annual cash bonus pursuant to the Company’s annual cash bonus program based on the achievement of performance criteria established by the Compensation Committee for the applicable fiscal year, which may be corporate goals and/or individual criteria. Your initial target bonus will be in an amount equal to 45% of your base salary (“</w:t>
      </w:r>
      <w:r>
        <w:rPr>
          <w:rFonts w:ascii="Times New Roman" w:hAnsi="Times New Roman"/>
          <w:color w:val="000000"/>
          <w:sz w:val="24"/>
          <w:u w:val="single"/>
        </w:rPr>
        <w:t>Target Bonus</w:t>
      </w:r>
      <w:r>
        <w:rPr>
          <w:rFonts w:ascii="Times New Roman" w:hAnsi="Times New Roman"/>
          <w:color w:val="000000"/>
          <w:sz w:val="20"/>
        </w:rPr>
        <w:t>”</w:t>
      </w:r>
      <w:r>
        <w:rPr>
          <w:rFonts w:ascii="Times New Roman" w:hAnsi="Times New Roman"/>
          <w:color w:val="000000"/>
          <w:sz w:val="24"/>
        </w:rPr>
        <w:t>). The actual amount of any bonus earned will be based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on the full performance year (no proration) and shall be determined by the Compensation Committee in its sole discretion after the end of the applicable fiscal year.</w:t>
      </w:r>
    </w:p>
    <w:p>
      <w:pPr>
        <w:pStyle w:val="TextBody"/>
        <w:bidi w:val="0"/>
        <w:jc w:val="left"/>
        <w:rPr>
          <w:rFonts w:ascii="Times New Roman" w:hAnsi="Times New Roman"/>
          <w:color w:val="000000"/>
          <w:sz w:val="24"/>
        </w:rPr>
      </w:pPr>
      <w:r>
        <w:rPr>
          <w:rFonts w:ascii="Times New Roman" w:hAnsi="Times New Roman"/>
          <w:color w:val="000000"/>
          <w:sz w:val="24"/>
        </w:rPr>
        <w:t>Except as otherwise provided herein, the Company will pay any bonus earned for a fiscal year in the year following the year to which the bonus relates, and generally before the end of the first quarter of that year. You will be entitled to receive any earned bonus for a fiscal year of the Company if you are employed on the payment date for such bonus.</w:t>
      </w:r>
    </w:p>
    <w:p>
      <w:pPr>
        <w:pStyle w:val="TextBody"/>
        <w:bidi w:val="0"/>
        <w:jc w:val="left"/>
        <w:rPr>
          <w:rFonts w:ascii="Times New Roman" w:hAnsi="Times New Roman"/>
          <w:sz w:val="20"/>
        </w:rPr>
      </w:pPr>
      <w:r>
        <w:rPr>
          <w:rFonts w:ascii="Times New Roman" w:hAnsi="Times New Roman"/>
          <w:b/>
          <w:color w:val="000000"/>
          <w:sz w:val="24"/>
        </w:rPr>
        <w:t>Long-Term Incentive:</w:t>
      </w:r>
      <w:r>
        <w:rPr>
          <w:rFonts w:ascii="Times New Roman" w:hAnsi="Times New Roman"/>
          <w:color w:val="000000"/>
          <w:sz w:val="20"/>
        </w:rPr>
        <w:t xml:space="preserve"> </w:t>
      </w:r>
      <w:r>
        <w:rPr>
          <w:rFonts w:ascii="Times New Roman" w:hAnsi="Times New Roman"/>
          <w:color w:val="000000"/>
          <w:sz w:val="24"/>
        </w:rPr>
        <w:t>You will be eligible to receive long-term incentive awards pursuant to the terms of the ProKidney Corp. 2022 Incentive Equity Plan (the “Incentive Equity Plan”) (or any successor plan thereto). Long-term incentive awards will be granted at the discretion of the Compensation Committee and in accordance with market guidelines for your role as approved by the Compensation Committee.</w:t>
      </w:r>
      <w:r>
        <w:rPr>
          <w:rFonts w:ascii="Times New Roman" w:hAnsi="Times New Roman"/>
          <w:color w:val="000000"/>
          <w:sz w:val="20"/>
        </w:rPr>
        <w:t xml:space="preserve"> </w:t>
      </w:r>
      <w:r>
        <w:rPr>
          <w:rFonts w:ascii="Times New Roman" w:hAnsi="Times New Roman"/>
          <w:color w:val="000000"/>
          <w:sz w:val="24"/>
        </w:rPr>
        <w:t>Subject to approval by the Compensation Committee, you will receive a one-time stock option award to purchase 750,000 shares of the Company’s Class A ordinary shares (the “New Hire Option Award”), which shall be subject to time-based vesting terms as set forth in your Stock Options Agreement which will be shared with you on or around one month after your start date, via E*Trade, our system of record for long-term incentive awards.</w:t>
      </w:r>
    </w:p>
    <w:p>
      <w:pPr>
        <w:pStyle w:val="TextBody"/>
        <w:bidi w:val="0"/>
        <w:jc w:val="left"/>
        <w:rPr>
          <w:rFonts w:ascii="Times New Roman" w:hAnsi="Times New Roman"/>
          <w:sz w:val="20"/>
        </w:rPr>
      </w:pPr>
      <w:r>
        <w:rPr>
          <w:rFonts w:ascii="Times New Roman" w:hAnsi="Times New Roman"/>
          <w:b/>
          <w:color w:val="000000"/>
          <w:sz w:val="24"/>
        </w:rPr>
        <w:t xml:space="preserve">Benefits: </w:t>
      </w:r>
      <w:r>
        <w:rPr>
          <w:rFonts w:ascii="Times New Roman" w:hAnsi="Times New Roman"/>
          <w:color w:val="000000"/>
          <w:sz w:val="24"/>
        </w:rPr>
        <w:t>During your employment with the Company, you will be eligible for participation in employee health and welfare benefits programs, retirement programs, and other fringe benefits maintained by the Company, to the extent consistent with applicable law and the terms of the applicable plans and programs, which may include certain plans and programs available to similarly situated executives of the Company or otherwise applicable to 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p>
      <w:pPr>
        <w:pStyle w:val="TextBody"/>
        <w:bidi w:val="0"/>
        <w:jc w:val="left"/>
        <w:rPr>
          <w:rFonts w:ascii="Times New Roman" w:hAnsi="Times New Roman"/>
          <w:color w:val="000000"/>
          <w:sz w:val="24"/>
        </w:rPr>
      </w:pPr>
      <w:r>
        <w:rPr>
          <w:rFonts w:ascii="Times New Roman" w:hAnsi="Times New Roman"/>
          <w:color w:val="000000"/>
          <w:sz w:val="24"/>
        </w:rPr>
        <w:t>You will be eligible to receive vacation in accordance with the terms of the Company’s vacation/Paid Time Off “PTO”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Relocation Assistance: </w:t>
      </w:r>
      <w:r>
        <w:rPr>
          <w:rFonts w:ascii="Times New Roman" w:hAnsi="Times New Roman"/>
          <w:color w:val="000000"/>
          <w:sz w:val="24"/>
        </w:rPr>
        <w:t>As agreed, you will be provided with relocation assistance which covers a housing allowance of up to $1,500 per month for a duration of two (2) years from your date of hire. The cost of your relocation will be considered taxable income and a benefit in kind to you to the extent required under applicable U.S. and state tax laws. Any payments that are treated as taxable income to you will be grossed up at the prevailing federal supplemental withholding rate plus applicable FICA taxes, currently estimated at 35%, solely to cover your tax liability in accordance with Company policy. You acknowledge that this gross-up is an estimate and you are responsible for any shortfall.</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If you voluntarily terminate employment or are terminated with cause within two (2) years of your effective job start date, you will be required to reimburse ProKidney for all of expenses related to the relocation, including cancelled services in which the Company incurred fees on your behalf, as follows: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Termination Within Year 1: 100% Repayment amount</w:t>
      </w:r>
    </w:p>
    <w:p>
      <w:pPr>
        <w:pStyle w:val="TextBody"/>
        <w:bidi w:val="0"/>
        <w:jc w:val="left"/>
        <w:rPr>
          <w:rFonts w:ascii="Times New Roman" w:hAnsi="Times New Roman"/>
          <w:color w:val="000000"/>
          <w:sz w:val="24"/>
        </w:rPr>
      </w:pPr>
      <w:r>
        <w:rPr>
          <w:rFonts w:ascii="Times New Roman" w:hAnsi="Times New Roman"/>
          <w:color w:val="000000"/>
          <w:sz w:val="24"/>
        </w:rPr>
        <w:t>Termination Within Year 2: Prorated quarterly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Business Expenses: </w:t>
      </w:r>
      <w:r>
        <w:rPr>
          <w:rFonts w:ascii="Times New Roman" w:hAnsi="Times New Roman"/>
          <w:color w:val="000000"/>
          <w:sz w:val="24"/>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p>
      <w:pPr>
        <w:pStyle w:val="TextBody"/>
        <w:bidi w:val="0"/>
        <w:jc w:val="left"/>
        <w:rPr>
          <w:rFonts w:ascii="Times New Roman" w:hAnsi="Times New Roman"/>
          <w:sz w:val="20"/>
        </w:rPr>
      </w:pPr>
      <w:r>
        <w:rPr>
          <w:rFonts w:ascii="Times New Roman" w:hAnsi="Times New Roman"/>
          <w:b/>
          <w:color w:val="000000"/>
          <w:sz w:val="24"/>
        </w:rPr>
        <w:t xml:space="preserve">Term: </w:t>
      </w:r>
      <w:r>
        <w:rPr>
          <w:rFonts w:ascii="Times New Roman" w:hAnsi="Times New Roman"/>
          <w:color w:val="000000"/>
          <w:sz w:val="24"/>
        </w:rPr>
        <w:t>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Termination: </w:t>
      </w:r>
      <w:r>
        <w:rPr>
          <w:rFonts w:ascii="Times New Roman" w:hAnsi="Times New Roman"/>
          <w:color w:val="000000"/>
          <w:sz w:val="24"/>
        </w:rPr>
        <w:t>(a) Upon your termination of employment for any reason, the Company shall pay to you (i) your base salary earned through the date of such termination, (ii) amounts for accrued but unused vacation days in the year of termination and (iii) any unreimbursed business expenses in accordance with the Company’s reimbursement policy, not later than thirty (30) business days after the customary documentation regarding such expenses has been received and only to the extent that such expenses are submitted within ninety (90) days following the date of your termination (collectively, “</w:t>
      </w:r>
      <w:r>
        <w:rPr>
          <w:rFonts w:ascii="Times New Roman" w:hAnsi="Times New Roman"/>
          <w:color w:val="000000"/>
          <w:sz w:val="24"/>
          <w:u w:val="single"/>
        </w:rPr>
        <w:t>Accrued Amounts</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nine (9) months following your termination date, payable in accordance with the Company’s normal payroll cycle and (iii) provided you timely elect to continue your and your eligible dependents’ continued coverage under the Company’s group health plan, reimbursement of 100% of the monthly premium to continue such coverage for the lesser of nine (9) calendar months following the month in which the termination of your employment occurs, the month in which you are no longer eligible for continued coverage under COBRA and the month in which you are eligible to participate in a subsequent employer’s group health plans.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Notwithstanding the foregoing, upon a termination of your employment by the Company without Cause or by you for Good Reason within eighteen (18) months following a Change in Control (as defined in the Incentive Equity Plan), in addition to the Accrued Amounts, you will be entitled to receive, subject to your timely execution and non-revocation of a Release (i) a lump sum payment equal to the sum of twelve (12) months of your base salary as of immediately prior to the Change in Control and one hundred percent (100%) of your then-current Target Bonus, (ii) provided you timely elect to continue your and your eligible dependents’ continued coverage under the Company’s group health plan, reimbursement of 100% of the monthly premium to continue such coverage for the lesser of twelve (12) calendar months following the month in which the termination of your employment occurs, the month in which you are no longer eligible for continued coverage under COBRA and the month in which you are eligible to participate in a subsequent employer’s group health plans; and (iii) full vesting of any equity awards then outstanding held by you (with any performance-based equity awards vesting at “target” levels). Notwithstanding anything to the contrary set forth herein, to the extent there is a conflict between any of the terms set forth in this Agreement and any terms set forth in an award agreement relating to the grant of equity awards to you, the terms of the applicable award agreement shall prevail.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In the event that your employment is terminated other than for reasons described in subsection (b) above, other than the amounts specified in subsection (a) above, you will not be entitled to receive any payments under this Agreement.</w:t>
      </w:r>
    </w:p>
    <w:p>
      <w:pPr>
        <w:pStyle w:val="TextBody"/>
        <w:bidi w:val="0"/>
        <w:jc w:val="left"/>
        <w:rPr>
          <w:rFonts w:ascii="Times New Roman" w:hAnsi="Times New Roman"/>
          <w:sz w:val="20"/>
        </w:rPr>
      </w:pPr>
      <w:r>
        <w:rPr>
          <w:rFonts w:ascii="Times New Roman" w:hAnsi="Times New Roman"/>
          <w:color w:val="000000"/>
          <w:sz w:val="24"/>
        </w:rPr>
        <w:t xml:space="preserve">(d) Payment of any severance payments or benefits pursuant to subsection (b) above is expressly conditioned upon your (i) execution of a general waiver and release of claims substantially in the form attached hereto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Release</w:t>
      </w:r>
      <w:r>
        <w:rPr>
          <w:rFonts w:ascii="Times New Roman" w:hAnsi="Times New Roman"/>
          <w:color w:val="000000"/>
          <w:sz w:val="20"/>
        </w:rPr>
        <w:t>”</w:t>
      </w:r>
      <w:r>
        <w:rPr>
          <w:rFonts w:ascii="Times New Roman" w:hAnsi="Times New Roman"/>
          <w:color w:val="000000"/>
          <w:sz w:val="24"/>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If an executed Release is not returned to the Company within fifty (50) days of termination or the Release is revoked by you, the Company shall be relieved of all obligations to pay you severance under this Agreement. The payment described in subsection (b)(ii) will commence on the sixtieth (60th) day following your termination of employment with any payments described in subsection (b)(ii) that would have been paid from the termination date through the sixtieth (60</w:t>
      </w:r>
      <w:r>
        <w:rPr>
          <w:rFonts w:ascii="Times New Roman" w:hAnsi="Times New Roman"/>
          <w:color w:val="000000"/>
          <w:sz w:val="16"/>
        </w:rPr>
        <w:t>th</w:t>
      </w:r>
      <w:r>
        <w:rPr>
          <w:rFonts w:ascii="Times New Roman" w:hAnsi="Times New Roman"/>
          <w:color w:val="000000"/>
          <w:sz w:val="24"/>
        </w:rPr>
        <w:t>) day following your termination of employment paid in a lump sum on the first payroll date following the sixtieth (60</w:t>
      </w:r>
      <w:r>
        <w:rPr>
          <w:rFonts w:ascii="Times New Roman" w:hAnsi="Times New Roman"/>
          <w:color w:val="000000"/>
          <w:sz w:val="16"/>
        </w:rPr>
        <w:t>th</w:t>
      </w:r>
      <w:r>
        <w:rPr>
          <w:rFonts w:ascii="Times New Roman" w:hAnsi="Times New Roman"/>
          <w:color w:val="000000"/>
          <w:sz w:val="24"/>
        </w:rPr>
        <w:t>) day following your termination and the remaining installments will commence with the next payroll period. All severance payments shall be subject to legally required tax withholdings and any elective withholdings.</w:t>
      </w:r>
    </w:p>
    <w:p>
      <w:pPr>
        <w:pStyle w:val="TextBody"/>
        <w:bidi w:val="0"/>
        <w:jc w:val="left"/>
        <w:rPr>
          <w:rFonts w:ascii="Times New Roman" w:hAnsi="Times New Roman"/>
          <w:color w:val="000000"/>
          <w:sz w:val="24"/>
        </w:rPr>
      </w:pPr>
      <w:r>
        <w:rPr>
          <w:rFonts w:ascii="Times New Roman" w:hAnsi="Times New Roman"/>
          <w:color w:val="000000"/>
          <w:sz w:val="24"/>
        </w:rPr>
        <w:t>(e) For purposes of this Agreement:</w:t>
      </w:r>
    </w:p>
    <w:p>
      <w:pPr>
        <w:pStyle w:val="TextBody"/>
        <w:bidi w:val="0"/>
        <w:jc w:val="left"/>
        <w:rPr/>
      </w:pPr>
      <w:r>
        <w:rPr>
          <w:color w:val="000000"/>
        </w:rPr>
        <w:t>“</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means (i) any theft, fraud, embezzlement, dishonesty, willful misconduct, breach of fiduciary duty for personal profit, falsification of any documents or records of the Company or any member of the Company Group, felony or similar act by you (whether or not related to your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the Covenant Agreement)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your unauthorized use, misappropriation, destruction, or diversion of any tangible or intangible asset or corporate opportunity of the Company or any member of the Company Group (including, without limitation, the improper use or disclosure of confidential or proprietary information). For the avoidance of doubt, the determination as to whether a termination is for Cause for purposes of this Agreement shall be made in good faith by the Compensation Committee and shall be final and binding on you.</w:t>
      </w:r>
    </w:p>
    <w:p>
      <w:pPr>
        <w:pStyle w:val="TextBody"/>
        <w:bidi w:val="0"/>
        <w:jc w:val="left"/>
        <w:rPr/>
      </w:pPr>
      <w:r>
        <w:rPr>
          <w:color w:val="000000"/>
        </w:rPr>
        <w:t>“</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 xml:space="preserve">means the occurrence of any of the following without your consent: (i) a material reduction in your then-current base salary, other than any such reduction that applies generally to similarly situated employees of the Company; (ii) a material diminution in your authority, duties or responsibilities under this Agreement; </w:t>
      </w:r>
      <w:r>
        <w:rPr>
          <w:rFonts w:ascii="Times New Roman" w:hAnsi="Times New Roman"/>
          <w:i/>
          <w:color w:val="000000"/>
          <w:sz w:val="24"/>
        </w:rPr>
        <w:t>provided</w:t>
      </w:r>
      <w:r>
        <w:rPr>
          <w:rFonts w:ascii="Times New Roman" w:hAnsi="Times New Roman"/>
          <w:color w:val="000000"/>
          <w:sz w:val="24"/>
        </w:rPr>
        <w:t>,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60 days of the initial existence of such grounds, (y) the Company has not cured such circumstances within 30 days from the date on which such notice is provided and (z) you resign from your employment effective no later than 60 days after the initial existence of such grounds.</w:t>
      </w:r>
    </w:p>
    <w:p>
      <w:pPr>
        <w:pStyle w:val="TextBody"/>
        <w:bidi w:val="0"/>
        <w:jc w:val="left"/>
        <w:rPr>
          <w:rFonts w:ascii="Times New Roman" w:hAnsi="Times New Roman"/>
          <w:sz w:val="20"/>
        </w:rPr>
      </w:pPr>
      <w:r>
        <w:rPr>
          <w:rFonts w:ascii="Times New Roman" w:hAnsi="Times New Roman"/>
          <w:b/>
          <w:color w:val="000000"/>
          <w:sz w:val="24"/>
        </w:rPr>
        <w:t xml:space="preserve">Resignation: </w:t>
      </w:r>
      <w:r>
        <w:rPr>
          <w:rFonts w:ascii="Times New Roman" w:hAnsi="Times New Roman"/>
          <w:color w:val="000000"/>
          <w:sz w:val="24"/>
        </w:rPr>
        <w:t>Effective as of the date of your termination of employment, unless otherwise requested by the Company in writing, you will, automatically and without further action on your part or any other person or entity, resign from all offices, boards of directors (or similar governing bodies) and committees of 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p>
      <w:pPr>
        <w:pStyle w:val="TextBody"/>
        <w:bidi w:val="0"/>
        <w:jc w:val="left"/>
        <w:rPr>
          <w:rFonts w:ascii="Times New Roman" w:hAnsi="Times New Roman"/>
          <w:sz w:val="20"/>
        </w:rPr>
      </w:pPr>
      <w:r>
        <w:rPr>
          <w:rFonts w:ascii="Times New Roman" w:hAnsi="Times New Roman"/>
          <w:b/>
          <w:color w:val="000000"/>
          <w:sz w:val="24"/>
        </w:rPr>
        <w:t xml:space="preserve">Cooperation: </w:t>
      </w:r>
      <w:r>
        <w:rPr>
          <w:rFonts w:ascii="Times New Roman" w:hAnsi="Times New Roman"/>
          <w:color w:val="000000"/>
          <w:sz w:val="24"/>
        </w:rPr>
        <w:t>In consideration for the promises and payments by the Company pursuant to this Agreement, at the request of the Company, for a one-year period following your termination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 w:hAnsi="Times New Roman"/>
          <w:i/>
          <w:color w:val="000000"/>
          <w:sz w:val="24"/>
        </w:rPr>
        <w:t xml:space="preserve">provided </w:t>
      </w:r>
      <w:r>
        <w:rPr>
          <w:rFonts w:ascii="Times New Roman" w:hAnsi="Times New Roman"/>
          <w:color w:val="000000"/>
          <w:sz w:val="24"/>
        </w:rPr>
        <w:t>such cooperation shall not unreasonably interfere with any obligations you may have to your current employer at the time. The Company will reimburse you for any reasonable, properly documented out-of-pocket expenses, including your travel expenses and attorneys’ fees that you actually incur in connection with such cooperation.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Section 409A: </w:t>
      </w:r>
      <w:r>
        <w:rPr>
          <w:rFonts w:ascii="Times New Roman" w:hAnsi="Times New Roman"/>
          <w:color w:val="000000"/>
          <w:sz w:val="24"/>
        </w:rPr>
        <w:t>All references in this Agreement to your termination of employment shall mean your “separation from service” within the meaning of Section 409A of the Code and Treasury regulations promulgated thereunder. This Agreement is intended to comply with Section 409A of the Code or an exemption thereunder and shall be construed and administered in 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 w:hAnsi="Times New Roman"/>
          <w:color w:val="000000"/>
          <w:sz w:val="24"/>
          <w:u w:val="single"/>
        </w:rPr>
        <w:t>409A Penalties</w:t>
      </w:r>
      <w:r>
        <w:rPr>
          <w:rFonts w:ascii="Times New Roman" w:hAnsi="Times New Roman"/>
          <w:color w:val="000000"/>
          <w:sz w:val="20"/>
        </w:rPr>
        <w:t>”</w:t>
      </w:r>
      <w:r>
        <w:rPr>
          <w:rFonts w:ascii="Times New Roman" w:hAnsi="Times New Roman"/>
          <w:color w:val="000000"/>
          <w:sz w:val="24"/>
        </w:rPr>
        <w:t xml:space="preserve">), the Company and you shall cooperate diligently to amend the terms of this Agreement to avoid such 409A Penalties, to the extent possible; </w:t>
      </w:r>
      <w:r>
        <w:rPr>
          <w:rFonts w:ascii="Times New Roman" w:hAnsi="Times New Roman"/>
          <w:i/>
          <w:color w:val="000000"/>
          <w:sz w:val="24"/>
        </w:rPr>
        <w:t xml:space="preserve">provided </w:t>
      </w:r>
      <w:r>
        <w:rPr>
          <w:rFonts w:ascii="Times New Roman" w:hAnsi="Times New Roman"/>
          <w:color w:val="000000"/>
          <w:sz w:val="24"/>
        </w:rPr>
        <w:t>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 each such installment shall be treated as a right to receive a series of separate payments and, accordingly, each such installment payment shall at all times be considered a separate and distinct payment as permitted under Section 409A of the Code.</w:t>
      </w:r>
    </w:p>
    <w:p>
      <w:pPr>
        <w:pStyle w:val="TextBody"/>
        <w:bidi w:val="0"/>
        <w:jc w:val="left"/>
        <w:rPr>
          <w:rFonts w:ascii="Times New Roman" w:hAnsi="Times New Roman"/>
          <w:color w:val="000000"/>
          <w:sz w:val="24"/>
        </w:rPr>
      </w:pPr>
      <w:r>
        <w:rPr>
          <w:rFonts w:ascii="Times New Roman" w:hAnsi="Times New Roman"/>
          <w:color w:val="000000"/>
          <w:sz w:val="24"/>
        </w:rPr>
        <w:t>Notwithstanding any other provision in this Agreement, if as of the date on which your employment terminates, you are a “specified employee”, as determined by the Company, then with 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 until the earlier to occur of (a) the first payroll date following the six-month anniversary of such termination date and (b) the date of your death.</w:t>
      </w:r>
    </w:p>
    <w:p>
      <w:pPr>
        <w:pStyle w:val="TextBody"/>
        <w:bidi w:val="0"/>
        <w:jc w:val="left"/>
        <w:rPr>
          <w:rFonts w:ascii="Times New Roman" w:hAnsi="Times New Roman"/>
          <w:color w:val="000000"/>
          <w:sz w:val="24"/>
        </w:rPr>
      </w:pPr>
      <w:r>
        <w:rPr>
          <w:rFonts w:ascii="Times New Roman" w:hAnsi="Times New Roman"/>
          <w:color w:val="000000"/>
          <w:sz w:val="24"/>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p>
      <w:pPr>
        <w:pStyle w:val="TextBody"/>
        <w:bidi w:val="0"/>
        <w:jc w:val="left"/>
        <w:rPr>
          <w:rFonts w:ascii="Times New Roman" w:hAnsi="Times New Roman"/>
          <w:sz w:val="20"/>
        </w:rPr>
      </w:pPr>
      <w:r>
        <w:rPr>
          <w:rFonts w:ascii="Times New Roman" w:hAnsi="Times New Roman"/>
          <w:b/>
          <w:color w:val="000000"/>
          <w:sz w:val="24"/>
        </w:rPr>
        <w:t xml:space="preserve">Section 280G: </w:t>
      </w:r>
      <w:r>
        <w:rPr>
          <w:rFonts w:ascii="Times New Roman" w:hAnsi="Times New Roman"/>
          <w:color w:val="000000"/>
          <w:sz w:val="24"/>
        </w:rPr>
        <w:t>If the present value of your Severance Benefits, either alone or together with other payments which you have the right to receive from the Company (the “</w:t>
      </w:r>
      <w:r>
        <w:rPr>
          <w:rFonts w:ascii="Times New Roman" w:hAnsi="Times New Roman"/>
          <w:b/>
          <w:color w:val="000000"/>
          <w:sz w:val="24"/>
        </w:rPr>
        <w:t>Benefits</w:t>
      </w:r>
      <w:r>
        <w:rPr>
          <w:rFonts w:ascii="Times New Roman" w:hAnsi="Times New Roman"/>
          <w:color w:val="000000"/>
          <w:sz w:val="20"/>
        </w:rPr>
        <w:t>”</w:t>
      </w:r>
      <w:r>
        <w:rPr>
          <w:rFonts w:ascii="Times New Roman" w:hAnsi="Times New Roman"/>
          <w:color w:val="000000"/>
          <w:sz w:val="24"/>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 w:hAnsi="Times New Roman"/>
          <w:b/>
          <w:color w:val="000000"/>
          <w:sz w:val="24"/>
        </w:rPr>
        <w:t>Excise Tax</w:t>
      </w:r>
      <w:r>
        <w:rPr>
          <w:rFonts w:ascii="Times New Roman" w:hAnsi="Times New Roman"/>
          <w:color w:val="000000"/>
          <w:sz w:val="20"/>
        </w:rPr>
        <w:t>”</w:t>
      </w:r>
      <w:r>
        <w:rPr>
          <w:rFonts w:ascii="Times New Roman" w:hAnsi="Times New Roman"/>
          <w:color w:val="000000"/>
          <w:sz w:val="24"/>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pStyle w:val="TextBody"/>
        <w:bidi w:val="0"/>
        <w:jc w:val="left"/>
        <w:rPr>
          <w:rFonts w:ascii="Times New Roman" w:hAnsi="Times New Roman"/>
          <w:sz w:val="20"/>
        </w:rPr>
      </w:pPr>
      <w:r>
        <w:rPr>
          <w:rFonts w:ascii="Times New Roman" w:hAnsi="Times New Roman"/>
          <w:color w:val="000000"/>
          <w:sz w:val="24"/>
        </w:rPr>
        <w:t>Unless the Company and you otherwise agree, any determination required under section shall be made in writing in good faith by the Company’s independent accounting firm or such other nationally or regionally recognized accounting firm selected by the Company (the “</w:t>
      </w:r>
      <w:r>
        <w:rPr>
          <w:rFonts w:ascii="Times New Roman" w:hAnsi="Times New Roman"/>
          <w:b/>
          <w:color w:val="000000"/>
          <w:sz w:val="24"/>
        </w:rPr>
        <w:t>Accountants</w:t>
      </w:r>
      <w:r>
        <w:rPr>
          <w:rFonts w:ascii="Times New Roman" w:hAnsi="Times New Roman"/>
          <w:color w:val="000000"/>
          <w:sz w:val="20"/>
        </w:rPr>
        <w:t>”</w:t>
      </w:r>
      <w:r>
        <w:rPr>
          <w:rFonts w:ascii="Times New Roman" w:hAnsi="Times New Roman"/>
          <w:color w:val="000000"/>
          <w:sz w:val="24"/>
        </w:rPr>
        <w:t xml:space="preserve">), whose determination shall be conclusive and binding upon you and the Company for all purposes. In the event that a reduction to the Benefits under this section, the reduction shall apply first to the Benefits that are not deferred compensation subject to Section 409A of the Code and you shall be given the choice, subject to approval by the Company, of which of such Benefits to reduce;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 xml:space="preserve">that </w:t>
      </w:r>
      <w:r>
        <w:rPr>
          <w:rFonts w:ascii="Times New Roman" w:hAnsi="Times New Roman"/>
          <w:color w:val="000000"/>
          <w:sz w:val="24"/>
        </w:rPr>
        <w:t>such reduction achieves the result specified in clause (ii) above of this section. If a 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bidi w:val="0"/>
        <w:spacing w:before="0" w:after="0"/>
        <w:jc w:val="left"/>
        <w:rPr>
          <w:rFonts w:ascii="Cambria;serif" w:hAnsi="Cambria;serif"/>
          <w:b/>
          <w:color w:val="000000"/>
          <w:sz w:val="24"/>
        </w:rPr>
      </w:pPr>
      <w:r>
        <w:rPr>
          <w:rFonts w:ascii="Cambria;serif" w:hAnsi="Cambria;serif"/>
          <w:b/>
          <w:color w:val="000000"/>
          <w:sz w:val="24"/>
        </w:rPr>
        <w:t>2.</w:t>
      </w:r>
    </w:p>
    <w:p>
      <w:pPr>
        <w:pStyle w:val="TextBody"/>
        <w:bidi w:val="0"/>
        <w:jc w:val="left"/>
        <w:rPr/>
      </w:pPr>
      <w:r>
        <w:rPr>
          <w:rFonts w:ascii="Times New Roman" w:hAnsi="Times New Roman"/>
          <w:color w:val="000000"/>
          <w:sz w:val="24"/>
        </w:rPr>
        <w:t>You acknowledge and agree that you will continue to be subject to any confidentiality, non-disclosure, non-use, non-competition, non-solicitation or other covenants that you may be subject to under any agreement with the Company or any member of the Company Group (collectively, the “</w:t>
      </w:r>
      <w:r>
        <w:rPr>
          <w:rFonts w:ascii="Times New Roman" w:hAnsi="Times New Roman"/>
          <w:color w:val="000000"/>
          <w:sz w:val="24"/>
          <w:u w:val="single"/>
        </w:rPr>
        <w:t>Covenant Agreement</w:t>
      </w:r>
      <w:r>
        <w:rPr>
          <w:color w:val="000000"/>
        </w:rPr>
        <w:t>”</w:t>
      </w:r>
      <w:r>
        <w:rPr>
          <w:rFonts w:ascii="Times New Roman" w:hAnsi="Times New Roman"/>
          <w:color w:val="000000"/>
          <w:sz w:val="24"/>
        </w:rPr>
        <w:t>). Notwithstanding any provision in this Agreement, the Covenant Agreement or otherwise to the contrary, nothing in this Agreement, the Covenant Agreement or otherwise precludes or otherwise limits your ability to (A) communicate directly with and provide information, including documents, not otherwise protected from disclosure by any applicable law or privilege to the Securities and Exchange Commission (the “</w:t>
      </w:r>
      <w:r>
        <w:rPr>
          <w:rFonts w:ascii="Times New Roman" w:hAnsi="Times New Roman"/>
          <w:color w:val="000000"/>
          <w:sz w:val="24"/>
          <w:u w:val="single"/>
        </w:rPr>
        <w:t>SEC</w:t>
      </w:r>
      <w:r>
        <w:rPr>
          <w:color w:val="000000"/>
        </w:rPr>
        <w:t>”</w:t>
      </w:r>
      <w:r>
        <w:rPr>
          <w:rFonts w:ascii="Times New Roman" w:hAnsi="Times New Roman"/>
          <w:color w:val="000000"/>
          <w:sz w:val="24"/>
        </w:rPr>
        <w:t>) or any other federal, state or local governmental agency or commission (“</w:t>
      </w:r>
      <w:r>
        <w:rPr>
          <w:rFonts w:ascii="Times New Roman" w:hAnsi="Times New Roman"/>
          <w:color w:val="000000"/>
          <w:sz w:val="24"/>
          <w:u w:val="single"/>
        </w:rPr>
        <w:t>Government</w:t>
      </w:r>
      <w:r>
        <w:rPr>
          <w:color w:val="000000"/>
        </w:rPr>
        <w:t xml:space="preserve"> </w:t>
      </w:r>
      <w:r>
        <w:rPr>
          <w:rFonts w:ascii="Times New Roman" w:hAnsi="Times New Roman"/>
          <w:color w:val="000000"/>
          <w:sz w:val="24"/>
          <w:u w:val="single"/>
        </w:rPr>
        <w:t>Agency</w:t>
      </w:r>
      <w:r>
        <w:rPr>
          <w:color w:val="000000"/>
        </w:rPr>
        <w:t>”</w:t>
      </w:r>
      <w:r>
        <w:rPr>
          <w:rFonts w:ascii="Times New Roman" w:hAnsi="Times New Roman"/>
          <w:color w:val="000000"/>
          <w:sz w:val="24"/>
        </w:rPr>
        <w:t xml:space="preserve">)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self-regulatory organization regarding possible legal violations, without disclosure to the Company, or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pStyle w:val="TextBody"/>
        <w:bidi w:val="0"/>
        <w:spacing w:before="0" w:after="0"/>
        <w:jc w:val="left"/>
        <w:rPr>
          <w:rFonts w:ascii="Cambria;serif" w:hAnsi="Cambria;serif"/>
          <w:b/>
          <w:color w:val="000000"/>
          <w:sz w:val="24"/>
        </w:rPr>
      </w:pPr>
      <w:r>
        <w:rPr>
          <w:rFonts w:ascii="Cambria;serif" w:hAnsi="Cambria;serif"/>
          <w:b/>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pStyle w:val="TextBody"/>
        <w:bidi w:val="0"/>
        <w:spacing w:before="0" w:after="0"/>
        <w:jc w:val="left"/>
        <w:rPr>
          <w:rFonts w:ascii="Cambria;serif" w:hAnsi="Cambria;serif"/>
          <w:b/>
          <w:color w:val="000000"/>
          <w:sz w:val="24"/>
        </w:rPr>
      </w:pPr>
      <w:r>
        <w:rPr>
          <w:rFonts w:ascii="Cambria;serif" w:hAnsi="Cambria;serif"/>
          <w:b/>
          <w:color w:val="000000"/>
          <w:sz w:val="24"/>
        </w:rPr>
        <w:t>4.</w:t>
      </w:r>
    </w:p>
    <w:p>
      <w:pPr>
        <w:pStyle w:val="TextBody"/>
        <w:bidi w:val="0"/>
        <w:jc w:val="left"/>
        <w:rPr>
          <w:rFonts w:ascii="Times New Roman" w:hAnsi="Times New Roman"/>
          <w:color w:val="000000"/>
          <w:sz w:val="24"/>
        </w:rPr>
      </w:pPr>
      <w:r>
        <w:rPr>
          <w:rFonts w:ascii="Times New Roman" w:hAnsi="Times New Roman"/>
          <w:color w:val="000000"/>
          <w:sz w:val="24"/>
        </w:rPr>
        <w:t>All payments made under this Agreement shall be reduced by any tax or other amounts required to be withheld under applicable law.</w:t>
      </w:r>
    </w:p>
    <w:p>
      <w:pPr>
        <w:pStyle w:val="TextBody"/>
        <w:bidi w:val="0"/>
        <w:spacing w:before="0" w:after="0"/>
        <w:jc w:val="left"/>
        <w:rPr>
          <w:rFonts w:ascii="Cambria;serif" w:hAnsi="Cambria;serif"/>
          <w:b/>
          <w:color w:val="000000"/>
          <w:sz w:val="24"/>
        </w:rPr>
      </w:pPr>
      <w:r>
        <w:rPr>
          <w:rFonts w:ascii="Cambria;serif" w:hAnsi="Cambria;serif"/>
          <w:b/>
          <w:color w:val="000000"/>
          <w:sz w:val="24"/>
        </w:rPr>
        <w:t>5.</w:t>
      </w:r>
    </w:p>
    <w:p>
      <w:pPr>
        <w:pStyle w:val="TextBody"/>
        <w:bidi w:val="0"/>
        <w:jc w:val="left"/>
        <w:rPr>
          <w:rFonts w:ascii="Times New Roman" w:hAnsi="Times New Roman"/>
          <w:color w:val="000000"/>
          <w:sz w:val="24"/>
        </w:rPr>
      </w:pPr>
      <w:r>
        <w:rPr>
          <w:rFonts w:ascii="Times New Roman" w:hAnsi="Times New Roman"/>
          <w:color w:val="000000"/>
          <w:sz w:val="24"/>
        </w:rPr>
        <w:t>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spacing w:before="0" w:after="0"/>
        <w:jc w:val="left"/>
        <w:rPr>
          <w:rFonts w:ascii="Cambria;serif" w:hAnsi="Cambria;serif"/>
          <w:b/>
          <w:color w:val="000000"/>
          <w:sz w:val="24"/>
        </w:rPr>
      </w:pPr>
      <w:r>
        <w:rPr>
          <w:rFonts w:ascii="Cambria;serif" w:hAnsi="Cambria;serif"/>
          <w:b/>
          <w:color w:val="000000"/>
          <w:sz w:val="24"/>
        </w:rPr>
        <w:t>6.</w:t>
      </w:r>
    </w:p>
    <w:p>
      <w:pPr>
        <w:pStyle w:val="TextBody"/>
        <w:bidi w:val="0"/>
        <w:jc w:val="left"/>
        <w:rPr>
          <w:rFonts w:ascii="Times New Roman" w:hAnsi="Times New Roman"/>
          <w:color w:val="000000"/>
          <w:sz w:val="24"/>
        </w:rPr>
      </w:pPr>
      <w:r>
        <w:rPr>
          <w:rFonts w:ascii="Times New Roman" w:hAnsi="Times New Roman"/>
          <w:color w:val="000000"/>
          <w:sz w:val="24"/>
        </w:rPr>
        <w:t>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Cambria;serif" w:hAnsi="Cambria;serif"/>
          <w:b/>
          <w:color w:val="000000"/>
          <w:sz w:val="24"/>
        </w:rPr>
      </w:pPr>
      <w:r>
        <w:rPr>
          <w:rFonts w:ascii="Cambria;serif" w:hAnsi="Cambria;serif"/>
          <w:b/>
          <w:color w:val="000000"/>
          <w:sz w:val="24"/>
        </w:rPr>
        <w:t>7.</w:t>
      </w:r>
    </w:p>
    <w:p>
      <w:pPr>
        <w:pStyle w:val="TextBody"/>
        <w:bidi w:val="0"/>
        <w:jc w:val="left"/>
        <w:rPr>
          <w:rFonts w:ascii="Times New Roman" w:hAnsi="Times New Roman"/>
          <w:color w:val="000000"/>
          <w:sz w:val="24"/>
        </w:rPr>
      </w:pPr>
      <w:r>
        <w:rPr>
          <w:rFonts w:ascii="Times New Roman" w:hAnsi="Times New Roman"/>
          <w:color w:val="000000"/>
          <w:sz w:val="24"/>
        </w:rPr>
        <w:t>The invalidity or unenforceability of any provision or provisions of this Agreement shall not affect the validity or enforceability of any other provision of this Agreement, which shall remain in full force and effect.</w:t>
      </w:r>
    </w:p>
    <w:p>
      <w:pPr>
        <w:pStyle w:val="TextBody"/>
        <w:bidi w:val="0"/>
        <w:spacing w:before="0" w:after="0"/>
        <w:jc w:val="left"/>
        <w:rPr>
          <w:rFonts w:ascii="Cambria;serif" w:hAnsi="Cambria;serif"/>
          <w:b/>
          <w:color w:val="000000"/>
          <w:sz w:val="24"/>
        </w:rPr>
      </w:pPr>
      <w:r>
        <w:rPr>
          <w:rFonts w:ascii="Cambria;serif" w:hAnsi="Cambria;serif"/>
          <w:b/>
          <w:color w:val="000000"/>
          <w:sz w:val="24"/>
        </w:rPr>
        <w:t>8.</w:t>
      </w:r>
    </w:p>
    <w:p>
      <w:pPr>
        <w:pStyle w:val="TextBody"/>
        <w:bidi w:val="0"/>
        <w:jc w:val="left"/>
        <w:rPr/>
      </w:pPr>
      <w:r>
        <w:rPr>
          <w:rFonts w:ascii="Times New Roman" w:hAnsi="Times New Roman"/>
          <w:color w:val="000000"/>
          <w:sz w:val="24"/>
        </w:rPr>
        <w:t xml:space="preserve">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 avoidance of doubt, if the Effective Date does not occur, this Agreement will be void </w:t>
      </w:r>
      <w:r>
        <w:rPr>
          <w:rFonts w:ascii="Times New Roman" w:hAnsi="Times New Roman"/>
          <w:i/>
          <w:color w:val="000000"/>
          <w:sz w:val="24"/>
        </w:rPr>
        <w:t>ab initio</w:t>
      </w:r>
      <w:r>
        <w:rPr>
          <w:rFonts w:ascii="Times New Roman" w:hAnsi="Times New Roman"/>
          <w:color w:val="000000"/>
          <w:sz w:val="24"/>
        </w:rPr>
        <w:t>.</w:t>
      </w:r>
    </w:p>
    <w:p>
      <w:pPr>
        <w:pStyle w:val="TextBody"/>
        <w:bidi w:val="0"/>
        <w:spacing w:before="0" w:after="0"/>
        <w:jc w:val="left"/>
        <w:rPr>
          <w:rFonts w:ascii="Cambria;serif" w:hAnsi="Cambria;serif"/>
          <w:b/>
          <w:color w:val="000000"/>
          <w:sz w:val="24"/>
        </w:rPr>
      </w:pPr>
      <w:r>
        <w:rPr>
          <w:rFonts w:ascii="Cambria;serif" w:hAnsi="Cambria;serif"/>
          <w:b/>
          <w:color w:val="000000"/>
          <w:sz w:val="24"/>
        </w:rPr>
        <w:t>9.</w:t>
      </w:r>
    </w:p>
    <w:p>
      <w:pPr>
        <w:pStyle w:val="TextBody"/>
        <w:bidi w:val="0"/>
        <w:jc w:val="left"/>
        <w:rPr>
          <w:rFonts w:ascii="Times New Roman" w:hAnsi="Times New Roman"/>
          <w:color w:val="000000"/>
          <w:sz w:val="24"/>
        </w:rPr>
      </w:pPr>
      <w:r>
        <w:rPr>
          <w:rFonts w:ascii="Times New Roman" w:hAnsi="Times New Roman"/>
          <w:color w:val="000000"/>
          <w:sz w:val="24"/>
        </w:rPr>
        <w:t>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pStyle w:val="TextBody"/>
        <w:bidi w:val="0"/>
        <w:spacing w:before="0" w:after="0"/>
        <w:jc w:val="left"/>
        <w:rPr>
          <w:rFonts w:ascii="Cambria;serif" w:hAnsi="Cambria;serif"/>
          <w:b/>
          <w:color w:val="000000"/>
          <w:sz w:val="24"/>
        </w:rPr>
      </w:pPr>
      <w:r>
        <w:rPr>
          <w:rFonts w:ascii="Cambria;serif" w:hAnsi="Cambria;serif"/>
          <w:b/>
          <w:color w:val="000000"/>
          <w:sz w:val="24"/>
        </w:rPr>
        <w:t>10.</w:t>
      </w:r>
    </w:p>
    <w:p>
      <w:pPr>
        <w:pStyle w:val="TextBody"/>
        <w:bidi w:val="0"/>
        <w:jc w:val="left"/>
        <w:rPr>
          <w:rFonts w:ascii="Times New Roman" w:hAnsi="Times New Roman"/>
          <w:color w:val="000000"/>
          <w:sz w:val="24"/>
        </w:rPr>
      </w:pPr>
      <w:r>
        <w:rPr>
          <w:rFonts w:ascii="Times New Roman" w:hAnsi="Times New Roman"/>
          <w:color w:val="000000"/>
          <w:sz w:val="24"/>
        </w:rPr>
        <w:t>The rights and benefits under this Agreement are personal to you and such rights and benefits shall not be subject to assignment, alienation or transfer, except to the extent such rights 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pStyle w:val="TextBody"/>
        <w:bidi w:val="0"/>
        <w:spacing w:before="0" w:after="0"/>
        <w:jc w:val="left"/>
        <w:rPr>
          <w:rFonts w:ascii="Cambria;serif" w:hAnsi="Cambria;serif"/>
          <w:b/>
          <w:color w:val="000000"/>
          <w:sz w:val="24"/>
        </w:rPr>
      </w:pPr>
      <w:r>
        <w:rPr>
          <w:rFonts w:ascii="Cambria;serif" w:hAnsi="Cambria;serif"/>
          <w:b/>
          <w:color w:val="000000"/>
          <w:sz w:val="24"/>
        </w:rPr>
        <w:t>11.</w:t>
      </w:r>
    </w:p>
    <w:p>
      <w:pPr>
        <w:pStyle w:val="TextBody"/>
        <w:bidi w:val="0"/>
        <w:jc w:val="left"/>
        <w:rPr>
          <w:rFonts w:ascii="Times New Roman" w:hAnsi="Times New Roman"/>
          <w:color w:val="000000"/>
          <w:sz w:val="24"/>
        </w:rPr>
      </w:pPr>
      <w:r>
        <w:rPr>
          <w:rFonts w:ascii="Times New Roman" w:hAnsi="Times New Roman"/>
          <w:color w:val="000000"/>
          <w:sz w:val="24"/>
        </w:rPr>
        <w:t>This Agreement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jc w:val="left"/>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sign and date this Agreement in the space indicated and return it to my attention to evidence your understanding and acceptance of the terms set forth herein.</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rFonts w:ascii="Times New Roman" w:hAnsi="Times New Roman"/>
          <w:color w:val="000000"/>
          <w:sz w:val="24"/>
        </w:rPr>
      </w:pPr>
      <w:r>
        <w:rPr>
          <w:rFonts w:ascii="Times New Roman" w:hAnsi="Times New Roman"/>
          <w:color w:val="000000"/>
          <w:sz w:val="24"/>
        </w:rPr>
        <w:t>PROKIDNEY</w:t>
      </w:r>
    </w:p>
    <w:tbl>
      <w:tblPr>
        <w:tblW w:w="4772" w:type="dxa"/>
        <w:jc w:val="left"/>
        <w:tblInd w:w="0" w:type="dxa"/>
        <w:tblLayout w:type="fixed"/>
        <w:tblCellMar>
          <w:top w:w="28" w:type="dxa"/>
          <w:left w:w="28" w:type="dxa"/>
          <w:bottom w:w="28" w:type="dxa"/>
          <w:right w:w="28" w:type="dxa"/>
        </w:tblCellMar>
      </w:tblPr>
      <w:tblGrid>
        <w:gridCol w:w="946"/>
        <w:gridCol w:w="3826"/>
      </w:tblGrid>
      <w:tr>
        <w:trPr/>
        <w:tc>
          <w:tcPr>
            <w:tcW w:w="9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By:</w:t>
            </w:r>
          </w:p>
        </w:tc>
        <w:tc>
          <w:tcPr>
            <w:tcW w:w="3826" w:type="dxa"/>
            <w:tcBorders>
              <w:bottom w:val="single" w:sz="6" w:space="0" w:color="000000"/>
            </w:tcBorders>
            <w:tcMar>
              <w:top w:w="0" w:type="dxa"/>
              <w:left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/s/ Bruce Culleton, MD, May 16, 2026</w:t>
            </w:r>
          </w:p>
        </w:tc>
      </w:tr>
      <w:tr>
        <w:trPr/>
        <w:tc>
          <w:tcPr>
            <w:tcW w:w="9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Name:</w:t>
            </w:r>
          </w:p>
        </w:tc>
        <w:tc>
          <w:tcPr>
            <w:tcW w:w="3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Bruce Culleton, MD</w:t>
            </w:r>
          </w:p>
        </w:tc>
      </w:tr>
      <w:tr>
        <w:trPr/>
        <w:tc>
          <w:tcPr>
            <w:tcW w:w="9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Position:</w:t>
            </w:r>
          </w:p>
        </w:tc>
        <w:tc>
          <w:tcPr>
            <w:tcW w:w="3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Agreed to and Accepted:</w:t>
      </w:r>
    </w:p>
    <w:tbl>
      <w:tblPr>
        <w:tblW w:w="2912" w:type="dxa"/>
        <w:jc w:val="left"/>
        <w:tblInd w:w="0" w:type="dxa"/>
        <w:tblLayout w:type="fixed"/>
        <w:tblCellMar>
          <w:top w:w="28" w:type="dxa"/>
          <w:left w:w="28" w:type="dxa"/>
          <w:bottom w:w="28" w:type="dxa"/>
          <w:right w:w="28" w:type="dxa"/>
        </w:tblCellMar>
      </w:tblPr>
      <w:tblGrid>
        <w:gridCol w:w="751"/>
        <w:gridCol w:w="2161"/>
      </w:tblGrid>
      <w:tr>
        <w:trPr/>
        <w:tc>
          <w:tcPr>
            <w:tcW w:w="75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By:</w:t>
            </w:r>
          </w:p>
        </w:tc>
        <w:tc>
          <w:tcPr>
            <w:tcW w:w="2161" w:type="dxa"/>
            <w:tcBorders>
              <w:bottom w:val="single" w:sz="6" w:space="0" w:color="000000"/>
            </w:tcBorders>
            <w:tcMar>
              <w:top w:w="0" w:type="dxa"/>
              <w:left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/s/ Kenneth T. Locke</w:t>
            </w:r>
          </w:p>
        </w:tc>
      </w:tr>
      <w:tr>
        <w:trPr/>
        <w:tc>
          <w:tcPr>
            <w:tcW w:w="75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Name:</w:t>
            </w:r>
          </w:p>
        </w:tc>
        <w:tc>
          <w:tcPr>
            <w:tcW w:w="216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Kenneth T. Locke</w:t>
            </w:r>
          </w:p>
        </w:tc>
      </w:tr>
      <w:tr>
        <w:trPr/>
        <w:tc>
          <w:tcPr>
            <w:tcW w:w="75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Date:</w:t>
            </w:r>
          </w:p>
        </w:tc>
        <w:tc>
          <w:tcPr>
            <w:tcW w:w="2161" w:type="dxa"/>
            <w:tcBorders>
              <w:bottom w:val="single" w:sz="6" w:space="0" w:color="000000"/>
            </w:tcBorders>
            <w:tcMar>
              <w:top w:w="0" w:type="dxa"/>
              <w:left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May 18,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b/>
          <w:i/>
          <w:color w:val="000000"/>
          <w:sz w:val="24"/>
          <w:u w:val="single"/>
        </w:rPr>
        <w:t>The language in this Release may change based on legal developments and evolving best</w:t>
      </w:r>
      <w:r>
        <w:rPr>
          <w:rFonts w:ascii="Times New Roman" w:hAnsi="Times New Roman"/>
          <w:color w:val="000000"/>
          <w:sz w:val="20"/>
        </w:rPr>
        <w:t xml:space="preserve"> </w:t>
      </w:r>
      <w:r>
        <w:rPr>
          <w:rFonts w:ascii="Times New Roman" w:hAnsi="Times New Roman"/>
          <w:b/>
          <w:i/>
          <w:color w:val="000000"/>
          <w:sz w:val="24"/>
          <w:u w:val="single"/>
        </w:rPr>
        <w:t>practices; this form is provided as an example of what will be included in the final Release</w:t>
      </w:r>
      <w:r>
        <w:rPr>
          <w:rFonts w:ascii="Times New Roman" w:hAnsi="Times New Roman"/>
          <w:color w:val="000000"/>
          <w:sz w:val="20"/>
        </w:rPr>
        <w:t xml:space="preserve"> </w:t>
      </w:r>
      <w:r>
        <w:rPr>
          <w:rFonts w:ascii="Times New Roman" w:hAnsi="Times New Roman"/>
          <w:b/>
          <w:i/>
          <w:color w:val="000000"/>
          <w:sz w:val="24"/>
          <w:u w:val="single"/>
        </w:rPr>
        <w:t>document.</w:t>
      </w:r>
      <w:r>
        <w:rPr>
          <w:rFonts w:ascii="Times New Roman" w:hAnsi="Times New Roman"/>
          <w:color w:val="000000"/>
          <w:sz w:val="24"/>
        </w:rPr>
        <w:t>]</w:t>
      </w:r>
      <w:r>
        <w:rPr>
          <w:rFonts w:ascii="Times New Roman" w:hAnsi="Times New Roman"/>
          <w:color w:val="000000"/>
          <w:sz w:val="16"/>
        </w:rPr>
        <w:t>1</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RELEASE OF ALL CLAIMS</w:t>
      </w:r>
    </w:p>
    <w:p>
      <w:pPr>
        <w:pStyle w:val="TextBody"/>
        <w:bidi w:val="0"/>
        <w:jc w:val="left"/>
        <w:rPr>
          <w:rFonts w:ascii="Times New Roman" w:hAnsi="Times New Roman"/>
          <w:sz w:val="20"/>
        </w:rPr>
      </w:pPr>
      <w:r>
        <w:rPr>
          <w:rFonts w:ascii="Times New Roman" w:hAnsi="Times New Roman"/>
          <w:color w:val="000000"/>
          <w:sz w:val="24"/>
        </w:rPr>
        <w:t>1. For valuable consideration, the adequacy of which is hereby acknowledged, [NAME]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for himself, his spouse, heirs, administrators, children, representatives, executors, successors, assigns, trusts for his benefit and all other persons claiming through Executive, if any (collectively, “</w:t>
      </w:r>
      <w:r>
        <w:rPr>
          <w:rFonts w:ascii="Times New Roman" w:hAnsi="Times New Roman"/>
          <w:color w:val="000000"/>
          <w:sz w:val="24"/>
          <w:u w:val="single"/>
        </w:rPr>
        <w:t>Releasers</w:t>
      </w:r>
      <w:r>
        <w:rPr>
          <w:rFonts w:ascii="Times New Roman" w:hAnsi="Times New Roman"/>
          <w:color w:val="000000"/>
          <w:sz w:val="20"/>
        </w:rPr>
        <w:t>”</w:t>
      </w:r>
      <w:r>
        <w:rPr>
          <w:rFonts w:ascii="Times New Roman" w:hAnsi="Times New Roman"/>
          <w:color w:val="000000"/>
          <w:sz w:val="24"/>
        </w:rPr>
        <w:t>), does hereby release, waive, and forever discharge [ProKidney,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 w:hAnsi="Times New Roman"/>
          <w:color w:val="000000"/>
          <w:sz w:val="24"/>
          <w:u w:val="single"/>
        </w:rPr>
        <w:t>Releasees</w:t>
      </w:r>
      <w:r>
        <w:rPr>
          <w:rFonts w:ascii="Times New Roman" w:hAnsi="Times New Roman"/>
          <w:color w:val="000000"/>
          <w:sz w:val="20"/>
        </w:rPr>
        <w:t>”</w:t>
      </w:r>
      <w:r>
        <w:rPr>
          <w:rFonts w:ascii="Times New Roman" w:hAnsi="Times New Roman"/>
          <w:color w:val="000000"/>
          <w:sz w:val="24"/>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[●](the “</w:t>
      </w:r>
      <w:r>
        <w:rPr>
          <w:rFonts w:ascii="Times New Roman" w:hAnsi="Times New Roman"/>
          <w:color w:val="000000"/>
          <w:sz w:val="24"/>
          <w:u w:val="single"/>
        </w:rPr>
        <w:t>Employment Letter</w:t>
      </w:r>
      <w:r>
        <w:rPr>
          <w:rFonts w:ascii="Times New Roman" w:hAnsi="Times New Roman"/>
          <w:color w:val="000000"/>
          <w:sz w:val="20"/>
        </w:rPr>
        <w:t>”</w:t>
      </w:r>
      <w:r>
        <w:rPr>
          <w:rFonts w:ascii="Times New Roman" w:hAnsi="Times New Roman"/>
          <w:color w:val="000000"/>
          <w:sz w:val="24"/>
        </w:rPr>
        <w:t>), the organizational documents of the Company or any of its affiliates or any other agreement providing for indemnification regardless of when any claim is filed, (b) any claims or rights under directors and officers liability insurance, (c) any claims or rights accruing to any Releaser in its capacity as an equity holder of ProKidney Corp. or any of its subsidiaries, (d) any claims for vested benefits under an employee benefit plan in which Executive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participated during his employment; and (e) any claims that cannot be waived as a matter of law, including unemployment insurance and workers’ compensation insurance.</w:t>
      </w:r>
    </w:p>
    <w:p>
      <w:pPr>
        <w:pStyle w:val="TextBody"/>
        <w:bidi w:val="0"/>
        <w:jc w:val="left"/>
        <w:rPr>
          <w:rFonts w:ascii="Times New Roman" w:hAnsi="Times New Roman"/>
          <w:color w:val="000000"/>
          <w:sz w:val="24"/>
        </w:rPr>
      </w:pPr>
      <w:r>
        <w:rPr>
          <w:rFonts w:ascii="Times New Roman" w:hAnsi="Times New Roman"/>
          <w:color w:val="000000"/>
          <w:sz w:val="24"/>
        </w:rPr>
        <w:t>2. Excluded from this release and waiver are any claims which cannot be waived by law, including but not limited to the right to participate in an investigation conducted by certain</w:t>
      </w:r>
    </w:p>
    <w:p>
      <w:pPr>
        <w:pStyle w:val="TextBody"/>
        <w:bidi w:val="0"/>
        <w:jc w:val="left"/>
        <w:rPr>
          <w:rFonts w:ascii="Times New Roman" w:hAnsi="Times New Roman"/>
          <w:color w:val="000000"/>
          <w:sz w:val="24"/>
        </w:rPr>
      </w:pPr>
      <w:r>
        <w:rPr>
          <w:rFonts w:ascii="Times New Roman" w:hAnsi="Times New Roman"/>
          <w:color w:val="000000"/>
          <w:sz w:val="24"/>
        </w:rPr>
        <w:t>government agencies. Executive does, however, waive Executive’s right to any monetary recovery should any agency (such as the Equal Employment Opportunity Commission) pursue any claims on Executive’s behalf. Executive represents and warrants that Executive has not filed any complaint, charge, or lawsuit against the Releasees with any government agency or any court.</w:t>
      </w:r>
    </w:p>
    <w:p>
      <w:pPr>
        <w:pStyle w:val="TextBody"/>
        <w:bidi w:val="0"/>
        <w:jc w:val="left"/>
        <w:rPr>
          <w:rFonts w:ascii="Times New Roman" w:hAnsi="Times New Roman"/>
          <w:color w:val="000000"/>
          <w:sz w:val="24"/>
        </w:rPr>
      </w:pPr>
      <w:r>
        <w:rPr>
          <w:rFonts w:ascii="Times New Roman" w:hAnsi="Times New Roman"/>
          <w:color w:val="000000"/>
          <w:sz w:val="24"/>
        </w:rPr>
        <w:t>3. 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pStyle w:val="TextBody"/>
        <w:bidi w:val="0"/>
        <w:jc w:val="left"/>
        <w:rPr>
          <w:rFonts w:ascii="Times New Roman" w:hAnsi="Times New Roman"/>
          <w:color w:val="000000"/>
          <w:sz w:val="24"/>
        </w:rPr>
      </w:pPr>
      <w:r>
        <w:rPr>
          <w:rFonts w:ascii="Times New Roman" w:hAnsi="Times New Roman"/>
          <w:color w:val="000000"/>
          <w:sz w:val="24"/>
        </w:rPr>
        <w:t>4. Executive acknowledges and recites that:</w:t>
      </w:r>
    </w:p>
    <w:p>
      <w:pPr>
        <w:pStyle w:val="TextBody"/>
        <w:bidi w:val="0"/>
        <w:jc w:val="left"/>
        <w:rPr>
          <w:rFonts w:ascii="Times New Roman" w:hAnsi="Times New Roman"/>
          <w:color w:val="000000"/>
          <w:sz w:val="24"/>
        </w:rPr>
      </w:pPr>
      <w:r>
        <w:rPr>
          <w:rFonts w:ascii="Times New Roman" w:hAnsi="Times New Roman"/>
          <w:color w:val="000000"/>
          <w:sz w:val="24"/>
        </w:rPr>
        <w:t>(a) Executive has executed this General Release knowingly and voluntarily;</w:t>
      </w:r>
    </w:p>
    <w:p>
      <w:pPr>
        <w:pStyle w:val="TextBody"/>
        <w:bidi w:val="0"/>
        <w:jc w:val="left"/>
        <w:rPr>
          <w:rFonts w:ascii="Times New Roman" w:hAnsi="Times New Roman"/>
          <w:color w:val="000000"/>
          <w:sz w:val="24"/>
        </w:rPr>
      </w:pPr>
      <w:r>
        <w:rPr>
          <w:rFonts w:ascii="Times New Roman" w:hAnsi="Times New Roman"/>
          <w:color w:val="000000"/>
          <w:sz w:val="24"/>
        </w:rPr>
        <w:t>(b) Executive has read and understands this General Release in its entirety;</w:t>
      </w:r>
    </w:p>
    <w:p>
      <w:pPr>
        <w:pStyle w:val="TextBody"/>
        <w:bidi w:val="0"/>
        <w:jc w:val="left"/>
        <w:rPr>
          <w:rFonts w:ascii="Times New Roman" w:hAnsi="Times New Roman"/>
          <w:color w:val="000000"/>
          <w:sz w:val="24"/>
        </w:rPr>
      </w:pPr>
      <w:r>
        <w:rPr>
          <w:rFonts w:ascii="Times New Roman" w:hAnsi="Times New Roman"/>
          <w:color w:val="000000"/>
          <w:sz w:val="24"/>
        </w:rPr>
        <w:t>(c) Executive has been advised and directed orally and in writing (and this subsection (c) constitutes such written direction) to seek legal counsel and any other advice he wishes with respect to the terms of this General Release before executing it;</w:t>
      </w:r>
    </w:p>
    <w:p>
      <w:pPr>
        <w:pStyle w:val="TextBody"/>
        <w:bidi w:val="0"/>
        <w:jc w:val="left"/>
        <w:rPr>
          <w:rFonts w:ascii="Times New Roman" w:hAnsi="Times New Roman"/>
          <w:color w:val="000000"/>
          <w:sz w:val="24"/>
        </w:rPr>
      </w:pPr>
      <w:r>
        <w:rPr>
          <w:rFonts w:ascii="Times New Roman" w:hAnsi="Times New Roman"/>
          <w:color w:val="000000"/>
          <w:sz w:val="24"/>
        </w:rPr>
        <w:t>(d) Executive’s execution of this General Release has not been forced by any employee or agent of the Company, and Executive has had an opportunity to negotiate about the terms of this General Release;</w:t>
      </w:r>
    </w:p>
    <w:p>
      <w:pPr>
        <w:pStyle w:val="TextBody"/>
        <w:bidi w:val="0"/>
        <w:jc w:val="left"/>
        <w:rPr>
          <w:rFonts w:ascii="Times New Roman" w:hAnsi="Times New Roman"/>
          <w:color w:val="000000"/>
          <w:sz w:val="24"/>
        </w:rPr>
      </w:pPr>
      <w:r>
        <w:rPr>
          <w:rFonts w:ascii="Times New Roman" w:hAnsi="Times New Roman"/>
          <w:color w:val="000000"/>
          <w:sz w:val="24"/>
        </w:rPr>
        <w:t>(e) Executive has been given at least twenty-one (21) days to consider this General Release, and if executed prior to the expiration of the twenty-one (21) day period, such execution is knowing and voluntary; and</w:t>
      </w:r>
    </w:p>
    <w:p>
      <w:pPr>
        <w:pStyle w:val="TextBody"/>
        <w:bidi w:val="0"/>
        <w:jc w:val="left"/>
        <w:rPr>
          <w:rFonts w:ascii="Times New Roman" w:hAnsi="Times New Roman"/>
          <w:color w:val="000000"/>
          <w:sz w:val="24"/>
        </w:rPr>
      </w:pPr>
      <w:r>
        <w:rPr>
          <w:rFonts w:ascii="Times New Roman" w:hAnsi="Times New Roman"/>
          <w:color w:val="000000"/>
          <w:sz w:val="24"/>
        </w:rPr>
        <w:t>(f) The additional benefits and other promises that Executive is to receive under the Employment Letter are sufficient consideration for this General Release.</w:t>
      </w:r>
    </w:p>
    <w:p>
      <w:pPr>
        <w:pStyle w:val="TextBody"/>
        <w:bidi w:val="0"/>
        <w:jc w:val="left"/>
        <w:rPr>
          <w:rFonts w:ascii="Times New Roman" w:hAnsi="Times New Roman"/>
          <w:color w:val="000000"/>
          <w:sz w:val="24"/>
        </w:rPr>
      </w:pPr>
      <w:r>
        <w:rPr>
          <w:rFonts w:ascii="Times New Roman" w:hAnsi="Times New Roman"/>
          <w:color w:val="000000"/>
          <w:sz w:val="24"/>
        </w:rPr>
        <w:t>5. This General Release shall be governed by the internal laws (and not the choice of laws) of the State of Delaware, except for the application of pre-emptive Federal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 The parties hereby agree that any suit, action or proceeding seeking to enforce any provision of, or based on any matter arising out of or in connection with, this General Release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 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(Signature page follows)</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READ THIS AGREEMENT CAREFULLY. IT CONTAINS A RELEASE OF ALL KNOWN AND UNKNOWN CLAIMS.</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Executive:</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prok-ex31_1.htm"/>
      <w:bookmarkStart w:id="25" w:name="ksprokex31_1"/>
      <w:bookmarkEnd w:id="24"/>
      <w:bookmarkEnd w:id="2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Culleton,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1951"/>
        <w:gridCol w:w="146"/>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prok-ex31_2.htm"/>
      <w:bookmarkStart w:id="27" w:name="ksprok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Coulston,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prok-ex32_1.htm"/>
      <w:bookmarkStart w:id="29" w:name="ksprok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1951"/>
        <w:gridCol w:w="146"/>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prok-ex32_2.htm"/>
      <w:bookmarkStart w:id="31" w:name="ksprok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25411</Words>
  <Characters>139224</Characters>
  <CharactersWithSpaces>165750</CharactersWithSpaces>
  <Paragraphs>6217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