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rok-20240331.htm"/>
      <w:bookmarkStart w:id="1" w:name="ksprok20240331"/>
      <w:bookmarkEnd w:id="0"/>
      <w:bookmarkEnd w:id="1"/>
      <w:r>
        <w:rPr/>
        <w:t> </w: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8695690</wp:posOffset>
                </wp:positionV>
                <wp:extent cx="5943600" cy="317500"/>
                <wp:effectExtent l="0" t="0" r="0" b="0"/>
                <wp:wrapNone/>
                <wp:docPr id="1" name="Frame1"/>
                <a:graphic xmlns:a="http://schemas.openxmlformats.org/drawingml/2006/main">
                  <a:graphicData uri="http://schemas.microsoft.com/office/word/2010/wordprocessingShape">
                    <wps:wsp>
                      <wps:cNvSpPr txBox="1"/>
                      <wps:spPr>
                        <a:xfrm>
                          <a:off x="0" y="0"/>
                          <a:ext cx="5943600" cy="317500"/>
                        </a:xfrm>
                        <a:prstGeom prst="rect"/>
                        <a:solidFill>
                          <a:srgbClr val="FFFFFF"/>
                        </a:solidFill>
                      </wps:spPr>
                      <wps:txbx>
                        <w:txbxContent>
                          <w:p>
                            <w:pPr>
                              <w:pStyle w:val="TextBody"/>
                              <w:bidi w:val="0"/>
                              <w:spacing w:before="0" w:after="283"/>
                              <w:jc w:val="left"/>
                              <w:rPr>
                                <w:rFonts w:ascii="Times New Roman" w:hAnsi="Times New Roman"/>
                                <w:color w:val="000000"/>
                                <w:sz w:val="18"/>
                              </w:rPr>
                            </w:pPr>
                            <w:r>
                              <w:rPr>
                                <w:rFonts w:ascii="Times New Roman" w:hAnsi="Times New Roman"/>
                                <w:color w:val="000000"/>
                                <w:sz w:val="18"/>
                              </w:rPr>
                              <w:t>DOCPROPERTY DOCXDOCID DMS=IManage Format=&lt;&lt;NUM&gt;&gt;v.&lt;&lt;VER&gt;&gt; 512916617v.3</w:t>
                            </w:r>
                          </w:p>
                        </w:txbxContent>
                      </wps:txbx>
                      <wps:bodyPr anchor="t" lIns="0" tIns="0" rIns="0" bIns="0">
                        <a:noAutofit/>
                      </wps:bodyPr>
                    </wps:wsp>
                  </a:graphicData>
                </a:graphic>
              </wp:anchor>
            </w:drawing>
          </mc:Choice>
          <mc:Fallback>
            <w:pict>
              <v:rect style="position:absolute;rotation:-0;width:468pt;height:25pt;mso-wrap-distance-left:0pt;mso-wrap-distance-right:0pt;mso-wrap-distance-top:0pt;mso-wrap-distance-bottom:0pt;margin-top:684.7pt;mso-position-vertical-relative:page;margin-left:0pt;mso-position-horizontal-relative:page">
                <v:textbox>
                  <w:txbxContent>
                    <w:p>
                      <w:pPr>
                        <w:pStyle w:val="TextBody"/>
                        <w:bidi w:val="0"/>
                        <w:spacing w:before="0" w:after="283"/>
                        <w:jc w:val="left"/>
                        <w:rPr>
                          <w:rFonts w:ascii="Times New Roman" w:hAnsi="Times New Roman"/>
                          <w:color w:val="000000"/>
                          <w:sz w:val="18"/>
                        </w:rPr>
                      </w:pPr>
                      <w:r>
                        <w:rPr>
                          <w:rFonts w:ascii="Times New Roman" w:hAnsi="Times New Roman"/>
                          <w:color w:val="000000"/>
                          <w:sz w:val="18"/>
                        </w:rPr>
                        <w:t>DOCPROPERTY DOCXDOCID DMS=IManage Format=&lt;&lt;NUM&gt;&gt;v.&lt;&lt;VER&gt;&gt; 512916617v.3</w:t>
                      </w:r>
                    </w:p>
                  </w:txbxContent>
                </v:textbox>
                <w10:wrap type="none"/>
              </v:rect>
            </w:pict>
          </mc:Fallback>
        </mc:AlternateConten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001-40560</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Cayman Islands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98-1586514</w:t>
            </w:r>
          </w:p>
        </w:tc>
      </w:tr>
      <w:tr>
        <w:trPr/>
        <w:tc>
          <w:tcPr>
            <w:tcW w:w="30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2000 Frontis Plaza Blvd., Suite 250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Winston-Salem, NC</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27103</w:t>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(336) 999-7019</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320" w:type="dxa"/>
        <w:jc w:val="left"/>
        <w:tblInd w:w="0" w:type="dxa"/>
        <w:tblLayout w:type="fixed"/>
        <w:tblCellMar>
          <w:top w:w="28" w:type="dxa"/>
          <w:left w:w="28" w:type="dxa"/>
          <w:bottom w:w="28" w:type="dxa"/>
          <w:right w:w="28" w:type="dxa"/>
        </w:tblCellMar>
      </w:tblPr>
      <w:tblGrid>
        <w:gridCol w:w="3886"/>
        <w:gridCol w:w="146"/>
        <w:gridCol w:w="826"/>
        <w:gridCol w:w="146"/>
        <w:gridCol w:w="331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88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ordinary shares,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PROK</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tbl>
      <w:tblPr>
        <w:tblW w:w="7198" w:type="dxa"/>
        <w:jc w:val="left"/>
        <w:tblInd w:w="0" w:type="dxa"/>
        <w:tblLayout w:type="fixed"/>
        <w:tblCellMar>
          <w:top w:w="28" w:type="dxa"/>
          <w:left w:w="28" w:type="dxa"/>
          <w:bottom w:w="28" w:type="dxa"/>
          <w:right w:w="28" w:type="dxa"/>
        </w:tblCellMar>
      </w:tblPr>
      <w:tblGrid>
        <w:gridCol w:w="3886"/>
        <w:gridCol w:w="146"/>
        <w:gridCol w:w="316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tcMar>
              <w:top w:w="0" w:type="dxa"/>
              <w:left w:w="0" w:type="dxa"/>
              <w:right w:w="0" w:type="dxa"/>
            </w:tcMar>
            <w:vAlign w:val="center"/>
          </w:tcPr>
          <w:p>
            <w:pPr>
              <w:pStyle w:val="TableContents"/>
              <w:bidi w:val="0"/>
              <w:spacing w:before="80" w:after="283"/>
              <w:jc w:val="left"/>
              <w:rPr>
                <w:rFonts w:ascii="Times New Roman" w:hAnsi="Times New Roman"/>
                <w:b/>
                <w:color w:val="000000"/>
                <w:sz w:val="18"/>
              </w:rPr>
            </w:pPr>
            <w:r>
              <w:rPr>
                <w:rFonts w:ascii="Times New Roman" w:hAnsi="Times New Roman"/>
                <w:b/>
                <w:color w:val="000000"/>
                <w:sz w:val="18"/>
              </w:rPr>
              <w:t>Class of Stock</w:t>
            </w:r>
          </w:p>
        </w:tc>
        <w:tc>
          <w:tcPr>
            <w:tcW w:w="146" w:type="dxa"/>
            <w:tcBorders>
              <w:bottom w:val="single" w:sz="4" w:space="0" w:color="000000"/>
            </w:tcBorders>
            <w:tcMar>
              <w:top w:w="0" w:type="dxa"/>
              <w:left w:w="0" w:type="dxa"/>
              <w:right w:w="0" w:type="dxa"/>
            </w:tcMar>
            <w:vAlign w:val="center"/>
          </w:tcPr>
          <w:p>
            <w:pPr>
              <w:pStyle w:val="TableContents"/>
              <w:bidi w:val="0"/>
              <w:spacing w:before="80" w:after="283"/>
              <w:jc w:val="left"/>
              <w:rPr/>
            </w:pPr>
            <w:r>
              <w:rPr/>
              <w:t> </w:t>
            </w:r>
          </w:p>
        </w:tc>
        <w:tc>
          <w:tcPr>
            <w:tcW w:w="3166" w:type="dxa"/>
            <w:tcBorders>
              <w:bottom w:val="single" w:sz="4" w:space="0" w:color="000000"/>
            </w:tcBorders>
            <w:tcMar>
              <w:top w:w="0" w:type="dxa"/>
              <w:left w:w="0" w:type="dxa"/>
              <w:right w:w="0" w:type="dxa"/>
            </w:tcMar>
            <w:vAlign w:val="center"/>
          </w:tcPr>
          <w:p>
            <w:pPr>
              <w:pStyle w:val="TableContents"/>
              <w:bidi w:val="0"/>
              <w:spacing w:before="80" w:after="283"/>
              <w:jc w:val="left"/>
              <w:rPr>
                <w:rFonts w:ascii="Times New Roman" w:hAnsi="Times New Roman"/>
                <w:b/>
                <w:color w:val="000000"/>
                <w:sz w:val="18"/>
              </w:rPr>
            </w:pPr>
            <w:r>
              <w:rPr>
                <w:rFonts w:ascii="Times New Roman" w:hAnsi="Times New Roman"/>
                <w:b/>
                <w:color w:val="000000"/>
                <w:sz w:val="18"/>
              </w:rPr>
              <w:t>Shares Outstanding as of May 10, 2024</w:t>
            </w:r>
          </w:p>
        </w:tc>
      </w:tr>
      <w:tr>
        <w:trPr/>
        <w:tc>
          <w:tcPr>
            <w:tcW w:w="388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Class A ordinary shares, par value $0.0001 per share</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18"/>
              </w:rPr>
            </w:pPr>
            <w:r>
              <w:rPr>
                <w:rFonts w:ascii="Times New Roman" w:hAnsi="Times New Roman"/>
                <w:color w:val="000000"/>
                <w:sz w:val="18"/>
              </w:rPr>
              <w:t>63,923,230</w:t>
            </w:r>
          </w:p>
        </w:tc>
      </w:tr>
      <w:tr>
        <w:trPr/>
        <w:tc>
          <w:tcPr>
            <w:tcW w:w="388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Class B ordinary shares, par value $0.0001 per share</w:t>
            </w:r>
          </w:p>
        </w:tc>
        <w:tc>
          <w:tcPr>
            <w:tcW w:w="146" w:type="dxa"/>
            <w:tcBorders/>
            <w:tcMar>
              <w:top w:w="0" w:type="dxa"/>
              <w:left w:w="0" w:type="dxa"/>
              <w:bottom w:w="0" w:type="dxa"/>
              <w:right w:w="0" w:type="dxa"/>
            </w:tcMar>
            <w:vAlign w:val="center"/>
          </w:tcPr>
          <w:p>
            <w:pPr>
              <w:pStyle w:val="TableContents"/>
              <w:bidi w:val="0"/>
              <w:spacing w:before="8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18"/>
              </w:rPr>
            </w:pPr>
            <w:r>
              <w:rPr>
                <w:rFonts w:ascii="Times New Roman" w:hAnsi="Times New Roman"/>
                <w:color w:val="000000"/>
                <w:sz w:val="18"/>
              </w:rPr>
              <w:t xml:space="preserve">167,774,809 </w:t>
            </w:r>
          </w:p>
        </w:tc>
      </w:tr>
    </w:tbl>
    <w:p>
      <w:pPr>
        <w:pStyle w:val="TextBody"/>
        <w:pBdr>
          <w:bottom w:val="double" w:sz="6" w:space="1" w:color="000000"/>
        </w:pBdr>
        <w:bidi w:val="0"/>
        <w:jc w:val="left"/>
        <w:rPr>
          <w:rFonts w:ascii="Times New Roman" w:hAnsi="Times New Roman"/>
          <w:color w:val="000000"/>
          <w:sz w:val="4"/>
        </w:rPr>
      </w:pPr>
      <w:r>
        <w:rPr>
          <w:rFonts w:ascii="Times New Roman" w:hAnsi="Times New Roman"/>
          <w:color w:val="000000"/>
          <w:sz w:val="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5"/>
        <w:gridCol w:w="8691"/>
        <w:gridCol w:w="649"/>
      </w:tblGrid>
      <w:tr>
        <w:trPr/>
        <w:tc>
          <w:tcPr>
            <w:tcW w:w="865" w:type="dxa"/>
            <w:tcBorders/>
            <w:vAlign w:val="center"/>
          </w:tcPr>
          <w:p>
            <w:pPr>
              <w:pStyle w:val="TableContents"/>
              <w:bidi w:val="0"/>
              <w:spacing w:before="0" w:after="283"/>
              <w:jc w:val="left"/>
              <w:rPr>
                <w:sz w:val="4"/>
                <w:szCs w:val="4"/>
              </w:rPr>
            </w:pPr>
            <w:r>
              <w:rPr>
                <w:sz w:val="4"/>
                <w:szCs w:val="4"/>
              </w:rPr>
            </w:r>
          </w:p>
        </w:tc>
        <w:tc>
          <w:tcPr>
            <w:tcW w:w="869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_loss">
              <w:r>
                <w:rPr>
                  <w:rStyle w:val="InternetLink"/>
                  <w:rFonts w:ascii="Times New Roman" w:hAnsi="Times New Roman"/>
                  <w:color w:val="0000FF"/>
                  <w:sz w:val="20"/>
                  <w:u w:val="single"/>
                </w:rPr>
                <w:t>Condensed Consolidated Statements of Comprehensive Loss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deficit">
              <w:r>
                <w:rPr>
                  <w:rStyle w:val="InternetLink"/>
                  <w:rFonts w:ascii="Times New Roman" w:hAnsi="Times New Roman"/>
                  <w:color w:val="0000FF"/>
                  <w:sz w:val="20"/>
                  <w:u w:val="single"/>
                </w:rPr>
                <w:t>Condensed Consolidated Statements of Changes in Redeemable Noncontrolling Interest and Shareholders’ Deficit</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
              <w:r>
                <w:rPr>
                  <w:rStyle w:val="InternetLink"/>
                  <w:rFonts w:ascii="Times New Roman" w:hAnsi="Times New Roman"/>
                  <w:color w:val="0000FF"/>
                  <w:sz w:val="20"/>
                  <w:u w:val="single"/>
                </w:rPr>
                <w:t>Notes to Unaudited Condensed Consolidated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Condensed Consolidated Financial Statements.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50"/>
        <w:gridCol w:w="251"/>
        <w:gridCol w:w="1184"/>
        <w:gridCol w:w="266"/>
        <w:gridCol w:w="246"/>
        <w:gridCol w:w="300"/>
        <w:gridCol w:w="1415"/>
        <w:gridCol w:w="693"/>
      </w:tblGrid>
      <w:tr>
        <w:trPr/>
        <w:tc>
          <w:tcPr>
            <w:tcW w:w="58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5850" w:type="dxa"/>
            <w:tcBorders/>
            <w:shd w:fill="FFFFFF" w:val="clear"/>
            <w:vAlign w:val="center"/>
          </w:tcPr>
          <w:p>
            <w:pPr>
              <w:pStyle w:val="TableContents"/>
              <w:bidi w:val="0"/>
              <w:spacing w:before="0" w:after="283"/>
              <w:jc w:val="both"/>
              <w:rPr/>
            </w:pPr>
            <w:r>
              <w:rPr/>
              <w:t> </w:t>
            </w:r>
          </w:p>
        </w:tc>
        <w:tc>
          <w:tcPr>
            <w:tcW w:w="14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both"/>
              <w:rPr/>
            </w:pPr>
            <w:r>
              <w:rPr/>
              <w:t> </w:t>
            </w:r>
          </w:p>
        </w:tc>
        <w:tc>
          <w:tcPr>
            <w:tcW w:w="171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693" w:type="dxa"/>
            <w:tcBorders/>
            <w:shd w:fill="FFFFFF" w:val="clear"/>
            <w:vAlign w:val="center"/>
          </w:tcPr>
          <w:p>
            <w:pPr>
              <w:pStyle w:val="TableContents"/>
              <w:bidi w:val="0"/>
              <w:spacing w:before="0" w:after="283"/>
              <w:jc w:val="center"/>
              <w:rPr/>
            </w:pPr>
            <w:r>
              <w:rPr/>
              <w:t> </w:t>
            </w:r>
          </w:p>
        </w:tc>
      </w:tr>
      <w:tr>
        <w:trPr/>
        <w:tc>
          <w:tcPr>
            <w:tcW w:w="5850" w:type="dxa"/>
            <w:tcBorders/>
            <w:shd w:fill="FFFFFF" w:val="clear"/>
            <w:vAlign w:val="center"/>
          </w:tcPr>
          <w:p>
            <w:pPr>
              <w:pStyle w:val="TableContents"/>
              <w:bidi w:val="0"/>
              <w:spacing w:before="0" w:after="283"/>
              <w:jc w:val="both"/>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both"/>
              <w:rPr/>
            </w:pPr>
            <w:r>
              <w:rPr/>
              <w:t> </w:t>
            </w:r>
          </w:p>
        </w:tc>
        <w:tc>
          <w:tcPr>
            <w:tcW w:w="1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35"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715" w:type="dxa"/>
            <w:gridSpan w:val="2"/>
            <w:tcBorders/>
            <w:shd w:fill="CFF0FC" w:val="clear"/>
            <w:vAlign w:val="center"/>
          </w:tcPr>
          <w:p>
            <w:pPr>
              <w:pStyle w:val="TableContents"/>
              <w:bidi w:val="0"/>
              <w:spacing w:before="0" w:after="283"/>
              <w:jc w:val="both"/>
              <w:rPr/>
            </w:pPr>
            <w:r>
              <w:rPr/>
              <w:t> </w:t>
            </w:r>
          </w:p>
        </w:tc>
        <w:tc>
          <w:tcPr>
            <w:tcW w:w="693" w:type="dxa"/>
            <w:tcBorders/>
            <w:shd w:fill="CFF0FC" w:val="clear"/>
            <w:vAlign w:val="center"/>
          </w:tcPr>
          <w:p>
            <w:pPr>
              <w:pStyle w:val="TableContents"/>
              <w:bidi w:val="0"/>
              <w:spacing w:before="0" w:after="283"/>
              <w:ind w:left="0" w:right="0" w:firstLine="200"/>
              <w:jc w:val="both"/>
              <w:rPr/>
            </w:pPr>
            <w:r>
              <w:rPr/>
              <w:t> </w:t>
            </w:r>
          </w:p>
        </w:tc>
      </w:tr>
      <w:tr>
        <w:trPr/>
        <w:tc>
          <w:tcPr>
            <w:tcW w:w="58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84,389</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60,649</w:t>
            </w:r>
          </w:p>
        </w:tc>
        <w:tc>
          <w:tcPr>
            <w:tcW w:w="693" w:type="dxa"/>
            <w:tcBorders/>
            <w:shd w:fill="FFFFFF" w:val="clear"/>
            <w:vAlign w:val="center"/>
          </w:tcPr>
          <w:p>
            <w:pPr>
              <w:pStyle w:val="TableContents"/>
              <w:bidi w:val="0"/>
              <w:spacing w:before="0" w:after="283"/>
              <w:ind w:left="0" w:right="0" w:firstLine="200"/>
              <w:jc w:val="left"/>
              <w:rPr/>
            </w:pPr>
            <w:r>
              <w:rPr/>
              <w:t> </w:t>
            </w:r>
          </w:p>
        </w:tc>
      </w:tr>
      <w:tr>
        <w:trPr/>
        <w:tc>
          <w:tcPr>
            <w:tcW w:w="58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51"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244,609</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302,301</w:t>
            </w:r>
          </w:p>
        </w:tc>
        <w:tc>
          <w:tcPr>
            <w:tcW w:w="693" w:type="dxa"/>
            <w:tcBorders/>
            <w:shd w:fill="CFF0FC" w:val="clear"/>
            <w:vAlign w:val="center"/>
          </w:tcPr>
          <w:p>
            <w:pPr>
              <w:pStyle w:val="TableContents"/>
              <w:bidi w:val="0"/>
              <w:spacing w:before="0" w:after="283"/>
              <w:ind w:left="0" w:right="0" w:firstLine="200"/>
              <w:jc w:val="left"/>
              <w:rPr/>
            </w:pPr>
            <w:r>
              <w:rPr/>
              <w:t> </w:t>
            </w:r>
          </w:p>
        </w:tc>
      </w:tr>
      <w:tr>
        <w:trPr/>
        <w:tc>
          <w:tcPr>
            <w:tcW w:w="58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receivable</w:t>
            </w:r>
          </w:p>
        </w:tc>
        <w:tc>
          <w:tcPr>
            <w:tcW w:w="25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693" w:type="dxa"/>
            <w:tcBorders/>
            <w:shd w:fill="FFFFFF" w:val="clear"/>
            <w:vAlign w:val="center"/>
          </w:tcPr>
          <w:p>
            <w:pPr>
              <w:pStyle w:val="TableContents"/>
              <w:bidi w:val="0"/>
              <w:spacing w:before="0" w:after="283"/>
              <w:ind w:left="0" w:right="0" w:firstLine="200"/>
              <w:jc w:val="left"/>
              <w:rPr/>
            </w:pPr>
            <w:r>
              <w:rPr/>
              <w:t> </w:t>
            </w:r>
          </w:p>
        </w:tc>
      </w:tr>
      <w:tr>
        <w:trPr/>
        <w:tc>
          <w:tcPr>
            <w:tcW w:w="58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assets</w:t>
            </w:r>
          </w:p>
        </w:tc>
        <w:tc>
          <w:tcPr>
            <w:tcW w:w="251"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w:t>
            </w:r>
          </w:p>
        </w:tc>
        <w:tc>
          <w:tcPr>
            <w:tcW w:w="693" w:type="dxa"/>
            <w:tcBorders/>
            <w:shd w:fill="CFF0FC" w:val="clear"/>
            <w:vAlign w:val="center"/>
          </w:tcPr>
          <w:p>
            <w:pPr>
              <w:pStyle w:val="TableContents"/>
              <w:bidi w:val="0"/>
              <w:spacing w:before="0" w:after="283"/>
              <w:ind w:left="0" w:right="0" w:firstLine="200"/>
              <w:jc w:val="left"/>
              <w:rPr/>
            </w:pPr>
            <w:r>
              <w:rPr/>
              <w:t> </w:t>
            </w:r>
          </w:p>
        </w:tc>
      </w:tr>
      <w:tr>
        <w:trPr/>
        <w:tc>
          <w:tcPr>
            <w:tcW w:w="58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clinical</w:t>
            </w:r>
          </w:p>
        </w:tc>
        <w:tc>
          <w:tcPr>
            <w:tcW w:w="25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6,151</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w:t>
            </w:r>
          </w:p>
        </w:tc>
        <w:tc>
          <w:tcPr>
            <w:tcW w:w="693" w:type="dxa"/>
            <w:tcBorders/>
            <w:shd w:fill="FFFFFF" w:val="clear"/>
            <w:vAlign w:val="center"/>
          </w:tcPr>
          <w:p>
            <w:pPr>
              <w:pStyle w:val="TableContents"/>
              <w:bidi w:val="0"/>
              <w:spacing w:before="0" w:after="283"/>
              <w:ind w:left="0" w:right="0" w:firstLine="200"/>
              <w:jc w:val="left"/>
              <w:rPr/>
            </w:pPr>
            <w:r>
              <w:rPr/>
              <w:t> </w:t>
            </w:r>
          </w:p>
        </w:tc>
      </w:tr>
      <w:tr>
        <w:trPr/>
        <w:tc>
          <w:tcPr>
            <w:tcW w:w="58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850"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current assets</w:t>
            </w:r>
          </w:p>
        </w:tc>
        <w:tc>
          <w:tcPr>
            <w:tcW w:w="25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340,158</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374,146</w:t>
            </w:r>
          </w:p>
        </w:tc>
        <w:tc>
          <w:tcPr>
            <w:tcW w:w="693" w:type="dxa"/>
            <w:tcBorders/>
            <w:shd w:fill="FFFFFF" w:val="clear"/>
            <w:vAlign w:val="center"/>
          </w:tcPr>
          <w:p>
            <w:pPr>
              <w:pStyle w:val="TableContents"/>
              <w:bidi w:val="0"/>
              <w:spacing w:before="0" w:after="283"/>
              <w:ind w:left="0" w:right="0" w:firstLine="500"/>
              <w:jc w:val="left"/>
              <w:rPr/>
            </w:pPr>
            <w:r>
              <w:rPr/>
              <w:t> </w:t>
            </w:r>
          </w:p>
        </w:tc>
      </w:tr>
      <w:tr>
        <w:trPr/>
        <w:tc>
          <w:tcPr>
            <w:tcW w:w="5850" w:type="dxa"/>
            <w:tcBorders/>
            <w:shd w:fill="FFFFFF" w:val="clear"/>
            <w:vAlign w:val="center"/>
          </w:tcPr>
          <w:p>
            <w:pPr>
              <w:pStyle w:val="TableContents"/>
              <w:bidi w:val="0"/>
              <w:spacing w:before="0" w:after="283"/>
              <w:ind w:left="500" w:right="0" w:firstLine="500"/>
              <w:jc w:val="left"/>
              <w:rPr/>
            </w:pPr>
            <w:r>
              <w:rPr/>
              <w:t> </w:t>
            </w:r>
          </w:p>
        </w:tc>
        <w:tc>
          <w:tcPr>
            <w:tcW w:w="1435"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15" w:type="dxa"/>
            <w:gridSpan w:val="2"/>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r>
      <w:tr>
        <w:trPr/>
        <w:tc>
          <w:tcPr>
            <w:tcW w:w="58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251"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41,937</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42,143</w:t>
            </w:r>
          </w:p>
        </w:tc>
        <w:tc>
          <w:tcPr>
            <w:tcW w:w="693" w:type="dxa"/>
            <w:tcBorders/>
            <w:shd w:fill="CFF0FC" w:val="clear"/>
            <w:vAlign w:val="center"/>
          </w:tcPr>
          <w:p>
            <w:pPr>
              <w:pStyle w:val="TableContents"/>
              <w:bidi w:val="0"/>
              <w:spacing w:before="0" w:after="283"/>
              <w:jc w:val="left"/>
              <w:rPr/>
            </w:pPr>
            <w:r>
              <w:rPr/>
              <w:t> </w:t>
            </w:r>
          </w:p>
        </w:tc>
      </w:tr>
      <w:tr>
        <w:trPr/>
        <w:tc>
          <w:tcPr>
            <w:tcW w:w="58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 net</w:t>
            </w:r>
          </w:p>
        </w:tc>
        <w:tc>
          <w:tcPr>
            <w:tcW w:w="25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w:t>
            </w:r>
          </w:p>
        </w:tc>
        <w:tc>
          <w:tcPr>
            <w:tcW w:w="693" w:type="dxa"/>
            <w:tcBorders/>
            <w:shd w:fill="FFFFFF" w:val="clear"/>
            <w:vAlign w:val="center"/>
          </w:tcPr>
          <w:p>
            <w:pPr>
              <w:pStyle w:val="TableContents"/>
              <w:bidi w:val="0"/>
              <w:spacing w:before="0" w:after="283"/>
              <w:ind w:left="0" w:right="0" w:firstLine="500"/>
              <w:jc w:val="left"/>
              <w:rPr/>
            </w:pPr>
            <w:r>
              <w:rPr/>
              <w:t> </w:t>
            </w:r>
          </w:p>
        </w:tc>
      </w:tr>
      <w:tr>
        <w:trPr/>
        <w:tc>
          <w:tcPr>
            <w:tcW w:w="5850"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assets</w:t>
            </w:r>
          </w:p>
        </w:tc>
        <w:tc>
          <w:tcPr>
            <w:tcW w:w="2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387,763</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420,552</w:t>
            </w:r>
          </w:p>
        </w:tc>
        <w:tc>
          <w:tcPr>
            <w:tcW w:w="693"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0" w:type="dxa"/>
            <w:tcBorders/>
            <w:shd w:fill="FFFFFF" w:val="clear"/>
            <w:vAlign w:val="center"/>
          </w:tcPr>
          <w:p>
            <w:pPr>
              <w:pStyle w:val="TableContents"/>
              <w:bidi w:val="0"/>
              <w:spacing w:before="0" w:after="283"/>
              <w:ind w:left="200" w:right="0" w:firstLine="200"/>
              <w:jc w:val="left"/>
              <w:rPr/>
            </w:pPr>
            <w:r>
              <w:rPr/>
              <w:t> </w:t>
            </w:r>
          </w:p>
        </w:tc>
        <w:tc>
          <w:tcPr>
            <w:tcW w:w="1435"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15" w:type="dxa"/>
            <w:gridSpan w:val="2"/>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r>
      <w:tr>
        <w:trPr/>
        <w:tc>
          <w:tcPr>
            <w:tcW w:w="585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Deficit</w:t>
            </w:r>
          </w:p>
        </w:tc>
        <w:tc>
          <w:tcPr>
            <w:tcW w:w="1435"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15" w:type="dxa"/>
            <w:gridSpan w:val="2"/>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ind w:left="0" w:right="0" w:firstLine="200"/>
              <w:jc w:val="left"/>
              <w:rPr/>
            </w:pPr>
            <w:r>
              <w:rPr/>
              <w:t> </w:t>
            </w:r>
          </w:p>
        </w:tc>
      </w:tr>
      <w:tr>
        <w:trPr/>
        <w:tc>
          <w:tcPr>
            <w:tcW w:w="58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w:t>
            </w:r>
          </w:p>
        </w:tc>
        <w:tc>
          <w:tcPr>
            <w:tcW w:w="693" w:type="dxa"/>
            <w:tcBorders/>
            <w:shd w:fill="CFF0FC" w:val="clear"/>
            <w:vAlign w:val="center"/>
          </w:tcPr>
          <w:p>
            <w:pPr>
              <w:pStyle w:val="TableContents"/>
              <w:bidi w:val="0"/>
              <w:spacing w:before="0" w:after="283"/>
              <w:ind w:left="0" w:right="0" w:firstLine="200"/>
              <w:jc w:val="left"/>
              <w:rPr/>
            </w:pPr>
            <w:r>
              <w:rPr/>
              <w:t> </w:t>
            </w:r>
          </w:p>
        </w:tc>
      </w:tr>
      <w:tr>
        <w:trPr/>
        <w:tc>
          <w:tcPr>
            <w:tcW w:w="58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25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693" w:type="dxa"/>
            <w:tcBorders/>
            <w:shd w:fill="FFFFFF" w:val="clear"/>
            <w:vAlign w:val="center"/>
          </w:tcPr>
          <w:p>
            <w:pPr>
              <w:pStyle w:val="TableContents"/>
              <w:bidi w:val="0"/>
              <w:spacing w:before="0" w:after="283"/>
              <w:ind w:left="0" w:right="0" w:firstLine="200"/>
              <w:jc w:val="left"/>
              <w:rPr/>
            </w:pPr>
            <w:r>
              <w:rPr/>
              <w:t> </w:t>
            </w:r>
          </w:p>
        </w:tc>
      </w:tr>
      <w:tr>
        <w:trPr/>
        <w:tc>
          <w:tcPr>
            <w:tcW w:w="58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w:t>
            </w:r>
          </w:p>
        </w:tc>
        <w:tc>
          <w:tcPr>
            <w:tcW w:w="251"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17,665</w:t>
            </w:r>
          </w:p>
        </w:tc>
        <w:tc>
          <w:tcPr>
            <w:tcW w:w="693" w:type="dxa"/>
            <w:tcBorders/>
            <w:shd w:fill="CFF0FC" w:val="clear"/>
            <w:vAlign w:val="center"/>
          </w:tcPr>
          <w:p>
            <w:pPr>
              <w:pStyle w:val="TableContents"/>
              <w:bidi w:val="0"/>
              <w:spacing w:before="0" w:after="283"/>
              <w:ind w:left="0" w:right="0" w:firstLine="200"/>
              <w:jc w:val="left"/>
              <w:rPr/>
            </w:pPr>
            <w:r>
              <w:rPr/>
              <w:t> </w:t>
            </w:r>
          </w:p>
        </w:tc>
      </w:tr>
      <w:tr>
        <w:trPr/>
        <w:tc>
          <w:tcPr>
            <w:tcW w:w="58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payable</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850" w:type="dxa"/>
            <w:tcBorders/>
            <w:shd w:fill="CFF0FC"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current liabilities</w:t>
            </w:r>
          </w:p>
        </w:tc>
        <w:tc>
          <w:tcPr>
            <w:tcW w:w="251"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19,301</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25,038</w:t>
            </w:r>
          </w:p>
        </w:tc>
        <w:tc>
          <w:tcPr>
            <w:tcW w:w="693" w:type="dxa"/>
            <w:tcBorders/>
            <w:shd w:fill="CFF0FC" w:val="clear"/>
            <w:vAlign w:val="center"/>
          </w:tcPr>
          <w:p>
            <w:pPr>
              <w:pStyle w:val="TableContents"/>
              <w:bidi w:val="0"/>
              <w:spacing w:before="0" w:after="283"/>
              <w:ind w:left="0" w:right="0" w:firstLine="200"/>
              <w:jc w:val="left"/>
              <w:rPr/>
            </w:pPr>
            <w:r>
              <w:rPr/>
              <w:t> </w:t>
            </w:r>
          </w:p>
        </w:tc>
      </w:tr>
      <w:tr>
        <w:trPr/>
        <w:tc>
          <w:tcPr>
            <w:tcW w:w="5850" w:type="dxa"/>
            <w:tcBorders/>
            <w:shd w:fill="FFFFFF" w:val="clear"/>
            <w:vAlign w:val="center"/>
          </w:tcPr>
          <w:p>
            <w:pPr>
              <w:pStyle w:val="TableContents"/>
              <w:bidi w:val="0"/>
              <w:spacing w:before="0" w:after="283"/>
              <w:ind w:left="200" w:right="0" w:firstLine="200"/>
              <w:jc w:val="left"/>
              <w:rPr/>
            </w:pPr>
            <w:r>
              <w:rPr/>
              <w:t> </w:t>
            </w:r>
          </w:p>
        </w:tc>
        <w:tc>
          <w:tcPr>
            <w:tcW w:w="1435"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15" w:type="dxa"/>
            <w:gridSpan w:val="2"/>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r>
      <w:tr>
        <w:trPr/>
        <w:tc>
          <w:tcPr>
            <w:tcW w:w="58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 net of current portion</w:t>
            </w:r>
          </w:p>
        </w:tc>
        <w:tc>
          <w:tcPr>
            <w:tcW w:w="25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693" w:type="dxa"/>
            <w:tcBorders/>
            <w:shd w:fill="FFFFFF" w:val="clear"/>
            <w:vAlign w:val="center"/>
          </w:tcPr>
          <w:p>
            <w:pPr>
              <w:pStyle w:val="TableContents"/>
              <w:bidi w:val="0"/>
              <w:spacing w:before="0" w:after="283"/>
              <w:jc w:val="left"/>
              <w:rPr/>
            </w:pPr>
            <w:r>
              <w:rPr/>
              <w:t> </w:t>
            </w:r>
          </w:p>
        </w:tc>
      </w:tr>
      <w:tr>
        <w:trPr/>
        <w:tc>
          <w:tcPr>
            <w:tcW w:w="58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 portion</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850" w:type="dxa"/>
            <w:tcBorders/>
            <w:shd w:fill="FFFFFF" w:val="clear"/>
            <w:vAlign w:val="center"/>
          </w:tcPr>
          <w:p>
            <w:pPr>
              <w:pStyle w:val="TableContents"/>
              <w:bidi w:val="0"/>
              <w:spacing w:before="0" w:after="283"/>
              <w:ind w:left="500" w:right="0" w:firstLine="500"/>
              <w:jc w:val="left"/>
              <w:rPr>
                <w:rFonts w:ascii="Times New Roman" w:hAnsi="Times New Roman"/>
                <w:color w:val="000000"/>
                <w:sz w:val="20"/>
              </w:rPr>
            </w:pPr>
            <w:r>
              <w:rPr>
                <w:rFonts w:ascii="Times New Roman" w:hAnsi="Times New Roman"/>
                <w:color w:val="000000"/>
                <w:sz w:val="20"/>
              </w:rPr>
              <w:t>Total liabilities</w:t>
            </w:r>
          </w:p>
        </w:tc>
        <w:tc>
          <w:tcPr>
            <w:tcW w:w="25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24,728</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29,216</w:t>
            </w:r>
          </w:p>
        </w:tc>
        <w:tc>
          <w:tcPr>
            <w:tcW w:w="693" w:type="dxa"/>
            <w:tcBorders/>
            <w:shd w:fill="FFFFFF" w:val="clear"/>
            <w:vAlign w:val="center"/>
          </w:tcPr>
          <w:p>
            <w:pPr>
              <w:pStyle w:val="TableContents"/>
              <w:bidi w:val="0"/>
              <w:spacing w:before="0" w:after="283"/>
              <w:jc w:val="left"/>
              <w:rPr/>
            </w:pPr>
            <w:r>
              <w:rPr/>
              <w:t> </w:t>
            </w:r>
          </w:p>
        </w:tc>
      </w:tr>
      <w:tr>
        <w:trPr/>
        <w:tc>
          <w:tcPr>
            <w:tcW w:w="58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35"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715" w:type="dxa"/>
            <w:gridSpan w:val="2"/>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left"/>
              <w:rPr/>
            </w:pPr>
            <w:r>
              <w:rPr/>
              <w:t> </w:t>
            </w:r>
          </w:p>
        </w:tc>
      </w:tr>
      <w:tr>
        <w:trPr/>
        <w:tc>
          <w:tcPr>
            <w:tcW w:w="58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noncontrolling interest</w:t>
            </w:r>
          </w:p>
        </w:tc>
        <w:tc>
          <w:tcPr>
            <w:tcW w:w="25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1,459,097</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1,494,732</w:t>
            </w:r>
          </w:p>
        </w:tc>
        <w:tc>
          <w:tcPr>
            <w:tcW w:w="693" w:type="dxa"/>
            <w:tcBorders/>
            <w:shd w:fill="FFFFFF" w:val="clear"/>
            <w:vAlign w:val="center"/>
          </w:tcPr>
          <w:p>
            <w:pPr>
              <w:pStyle w:val="TableContents"/>
              <w:bidi w:val="0"/>
              <w:spacing w:before="0" w:after="283"/>
              <w:jc w:val="left"/>
              <w:rPr/>
            </w:pPr>
            <w:r>
              <w:rPr/>
              <w:t> </w:t>
            </w:r>
          </w:p>
        </w:tc>
      </w:tr>
      <w:tr>
        <w:trPr/>
        <w:tc>
          <w:tcPr>
            <w:tcW w:w="5850" w:type="dxa"/>
            <w:tcBorders/>
            <w:shd w:fill="FFFFFF" w:val="clear"/>
            <w:vAlign w:val="center"/>
          </w:tcPr>
          <w:p>
            <w:pPr>
              <w:pStyle w:val="TableContents"/>
              <w:bidi w:val="0"/>
              <w:spacing w:before="0" w:after="283"/>
              <w:jc w:val="left"/>
              <w:rPr/>
            </w:pPr>
            <w:r>
              <w:rPr/>
              <w:t> </w:t>
            </w:r>
          </w:p>
        </w:tc>
        <w:tc>
          <w:tcPr>
            <w:tcW w:w="1435"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15" w:type="dxa"/>
            <w:gridSpan w:val="2"/>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left"/>
              <w:rPr/>
            </w:pPr>
            <w:r>
              <w:rPr/>
              <w:t> </w:t>
            </w:r>
          </w:p>
        </w:tc>
      </w:tr>
      <w:tr>
        <w:trPr/>
        <w:tc>
          <w:tcPr>
            <w:tcW w:w="58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deficit</w:t>
            </w:r>
          </w:p>
        </w:tc>
        <w:tc>
          <w:tcPr>
            <w:tcW w:w="1435" w:type="dxa"/>
            <w:gridSpan w:val="2"/>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715" w:type="dxa"/>
            <w:gridSpan w:val="2"/>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ind w:left="0" w:right="0" w:firstLine="100"/>
              <w:jc w:val="left"/>
              <w:rPr/>
            </w:pPr>
            <w:r>
              <w:rPr/>
              <w:t> </w:t>
            </w:r>
          </w:p>
        </w:tc>
      </w:tr>
      <w:tr>
        <w:trPr/>
        <w:tc>
          <w:tcPr>
            <w:tcW w:w="585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Class A ordinary shares, $0.0001 par value; 500,000,000 shares </w:t>
              <w:br/>
              <w:t xml:space="preserve">   authorized; 61,621,330 and 59,880,347 issued and outstanding as </w:t>
              <w:br/>
              <w:t>   of March 31, 2024 and December 31, 2023, respectively</w:t>
            </w:r>
          </w:p>
        </w:tc>
        <w:tc>
          <w:tcPr>
            <w:tcW w:w="25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93" w:type="dxa"/>
            <w:tcBorders/>
            <w:shd w:fill="FFFFFF" w:val="clear"/>
            <w:vAlign w:val="center"/>
          </w:tcPr>
          <w:p>
            <w:pPr>
              <w:pStyle w:val="TableContents"/>
              <w:bidi w:val="0"/>
              <w:spacing w:before="0" w:after="283"/>
              <w:ind w:left="0" w:right="0" w:firstLine="100"/>
              <w:jc w:val="left"/>
              <w:rPr/>
            </w:pPr>
            <w:r>
              <w:rPr/>
              <w:t> </w:t>
            </w:r>
          </w:p>
        </w:tc>
      </w:tr>
      <w:tr>
        <w:trPr/>
        <w:tc>
          <w:tcPr>
            <w:tcW w:w="585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Class B ordinary shares, $0.0001 par value; 500,000,000 shares</w:t>
              <w:br/>
              <w:t>   authorized; 167,723,553 and 168,297,916 issued and outstanding as</w:t>
              <w:br/>
              <w:t>   of March 31, 2024 and December 31, 2023, respectively</w:t>
            </w:r>
          </w:p>
        </w:tc>
        <w:tc>
          <w:tcPr>
            <w:tcW w:w="251"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93" w:type="dxa"/>
            <w:tcBorders/>
            <w:shd w:fill="CFF0FC" w:val="clear"/>
            <w:vAlign w:val="center"/>
          </w:tcPr>
          <w:p>
            <w:pPr>
              <w:pStyle w:val="TableContents"/>
              <w:bidi w:val="0"/>
              <w:spacing w:before="0" w:after="283"/>
              <w:ind w:left="0" w:right="0" w:firstLine="100"/>
              <w:jc w:val="left"/>
              <w:rPr/>
            </w:pPr>
            <w:r>
              <w:rPr/>
              <w:t> </w:t>
            </w:r>
          </w:p>
        </w:tc>
      </w:tr>
      <w:tr>
        <w:trPr/>
        <w:tc>
          <w:tcPr>
            <w:tcW w:w="585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251"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53,114</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36,114</w:t>
            </w:r>
          </w:p>
        </w:tc>
        <w:tc>
          <w:tcPr>
            <w:tcW w:w="693" w:type="dxa"/>
            <w:tcBorders/>
            <w:shd w:fill="FFFFFF" w:val="clear"/>
            <w:vAlign w:val="center"/>
          </w:tcPr>
          <w:p>
            <w:pPr>
              <w:pStyle w:val="TableContents"/>
              <w:bidi w:val="0"/>
              <w:spacing w:before="0" w:after="283"/>
              <w:ind w:left="0" w:right="0" w:firstLine="100"/>
              <w:jc w:val="left"/>
              <w:rPr/>
            </w:pPr>
            <w:r>
              <w:rPr/>
              <w:t> </w:t>
            </w:r>
          </w:p>
        </w:tc>
      </w:tr>
      <w:tr>
        <w:trPr/>
        <w:tc>
          <w:tcPr>
            <w:tcW w:w="585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(loss) gain</w:t>
            </w:r>
          </w:p>
        </w:tc>
        <w:tc>
          <w:tcPr>
            <w:tcW w:w="251"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00" w:type="dxa"/>
            <w:tcBorders/>
            <w:shd w:fill="CFF0FC" w:val="clear"/>
            <w:vAlign w:val="center"/>
          </w:tcPr>
          <w:p>
            <w:pPr>
              <w:pStyle w:val="TableContents"/>
              <w:bidi w:val="0"/>
              <w:spacing w:before="0" w:after="283"/>
              <w:jc w:val="left"/>
              <w:rPr/>
            </w:pPr>
            <w:r>
              <w:rPr/>
              <w:t> </w:t>
            </w:r>
          </w:p>
        </w:tc>
        <w:tc>
          <w:tcPr>
            <w:tcW w:w="14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93" w:type="dxa"/>
            <w:tcBorders/>
            <w:shd w:fill="CFF0FC" w:val="clear"/>
            <w:vAlign w:val="center"/>
          </w:tcPr>
          <w:p>
            <w:pPr>
              <w:pStyle w:val="TableContents"/>
              <w:bidi w:val="0"/>
              <w:spacing w:before="0" w:after="283"/>
              <w:ind w:left="0" w:right="0" w:firstLine="100"/>
              <w:jc w:val="left"/>
              <w:rPr/>
            </w:pPr>
            <w:r>
              <w:rPr/>
              <w:t> </w:t>
            </w:r>
          </w:p>
        </w:tc>
      </w:tr>
      <w:tr>
        <w:trPr/>
        <w:tc>
          <w:tcPr>
            <w:tcW w:w="585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(1,149,155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(1,139,663</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deficit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(1,096,062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(1,103,396</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5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 and shareholders' deficit</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387,763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420,552</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5" w:name="consolidated_statements_of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r>
        <w:rPr>
          <w:rFonts w:ascii="Times New Roman" w:hAnsi="Times New Roman"/>
          <w:b/>
          <w:color w:val="000000"/>
          <w:sz w:val="20"/>
        </w:rPr>
        <w:t>-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9789" w:type="dxa"/>
        <w:jc w:val="left"/>
        <w:tblInd w:w="0" w:type="dxa"/>
        <w:tblLayout w:type="fixed"/>
        <w:tblCellMar>
          <w:top w:w="28" w:type="dxa"/>
          <w:left w:w="28" w:type="dxa"/>
          <w:bottom w:w="28" w:type="dxa"/>
          <w:right w:w="28" w:type="dxa"/>
        </w:tblCellMar>
      </w:tblPr>
      <w:tblGrid>
        <w:gridCol w:w="4726"/>
        <w:gridCol w:w="646"/>
        <w:gridCol w:w="211"/>
        <w:gridCol w:w="1036"/>
        <w:gridCol w:w="666"/>
        <w:gridCol w:w="646"/>
        <w:gridCol w:w="211"/>
        <w:gridCol w:w="1036"/>
        <w:gridCol w:w="611"/>
      </w:tblGrid>
      <w:tr>
        <w:trPr/>
        <w:tc>
          <w:tcPr>
            <w:tcW w:w="47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both"/>
              <w:rPr/>
            </w:pPr>
            <w:r>
              <w:rPr/>
              <w:t> </w:t>
            </w:r>
          </w:p>
        </w:tc>
        <w:tc>
          <w:tcPr>
            <w:tcW w:w="3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1" w:type="dxa"/>
            <w:tcBorders/>
            <w:shd w:fill="FFFFFF" w:val="cle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both"/>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vAlign w:val="center"/>
          </w:tcPr>
          <w:p>
            <w:pPr>
              <w:pStyle w:val="TableContents"/>
              <w:bidi w:val="0"/>
              <w:spacing w:before="0" w:after="283"/>
              <w:jc w:val="both"/>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6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66" w:type="dxa"/>
            <w:tcBorders/>
            <w:shd w:fill="CFF0FC" w:val="clear"/>
            <w:vAlign w:val="center"/>
          </w:tcPr>
          <w:p>
            <w:pPr>
              <w:pStyle w:val="TableContents"/>
              <w:bidi w:val="0"/>
              <w:spacing w:before="0" w:after="283"/>
              <w:jc w:val="right"/>
              <w:rPr/>
            </w:pPr>
            <w:r>
              <w:rPr/>
              <w:t> </w:t>
            </w:r>
          </w:p>
        </w:tc>
        <w:tc>
          <w:tcPr>
            <w:tcW w:w="6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72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6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27,233</w:t>
            </w:r>
          </w:p>
        </w:tc>
        <w:tc>
          <w:tcPr>
            <w:tcW w:w="666" w:type="dxa"/>
            <w:tcBorders/>
            <w:shd w:fill="FFFFFF" w:val="clear"/>
            <w:vAlign w:val="center"/>
          </w:tcPr>
          <w:p>
            <w:pPr>
              <w:pStyle w:val="TableContents"/>
              <w:bidi w:val="0"/>
              <w:spacing w:before="0" w:after="283"/>
              <w:ind w:left="0" w:right="0" w:firstLine="200"/>
              <w:jc w:val="left"/>
              <w:rPr/>
            </w:pPr>
            <w:r>
              <w:rPr/>
              <w:t> </w:t>
            </w:r>
          </w:p>
        </w:tc>
        <w:tc>
          <w:tcPr>
            <w:tcW w:w="6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2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6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12,843</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6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40,076</w:t>
            </w:r>
          </w:p>
        </w:tc>
        <w:tc>
          <w:tcPr>
            <w:tcW w:w="66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40,876</w:t>
            </w:r>
          </w:p>
        </w:tc>
        <w:tc>
          <w:tcPr>
            <w:tcW w:w="61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(40,076</w:t>
            </w:r>
          </w:p>
        </w:tc>
        <w:tc>
          <w:tcPr>
            <w:tcW w:w="6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vAlign w:val="center"/>
          </w:tcPr>
          <w:p>
            <w:pPr>
              <w:pStyle w:val="TableContents"/>
              <w:bidi w:val="0"/>
              <w:spacing w:before="0" w:after="283"/>
              <w:ind w:left="0" w:right="0" w:firstLine="200"/>
              <w:jc w:val="left"/>
              <w:rPr/>
            </w:pPr>
            <w:r>
              <w:rPr/>
              <w:t> </w:t>
            </w:r>
          </w:p>
        </w:tc>
        <w:tc>
          <w:tcPr>
            <w:tcW w:w="646" w:type="dxa"/>
            <w:tcBorders/>
            <w:shd w:fill="FFFFFF" w:val="clear"/>
            <w:vAlign w:val="center"/>
          </w:tcPr>
          <w:p>
            <w:pPr>
              <w:pStyle w:val="TableContents"/>
              <w:bidi w:val="0"/>
              <w:spacing w:before="0" w:after="283"/>
              <w:ind w:left="200" w:right="0" w:firstLine="200"/>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66" w:type="dxa"/>
            <w:tcBorders/>
            <w:shd w:fill="FFFFFF" w:val="clear"/>
            <w:vAlign w:val="center"/>
          </w:tcPr>
          <w:p>
            <w:pPr>
              <w:pStyle w:val="TableContents"/>
              <w:bidi w:val="0"/>
              <w:spacing w:before="0" w:after="283"/>
              <w:ind w:left="0" w:right="0" w:firstLine="200"/>
              <w:jc w:val="right"/>
              <w:rPr/>
            </w:pPr>
            <w:r>
              <w:rPr/>
              <w:t> </w:t>
            </w:r>
          </w:p>
        </w:tc>
        <w:tc>
          <w:tcPr>
            <w:tcW w:w="646" w:type="dxa"/>
            <w:tcBorders/>
            <w:shd w:fill="FFFFFF" w:val="clear"/>
            <w:vAlign w:val="center"/>
          </w:tcPr>
          <w:p>
            <w:pPr>
              <w:pStyle w:val="TableContents"/>
              <w:bidi w:val="0"/>
              <w:spacing w:before="0" w:after="283"/>
              <w:ind w:left="200" w:right="0" w:firstLine="200"/>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472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646" w:type="dxa"/>
            <w:tcBorders/>
            <w:shd w:fill="FFFFFF" w:val="clear"/>
            <w:vAlign w:val="center"/>
          </w:tcPr>
          <w:p>
            <w:pPr>
              <w:pStyle w:val="TableContents"/>
              <w:bidi w:val="0"/>
              <w:spacing w:before="0" w:after="283"/>
              <w:ind w:left="200" w:right="0" w:firstLine="200"/>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66" w:type="dxa"/>
            <w:tcBorders/>
            <w:shd w:fill="FFFFFF" w:val="clear"/>
            <w:vAlign w:val="center"/>
          </w:tcPr>
          <w:p>
            <w:pPr>
              <w:pStyle w:val="TableContents"/>
              <w:bidi w:val="0"/>
              <w:spacing w:before="0" w:after="283"/>
              <w:ind w:left="0" w:right="0" w:firstLine="200"/>
              <w:jc w:val="right"/>
              <w:rPr/>
            </w:pPr>
            <w:r>
              <w:rPr/>
              <w:t> </w:t>
            </w:r>
          </w:p>
        </w:tc>
        <w:tc>
          <w:tcPr>
            <w:tcW w:w="646" w:type="dxa"/>
            <w:tcBorders/>
            <w:shd w:fill="FFFFFF" w:val="clear"/>
            <w:vAlign w:val="center"/>
          </w:tcPr>
          <w:p>
            <w:pPr>
              <w:pStyle w:val="TableContents"/>
              <w:bidi w:val="0"/>
              <w:spacing w:before="0" w:after="283"/>
              <w:ind w:left="200" w:right="0" w:firstLine="200"/>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6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666" w:type="dxa"/>
            <w:tcBorders/>
            <w:shd w:fill="CFF0FC" w:val="clear"/>
            <w:vAlign w:val="center"/>
          </w:tcPr>
          <w:p>
            <w:pPr>
              <w:pStyle w:val="TableContents"/>
              <w:bidi w:val="0"/>
              <w:spacing w:before="0" w:after="283"/>
              <w:ind w:left="0" w:right="0" w:firstLine="200"/>
              <w:jc w:val="left"/>
              <w:rPr/>
            </w:pPr>
            <w:r>
              <w:rPr/>
              <w:t> </w:t>
            </w:r>
          </w:p>
        </w:tc>
        <w:tc>
          <w:tcPr>
            <w:tcW w:w="6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6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loss before income taxes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(35,235</w:t>
            </w:r>
          </w:p>
        </w:tc>
        <w:tc>
          <w:tcPr>
            <w:tcW w:w="66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(35,582</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6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noncontrolling</w:t>
              <w:br/>
              <w:t>   interest</w:t>
            </w:r>
          </w:p>
        </w:tc>
        <w:tc>
          <w:tcPr>
            <w:tcW w:w="6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6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(25,841</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loss available to Class A ordinary shareholders</w:t>
            </w:r>
          </w:p>
        </w:tc>
        <w:tc>
          <w:tcPr>
            <w:tcW w:w="6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26" w:type="dxa"/>
            <w:tcBorders/>
            <w:shd w:fill="FFFFFF" w:val="clear"/>
            <w:vAlign w:val="center"/>
          </w:tcPr>
          <w:p>
            <w:pPr>
              <w:pStyle w:val="TableContents"/>
              <w:bidi w:val="0"/>
              <w:spacing w:before="0" w:after="283"/>
              <w:ind w:left="0" w:right="0" w:firstLine="200"/>
              <w:jc w:val="left"/>
              <w:rPr/>
            </w:pPr>
            <w:r>
              <w:rPr/>
              <w:t> </w:t>
            </w:r>
          </w:p>
        </w:tc>
        <w:tc>
          <w:tcPr>
            <w:tcW w:w="646" w:type="dxa"/>
            <w:tcBorders/>
            <w:shd w:fill="FFFFFF" w:val="clear"/>
            <w:vAlign w:val="center"/>
          </w:tcPr>
          <w:p>
            <w:pPr>
              <w:pStyle w:val="TableContents"/>
              <w:bidi w:val="0"/>
              <w:spacing w:before="0" w:after="283"/>
              <w:ind w:left="200" w:right="0" w:firstLine="200"/>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66" w:type="dxa"/>
            <w:tcBorders/>
            <w:shd w:fill="FFFFFF" w:val="clear"/>
            <w:vAlign w:val="center"/>
          </w:tcPr>
          <w:p>
            <w:pPr>
              <w:pStyle w:val="TableContents"/>
              <w:bidi w:val="0"/>
              <w:spacing w:before="0" w:after="283"/>
              <w:ind w:left="0" w:right="0" w:firstLine="200"/>
              <w:jc w:val="right"/>
              <w:rPr/>
            </w:pPr>
            <w:r>
              <w:rPr/>
              <w:t> </w:t>
            </w:r>
          </w:p>
        </w:tc>
        <w:tc>
          <w:tcPr>
            <w:tcW w:w="646" w:type="dxa"/>
            <w:tcBorders/>
            <w:shd w:fill="FFFFFF" w:val="clear"/>
            <w:vAlign w:val="center"/>
          </w:tcPr>
          <w:p>
            <w:pPr>
              <w:pStyle w:val="TableContents"/>
              <w:bidi w:val="0"/>
              <w:spacing w:before="0" w:after="283"/>
              <w:ind w:left="200" w:right="0" w:firstLine="200"/>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ordinary shares outstanding:</w:t>
            </w:r>
          </w:p>
        </w:tc>
        <w:tc>
          <w:tcPr>
            <w:tcW w:w="6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66" w:type="dxa"/>
            <w:tcBorders/>
            <w:shd w:fill="FFFFFF" w:val="cle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2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60,951,721</w:t>
            </w:r>
          </w:p>
        </w:tc>
        <w:tc>
          <w:tcPr>
            <w:tcW w:w="666" w:type="dxa"/>
            <w:tcBorders/>
            <w:shd w:fill="CFF0FC" w:val="clear"/>
            <w:vAlign w:val="center"/>
          </w:tcPr>
          <w:p>
            <w:pPr>
              <w:pStyle w:val="TableContents"/>
              <w:bidi w:val="0"/>
              <w:spacing w:before="0" w:after="283"/>
              <w:ind w:left="0" w:right="0" w:firstLine="200"/>
              <w:jc w:val="left"/>
              <w:rPr/>
            </w:pPr>
            <w:r>
              <w:rPr/>
              <w:t> </w:t>
            </w:r>
          </w:p>
        </w:tc>
        <w:tc>
          <w:tcPr>
            <w:tcW w:w="6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61,540,231</w:t>
            </w:r>
          </w:p>
        </w:tc>
        <w:tc>
          <w:tcPr>
            <w:tcW w:w="6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ordinary shares:</w:t>
            </w:r>
          </w:p>
        </w:tc>
        <w:tc>
          <w:tcPr>
            <w:tcW w:w="6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both"/>
              <w:rPr/>
            </w:pPr>
            <w:r>
              <w:rPr/>
              <w:t> </w:t>
            </w:r>
          </w:p>
        </w:tc>
        <w:tc>
          <w:tcPr>
            <w:tcW w:w="666" w:type="dxa"/>
            <w:tcBorders/>
            <w:shd w:fill="FFFFFF" w:val="clear"/>
            <w:vAlign w:val="center"/>
          </w:tcPr>
          <w:p>
            <w:pPr>
              <w:pStyle w:val="TableContents"/>
              <w:bidi w:val="0"/>
              <w:spacing w:before="0" w:after="283"/>
              <w:jc w:val="both"/>
              <w:rPr/>
            </w:pPr>
            <w:r>
              <w:rPr/>
              <w:t> </w:t>
            </w:r>
          </w:p>
        </w:tc>
        <w:tc>
          <w:tcPr>
            <w:tcW w:w="6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both"/>
              <w:rPr/>
            </w:pPr>
            <w:r>
              <w:rPr/>
              <w:t> </w:t>
            </w:r>
          </w:p>
        </w:tc>
        <w:tc>
          <w:tcPr>
            <w:tcW w:w="611" w:type="dxa"/>
            <w:tcBorders/>
            <w:shd w:fill="FFFFFF" w:val="clear"/>
            <w:vAlign w:val="center"/>
          </w:tcPr>
          <w:p>
            <w:pPr>
              <w:pStyle w:val="TableContents"/>
              <w:bidi w:val="0"/>
              <w:spacing w:before="0" w:after="283"/>
              <w:ind w:left="0" w:right="0" w:firstLine="200"/>
              <w:jc w:val="both"/>
              <w:rPr/>
            </w:pPr>
            <w:r>
              <w:rPr/>
              <w:t> </w:t>
            </w:r>
          </w:p>
        </w:tc>
      </w:tr>
      <w:tr>
        <w:trPr/>
        <w:tc>
          <w:tcPr>
            <w:tcW w:w="472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6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bookmarkStart w:id="6" w:name="consolidated_statements_of_comp_loss"/>
      <w:bookmarkEnd w:id="6"/>
      <w:r>
        <w:rPr>
          <w:rFonts w:ascii="Times New Roman" w:hAnsi="Times New Roman"/>
          <w:b/>
          <w:color w:val="000000"/>
          <w:sz w:val="20"/>
        </w:rPr>
        <w:t>Condensed Consolidated Statements of Comprehensive Loss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9595" w:type="dxa"/>
        <w:jc w:val="left"/>
        <w:tblInd w:w="0" w:type="dxa"/>
        <w:tblLayout w:type="fixed"/>
        <w:tblCellMar>
          <w:top w:w="28" w:type="dxa"/>
          <w:left w:w="28" w:type="dxa"/>
          <w:bottom w:w="28" w:type="dxa"/>
          <w:right w:w="28" w:type="dxa"/>
        </w:tblCellMar>
      </w:tblPr>
      <w:tblGrid>
        <w:gridCol w:w="6051"/>
        <w:gridCol w:w="346"/>
        <w:gridCol w:w="225"/>
        <w:gridCol w:w="788"/>
        <w:gridCol w:w="391"/>
        <w:gridCol w:w="370"/>
        <w:gridCol w:w="225"/>
        <w:gridCol w:w="788"/>
        <w:gridCol w:w="411"/>
      </w:tblGrid>
      <w:tr>
        <w:trPr/>
        <w:tc>
          <w:tcPr>
            <w:tcW w:w="60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both"/>
              <w:rPr/>
            </w:pPr>
            <w:r>
              <w:rPr/>
              <w:t> </w:t>
            </w:r>
          </w:p>
        </w:tc>
        <w:tc>
          <w:tcPr>
            <w:tcW w:w="2787"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shd w:fill="FFFFFF" w:val="clear"/>
            <w:vAlign w:val="center"/>
          </w:tcPr>
          <w:p>
            <w:pPr>
              <w:pStyle w:val="TableContents"/>
              <w:bidi w:val="0"/>
              <w:spacing w:before="0" w:after="283"/>
              <w:jc w:val="center"/>
              <w:rPr/>
            </w:pPr>
            <w:r>
              <w:rPr/>
              <w:t> </w:t>
            </w:r>
          </w:p>
        </w:tc>
      </w:tr>
      <w:tr>
        <w:trPr/>
        <w:tc>
          <w:tcPr>
            <w:tcW w:w="605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both"/>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0" w:type="dxa"/>
            <w:tcBorders/>
            <w:shd w:fill="FFFFFF" w:val="clear"/>
            <w:vAlign w:val="center"/>
          </w:tcPr>
          <w:p>
            <w:pPr>
              <w:pStyle w:val="TableContents"/>
              <w:bidi w:val="0"/>
              <w:spacing w:before="0" w:after="283"/>
              <w:jc w:val="both"/>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5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including noncontrolling interest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3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vAlign w:val="center"/>
          </w:tcPr>
          <w:p>
            <w:pPr>
              <w:pStyle w:val="TableContents"/>
              <w:bidi w:val="0"/>
              <w:spacing w:before="0" w:after="283"/>
              <w:ind w:left="200" w:right="0" w:firstLine="200"/>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(36,909</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013"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c>
          <w:tcPr>
            <w:tcW w:w="370" w:type="dxa"/>
            <w:tcBorders/>
            <w:shd w:fill="FFFFFF" w:val="clear"/>
            <w:vAlign w:val="center"/>
          </w:tcPr>
          <w:p>
            <w:pPr>
              <w:pStyle w:val="TableContents"/>
              <w:bidi w:val="0"/>
              <w:spacing w:before="0" w:after="283"/>
              <w:ind w:left="200" w:right="0" w:firstLine="200"/>
              <w:jc w:val="left"/>
              <w:rPr/>
            </w:pPr>
            <w:r>
              <w:rPr/>
              <w:t> </w:t>
            </w:r>
          </w:p>
        </w:tc>
        <w:tc>
          <w:tcPr>
            <w:tcW w:w="1013"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100"/>
              <w:jc w:val="right"/>
              <w:rPr/>
            </w:pPr>
            <w:r>
              <w:rPr/>
              <w:t> </w:t>
            </w:r>
          </w:p>
        </w:tc>
      </w:tr>
      <w:tr>
        <w:trPr/>
        <w:tc>
          <w:tcPr>
            <w:tcW w:w="60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Unrealized loss on marketable securities</w:t>
            </w:r>
          </w:p>
        </w:tc>
        <w:tc>
          <w:tcPr>
            <w:tcW w:w="3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3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5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comprehensive loss including noncontrolling interest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(35,980</w:t>
            </w:r>
          </w:p>
        </w:tc>
        <w:tc>
          <w:tcPr>
            <w:tcW w:w="3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vAlign w:val="center"/>
          </w:tcPr>
          <w:p>
            <w:pPr>
              <w:pStyle w:val="TableContents"/>
              <w:bidi w:val="0"/>
              <w:spacing w:before="0" w:after="283"/>
              <w:ind w:left="200" w:right="0" w:firstLine="200"/>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(36,981</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5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Total comprehensive loss attributable to noncontrolling interest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0" w:type="dxa"/>
            <w:tcBorders/>
            <w:shd w:fill="FFFFFF" w:val="clear"/>
            <w:vAlign w:val="center"/>
          </w:tcPr>
          <w:p>
            <w:pPr>
              <w:pStyle w:val="TableContents"/>
              <w:bidi w:val="0"/>
              <w:spacing w:before="0" w:after="283"/>
              <w:ind w:left="200" w:right="0" w:firstLine="200"/>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comprehensive loss attributable to Class A ordinary shareholders</w:t>
            </w:r>
          </w:p>
        </w:tc>
        <w:tc>
          <w:tcPr>
            <w:tcW w:w="3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70" w:type="dxa"/>
            <w:tcBorders/>
            <w:shd w:fill="CFF0FC" w:val="clear"/>
            <w:vAlign w:val="center"/>
          </w:tcPr>
          <w:p>
            <w:pPr>
              <w:pStyle w:val="TableContents"/>
              <w:bidi w:val="0"/>
              <w:spacing w:before="0" w:after="283"/>
              <w:ind w:left="200" w:right="0" w:firstLine="20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stockholders_deficit"/>
      <w:bookmarkEnd w:id="7"/>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Shareholders’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left"/>
        <w:rPr/>
      </w:pPr>
      <w:r>
        <w:rPr/>
        <w:t> </w:t>
      </w:r>
    </w:p>
    <w:tbl>
      <w:tblPr>
        <w:tblW w:w="15036" w:type="dxa"/>
        <w:jc w:val="left"/>
        <w:tblInd w:w="0" w:type="dxa"/>
        <w:tblLayout w:type="fixed"/>
        <w:tblCellMar>
          <w:top w:w="28" w:type="dxa"/>
          <w:left w:w="28" w:type="dxa"/>
          <w:bottom w:w="28" w:type="dxa"/>
          <w:right w:w="28" w:type="dxa"/>
        </w:tblCellMar>
      </w:tblPr>
      <w:tblGrid>
        <w:gridCol w:w="1451"/>
        <w:gridCol w:w="246"/>
        <w:gridCol w:w="257"/>
        <w:gridCol w:w="1139"/>
        <w:gridCol w:w="166"/>
        <w:gridCol w:w="146"/>
        <w:gridCol w:w="146"/>
        <w:gridCol w:w="146"/>
        <w:gridCol w:w="1036"/>
        <w:gridCol w:w="146"/>
        <w:gridCol w:w="146"/>
        <w:gridCol w:w="377"/>
        <w:gridCol w:w="404"/>
        <w:gridCol w:w="146"/>
        <w:gridCol w:w="146"/>
        <w:gridCol w:w="146"/>
        <w:gridCol w:w="1141"/>
        <w:gridCol w:w="166"/>
        <w:gridCol w:w="146"/>
        <w:gridCol w:w="312"/>
        <w:gridCol w:w="469"/>
        <w:gridCol w:w="146"/>
        <w:gridCol w:w="146"/>
        <w:gridCol w:w="239"/>
        <w:gridCol w:w="767"/>
        <w:gridCol w:w="146"/>
        <w:gridCol w:w="146"/>
        <w:gridCol w:w="434"/>
        <w:gridCol w:w="992"/>
        <w:gridCol w:w="166"/>
        <w:gridCol w:w="146"/>
        <w:gridCol w:w="213"/>
        <w:gridCol w:w="1003"/>
        <w:gridCol w:w="166"/>
        <w:gridCol w:w="146"/>
        <w:gridCol w:w="226"/>
        <w:gridCol w:w="1065"/>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928" w:type="dxa"/>
            <w:gridSpan w:val="3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1"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4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9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1"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4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Redeemable 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Shareholders'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2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1,494,732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59,880,347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168,297,916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(1,139,663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(1,103,396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5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Class A ordinary shares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1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5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Class B restricted stock rights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1,166,620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5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Exchange of Class B ordinary shares for Class A ordinary shares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1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(1,740,983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5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Repurchase of Class A ordinary shares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5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Impact of equity transactions on redeemable noncontrolling interest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1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5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securities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1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redemption value of noncontrolling interest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2024</w:t>
            </w:r>
          </w:p>
        </w:tc>
        <w:tc>
          <w:tcPr>
            <w:tcW w:w="2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61,621,330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167,723,553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(1,096,062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Redeemable Noncontrolling Interest and Shareholders’ Deficit -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data)</w:t>
      </w:r>
    </w:p>
    <w:p>
      <w:pPr>
        <w:pStyle w:val="TextBody"/>
        <w:bidi w:val="0"/>
        <w:jc w:val="center"/>
        <w:rPr/>
      </w:pPr>
      <w:r>
        <w:rPr/>
        <w:t> </w:t>
      </w:r>
    </w:p>
    <w:tbl>
      <w:tblPr>
        <w:tblW w:w="14870" w:type="dxa"/>
        <w:jc w:val="left"/>
        <w:tblInd w:w="0" w:type="dxa"/>
        <w:tblLayout w:type="fixed"/>
        <w:tblCellMar>
          <w:top w:w="28" w:type="dxa"/>
          <w:left w:w="28" w:type="dxa"/>
          <w:bottom w:w="28" w:type="dxa"/>
          <w:right w:w="28" w:type="dxa"/>
        </w:tblCellMar>
      </w:tblPr>
      <w:tblGrid>
        <w:gridCol w:w="1451"/>
        <w:gridCol w:w="246"/>
        <w:gridCol w:w="257"/>
        <w:gridCol w:w="1139"/>
        <w:gridCol w:w="166"/>
        <w:gridCol w:w="146"/>
        <w:gridCol w:w="146"/>
        <w:gridCol w:w="1036"/>
        <w:gridCol w:w="146"/>
        <w:gridCol w:w="146"/>
        <w:gridCol w:w="377"/>
        <w:gridCol w:w="404"/>
        <w:gridCol w:w="146"/>
        <w:gridCol w:w="146"/>
        <w:gridCol w:w="146"/>
        <w:gridCol w:w="1141"/>
        <w:gridCol w:w="146"/>
        <w:gridCol w:w="146"/>
        <w:gridCol w:w="312"/>
        <w:gridCol w:w="469"/>
        <w:gridCol w:w="146"/>
        <w:gridCol w:w="146"/>
        <w:gridCol w:w="239"/>
        <w:gridCol w:w="767"/>
        <w:gridCol w:w="146"/>
        <w:gridCol w:w="146"/>
        <w:gridCol w:w="512"/>
        <w:gridCol w:w="914"/>
        <w:gridCol w:w="166"/>
        <w:gridCol w:w="146"/>
        <w:gridCol w:w="213"/>
        <w:gridCol w:w="1003"/>
        <w:gridCol w:w="166"/>
        <w:gridCol w:w="146"/>
        <w:gridCol w:w="226"/>
        <w:gridCol w:w="1065"/>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762" w:type="dxa"/>
            <w:gridSpan w:val="3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5"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Ordinary 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0"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B Ordinary 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1"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45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Redeemable 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Shareholders' 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2023</w:t>
            </w:r>
          </w:p>
        </w:tc>
        <w:tc>
          <w:tcPr>
            <w:tcW w:w="2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61,540,231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171,578,320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(1,104,116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(1,096,616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5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Class B restricted stock rights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1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45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Impact of equity transactions on redeemable noncontrolling interest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45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securities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1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7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0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redemption value of noncontrolling interest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2023</w:t>
            </w:r>
          </w:p>
        </w:tc>
        <w:tc>
          <w:tcPr>
            <w:tcW w:w="2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61,540,231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173,444,861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(1,601,510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 </w:t>
      </w: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3"/>
        <w:gridCol w:w="146"/>
        <w:gridCol w:w="243"/>
        <w:gridCol w:w="903"/>
        <w:gridCol w:w="191"/>
        <w:gridCol w:w="168"/>
        <w:gridCol w:w="243"/>
        <w:gridCol w:w="973"/>
        <w:gridCol w:w="815"/>
      </w:tblGrid>
      <w:tr>
        <w:trPr/>
        <w:tc>
          <w:tcPr>
            <w:tcW w:w="6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523"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272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815" w:type="dxa"/>
            <w:tcBorders/>
            <w:shd w:fill="FFFFFF" w:val="clear"/>
            <w:vAlign w:val="center"/>
          </w:tcPr>
          <w:p>
            <w:pPr>
              <w:pStyle w:val="TableContents"/>
              <w:bidi w:val="0"/>
              <w:spacing w:before="0" w:after="283"/>
              <w:jc w:val="center"/>
              <w:rPr/>
            </w:pPr>
            <w:r>
              <w:rPr/>
              <w:t> </w:t>
            </w:r>
          </w:p>
        </w:tc>
      </w:tr>
      <w:tr>
        <w:trPr/>
        <w:tc>
          <w:tcPr>
            <w:tcW w:w="6523"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46"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ind w:left="0" w:right="0" w:firstLine="200"/>
              <w:jc w:val="right"/>
              <w:rPr/>
            </w:pPr>
            <w:r>
              <w:rPr/>
              <w:t> </w:t>
            </w:r>
          </w:p>
        </w:tc>
      </w:tr>
      <w:tr>
        <w:trPr/>
        <w:tc>
          <w:tcPr>
            <w:tcW w:w="652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(36,909</w:t>
            </w:r>
          </w:p>
        </w:tc>
        <w:tc>
          <w:tcPr>
            <w:tcW w:w="8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Adjustments to reconcile net loss before noncontrolling interest to net cash flows used </w:t>
              <w:br/>
              <w:t>   in operating activities:</w:t>
            </w:r>
          </w:p>
        </w:tc>
        <w:tc>
          <w:tcPr>
            <w:tcW w:w="146" w:type="dxa"/>
            <w:tcBorders/>
            <w:shd w:fill="CFF0FC" w:val="clear"/>
            <w:vAlign w:val="center"/>
          </w:tcPr>
          <w:p>
            <w:pPr>
              <w:pStyle w:val="TableContents"/>
              <w:bidi w:val="0"/>
              <w:spacing w:before="0" w:after="283"/>
              <w:jc w:val="left"/>
              <w:rPr/>
            </w:pPr>
            <w:r>
              <w:rPr/>
              <w:t> </w:t>
            </w:r>
          </w:p>
        </w:tc>
        <w:tc>
          <w:tcPr>
            <w:tcW w:w="1146"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ind w:left="0" w:right="0" w:firstLine="400"/>
              <w:jc w:val="right"/>
              <w:rPr/>
            </w:pPr>
            <w:r>
              <w:rPr/>
              <w:t> </w:t>
            </w:r>
          </w:p>
        </w:tc>
      </w:tr>
      <w:tr>
        <w:trPr/>
        <w:tc>
          <w:tcPr>
            <w:tcW w:w="652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52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13,020</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52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Gain on marketable securities, net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2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on disposal of equipment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52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46"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600"/>
              <w:jc w:val="right"/>
              <w:rPr/>
            </w:pPr>
            <w:r>
              <w:rPr/>
              <w:t> </w:t>
            </w:r>
          </w:p>
        </w:tc>
      </w:tr>
      <w:tr>
        <w:trPr/>
        <w:tc>
          <w:tcPr>
            <w:tcW w:w="652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w:t>
            </w:r>
          </w:p>
        </w:tc>
        <w:tc>
          <w:tcPr>
            <w:tcW w:w="815"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2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w:t>
            </w:r>
          </w:p>
        </w:tc>
        <w:tc>
          <w:tcPr>
            <w:tcW w:w="815" w:type="dxa"/>
            <w:tcBorders/>
            <w:shd w:fill="FFFFFF" w:val="clear"/>
            <w:vAlign w:val="center"/>
          </w:tcPr>
          <w:p>
            <w:pPr>
              <w:pStyle w:val="TableContents"/>
              <w:bidi w:val="0"/>
              <w:spacing w:before="0" w:after="283"/>
              <w:ind w:left="0" w:right="0" w:firstLine="600"/>
              <w:jc w:val="left"/>
              <w:rPr/>
            </w:pPr>
            <w:r>
              <w:rPr/>
              <w:t> </w:t>
            </w:r>
          </w:p>
        </w:tc>
      </w:tr>
      <w:tr>
        <w:trPr/>
        <w:tc>
          <w:tcPr>
            <w:tcW w:w="652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815"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2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(34,646</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(25,992</w:t>
            </w:r>
          </w:p>
        </w:tc>
        <w:tc>
          <w:tcPr>
            <w:tcW w:w="8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3"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jc w:val="right"/>
              <w:rPr/>
            </w:pPr>
            <w:r>
              <w:rPr/>
              <w:t> </w:t>
            </w:r>
          </w:p>
        </w:tc>
      </w:tr>
      <w:tr>
        <w:trPr/>
        <w:tc>
          <w:tcPr>
            <w:tcW w:w="65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46"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200"/>
              <w:jc w:val="right"/>
              <w:rPr/>
            </w:pPr>
            <w:r>
              <w:rPr/>
              <w:t> </w:t>
            </w:r>
          </w:p>
        </w:tc>
      </w:tr>
      <w:tr>
        <w:trPr/>
        <w:tc>
          <w:tcPr>
            <w:tcW w:w="652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(55,415</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(198,038</w:t>
            </w:r>
          </w:p>
        </w:tc>
        <w:tc>
          <w:tcPr>
            <w:tcW w:w="815"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114,774</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815" w:type="dxa"/>
            <w:tcBorders/>
            <w:shd w:fill="FFFFFF" w:val="clear"/>
            <w:vAlign w:val="center"/>
          </w:tcPr>
          <w:p>
            <w:pPr>
              <w:pStyle w:val="TableContents"/>
              <w:bidi w:val="0"/>
              <w:spacing w:before="0" w:after="283"/>
              <w:ind w:left="0" w:right="0" w:firstLine="200"/>
              <w:jc w:val="left"/>
              <w:rPr/>
            </w:pPr>
            <w:r>
              <w:rPr/>
              <w:t> </w:t>
            </w:r>
          </w:p>
        </w:tc>
      </w:tr>
      <w:tr>
        <w:trPr/>
        <w:tc>
          <w:tcPr>
            <w:tcW w:w="652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equipment and facility expansion</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58,399</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(192,612</w:t>
            </w:r>
          </w:p>
        </w:tc>
        <w:tc>
          <w:tcPr>
            <w:tcW w:w="8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jc w:val="right"/>
              <w:rPr/>
            </w:pPr>
            <w:r>
              <w:rPr/>
              <w:t> </w:t>
            </w:r>
          </w:p>
        </w:tc>
      </w:tr>
      <w:tr>
        <w:trPr/>
        <w:tc>
          <w:tcPr>
            <w:tcW w:w="6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146"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ind w:left="0" w:right="0" w:firstLine="200"/>
              <w:jc w:val="right"/>
              <w:rPr/>
            </w:pPr>
            <w:r>
              <w:rPr/>
              <w:t> </w:t>
            </w:r>
          </w:p>
        </w:tc>
      </w:tr>
      <w:tr>
        <w:trPr/>
        <w:tc>
          <w:tcPr>
            <w:tcW w:w="652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finance leases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financing activities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jc w:val="right"/>
              <w:rPr/>
            </w:pPr>
            <w:r>
              <w:rPr/>
              <w:t> </w:t>
            </w:r>
          </w:p>
        </w:tc>
      </w:tr>
      <w:tr>
        <w:trPr/>
        <w:tc>
          <w:tcPr>
            <w:tcW w:w="65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(218,617</w:t>
            </w:r>
          </w:p>
        </w:tc>
        <w:tc>
          <w:tcPr>
            <w:tcW w:w="8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beginning of period</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490,252</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period</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271,635</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6"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jc w:val="right"/>
              <w:rPr/>
            </w:pPr>
            <w:r>
              <w:rPr/>
              <w:t> </w:t>
            </w:r>
          </w:p>
        </w:tc>
      </w:tr>
      <w:tr>
        <w:trPr/>
        <w:tc>
          <w:tcPr>
            <w:tcW w:w="65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1146"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ind w:left="0" w:right="0" w:firstLine="200"/>
              <w:jc w:val="right"/>
              <w:rPr/>
            </w:pPr>
            <w:r>
              <w:rPr/>
              <w:t> </w:t>
            </w:r>
          </w:p>
        </w:tc>
      </w:tr>
      <w:tr>
        <w:trPr/>
        <w:tc>
          <w:tcPr>
            <w:tcW w:w="652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Exchange of Class B ordinary shares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Impact of equity transactions and compensation on redeemable noncontrolling interest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redemption value of noncontrolling interest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509,526</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Equipment and facility expansion included in accounts payable and</w:t>
              <w:br/>
              <w:t>   accrued expenses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ProKidney Corp.</w:t>
      </w:r>
    </w:p>
    <w:p>
      <w:pPr>
        <w:pStyle w:val="TextBody"/>
        <w:bidi w:val="0"/>
        <w:jc w:val="center"/>
        <w:rPr>
          <w:rFonts w:ascii="Times New Roman" w:hAnsi="Times New Roman"/>
          <w:sz w:val="20"/>
        </w:rPr>
      </w:pPr>
      <w:bookmarkStart w:id="9" w:name="notes_to_unaudited_condensed"/>
      <w:bookmarkEnd w:id="9"/>
      <w:r>
        <w:rPr>
          <w:rFonts w:ascii="Times New Roman" w:hAnsi="Times New Roman"/>
          <w:b/>
          <w:color w:val="000000"/>
          <w:sz w:val="20"/>
        </w:rPr>
        <w:t>Notes to Unaudited Condensed</w:t>
      </w:r>
      <w:r>
        <w:rPr>
          <w:rFonts w:ascii="Times New Roman" w:hAnsi="Times New Roman"/>
          <w:color w:val="000000"/>
          <w:sz w:val="20"/>
        </w:rPr>
        <w:t xml:space="preserve"> </w:t>
      </w:r>
      <w:r>
        <w:rPr>
          <w:rFonts w:ascii="Times New Roman" w:hAnsi="Times New Roman"/>
          <w:b/>
          <w:color w:val="000000"/>
          <w:sz w:val="20"/>
        </w:rPr>
        <w:t>Consolidated Financial Statements</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 Description of Business and Basis of Presentation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ordinary shares. The business combination between SCS and PKLP (the “Business Combination”) closed (the “Closing”) on July 11, 2022 (the “Closing Date”). Upon consummation of the transaction, SCS changed its name to ProKidney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rilparencel, which has the potential to preserve kidney function in patients with chronic kidney disease or delay or eliminate the need for dialysis and organ transplantation.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ProKidney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Condensed Consolidated Financial Statements. As of March 31, 2024, various holders own non-voting interests in PKLP, representing a 73.1% economic interest in PKLP, effectively restricting ProKidney’s interest to 26.9% 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6). The Company will not be required to provide financial or other support for PKLP. However, ProKidney will control its business and other activities through its managing member interest in PKLP, and its management is the management of PKLP. Nevertheless, because ProKidney will have no material assets other than its interests in PKLP and its subsidiaries, any financial difficulties at PKLP could result in ProKidney recognizing a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intercompany transactions and balances have been eliminated.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br/>
        <w: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Unaudited Interim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(“GAAP”). The accompanying Condensed Consolidated Balance Sheet as of March 31, 2024, Condensed Consolidated Statements of Operations for the three months ended March 31, 2024 and 2023, Condensed Consolidated Statements of Comprehensive Loss for the three months ended March 31, 2024 and 2023, Condensed Consolidated Statement of Changes in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Redeemable Noncontrolling Interest and Shareholders’ Deficit for the three months ended March 31, 2024 and 2023 and Condensed Consolidated Statements of Cash Flows for the three months ended March 31, 2024 and 2023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2024, the results of operations for the three months ended March 31, 2024 and 2023 and cash flows for the three months ended March 31, 2024 and 2023. Certain prior year amounts have been reclassified to conform to the current year presentation. The December 31, 2023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2023, contained in the Company’s Annual Report on Form 10-K filed with the SEC on March 22,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results are not necessarily indicative of results for an entire year.</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Cash Equivalents and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available evidence to evaluate if a credit loss exists, and if so, recognizes an allowance for credit loss.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Concentrations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as presented in the Condensed Consolidated Balance Sheets as of March 31, 2024 and December 31, 2023 consisted of the following (in thousands):</w:t>
      </w:r>
    </w:p>
    <w:p>
      <w:pPr>
        <w:pStyle w:val="TextBody"/>
        <w:bidi w:val="0"/>
        <w:jc w:val="both"/>
        <w:rPr/>
      </w:pPr>
      <w:r>
        <w:rPr/>
        <w:t> </w:t>
      </w:r>
    </w:p>
    <w:tbl>
      <w:tblPr>
        <w:tblW w:w="7199" w:type="dxa"/>
        <w:jc w:val="left"/>
        <w:tblInd w:w="0" w:type="dxa"/>
        <w:tblLayout w:type="fixed"/>
        <w:tblCellMar>
          <w:top w:w="28" w:type="dxa"/>
          <w:left w:w="28" w:type="dxa"/>
          <w:bottom w:w="28" w:type="dxa"/>
          <w:right w:w="28" w:type="dxa"/>
        </w:tblCellMar>
      </w:tblPr>
      <w:tblGrid>
        <w:gridCol w:w="3451"/>
        <w:gridCol w:w="342"/>
        <w:gridCol w:w="1098"/>
        <w:gridCol w:w="146"/>
        <w:gridCol w:w="146"/>
        <w:gridCol w:w="409"/>
        <w:gridCol w:w="1316"/>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2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2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study related costs</w:t>
            </w:r>
          </w:p>
        </w:tc>
        <w:tc>
          <w:tcPr>
            <w:tcW w:w="342"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2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related costs</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costs</w:t>
            </w:r>
          </w:p>
        </w:tc>
        <w:tc>
          <w:tcPr>
            <w:tcW w:w="342"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improvement costs</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w:t>
            </w:r>
          </w:p>
        </w:tc>
        <w:tc>
          <w:tcPr>
            <w:tcW w:w="2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342"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2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accrued expenses and other</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in obtaining technology licenses are charged to research and development expense as purchased in-process research and development if the technology licensed has not reached technological feasibility and has no alternative future use.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pStyle w:val="TextBody"/>
        <w:bidi w:val="0"/>
        <w:jc w:val="both"/>
        <w:rPr/>
      </w:pPr>
      <w:r>
        <w:rPr/>
        <w:t> </w:t>
      </w:r>
    </w:p>
    <w:tbl>
      <w:tblPr>
        <w:tblW w:w="4937" w:type="dxa"/>
        <w:jc w:val="left"/>
        <w:tblInd w:w="0" w:type="dxa"/>
        <w:tblLayout w:type="fixed"/>
        <w:tblCellMar>
          <w:top w:w="28" w:type="dxa"/>
          <w:left w:w="28" w:type="dxa"/>
          <w:bottom w:w="28" w:type="dxa"/>
          <w:right w:w="28" w:type="dxa"/>
        </w:tblCellMar>
      </w:tblPr>
      <w:tblGrid>
        <w:gridCol w:w="2911"/>
        <w:gridCol w:w="2026"/>
      </w:tblGrid>
      <w:tr>
        <w:trPr/>
        <w:tc>
          <w:tcPr>
            <w:tcW w:w="291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25-30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 years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5-7 years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lease term</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Fixed assets consisted of the following (in thousands):</w:t>
      </w:r>
    </w:p>
    <w:p>
      <w:pPr>
        <w:pStyle w:val="TextBody"/>
        <w:bidi w:val="0"/>
        <w:jc w:val="left"/>
        <w:rPr/>
      </w:pPr>
      <w:r>
        <w:rPr/>
        <w:t> </w:t>
      </w:r>
    </w:p>
    <w:tbl>
      <w:tblPr>
        <w:tblW w:w="6799" w:type="dxa"/>
        <w:jc w:val="left"/>
        <w:tblInd w:w="0" w:type="dxa"/>
        <w:tblLayout w:type="fixed"/>
        <w:tblCellMar>
          <w:top w:w="28" w:type="dxa"/>
          <w:left w:w="28" w:type="dxa"/>
          <w:bottom w:w="28" w:type="dxa"/>
          <w:right w:w="28" w:type="dxa"/>
        </w:tblCellMar>
      </w:tblPr>
      <w:tblGrid>
        <w:gridCol w:w="2911"/>
        <w:gridCol w:w="342"/>
        <w:gridCol w:w="1098"/>
        <w:gridCol w:w="166"/>
        <w:gridCol w:w="146"/>
        <w:gridCol w:w="409"/>
        <w:gridCol w:w="1316"/>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4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41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22,490</w:t>
            </w:r>
          </w:p>
        </w:tc>
        <w:tc>
          <w:tcPr>
            <w:tcW w:w="4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42"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10,950</w:t>
            </w:r>
          </w:p>
        </w:tc>
        <w:tc>
          <w:tcPr>
            <w:tcW w:w="41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equipment</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4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342" w:type="dxa"/>
            <w:tcBorders/>
            <w:shd w:fill="CFF0FC" w:val="clear"/>
            <w:vAlign w:val="center"/>
          </w:tcPr>
          <w:p>
            <w:pPr>
              <w:pStyle w:val="TableContents"/>
              <w:bidi w:val="0"/>
              <w:spacing w:before="0" w:after="283"/>
              <w:jc w:val="left"/>
              <w:rPr/>
            </w:pPr>
            <w:r>
              <w:rPr/>
              <w:t> </w:t>
            </w:r>
          </w:p>
        </w:tc>
        <w:tc>
          <w:tcPr>
            <w:tcW w:w="10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41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w:t>
            </w:r>
          </w:p>
        </w:tc>
        <w:tc>
          <w:tcPr>
            <w:tcW w:w="41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both"/>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fixed assets, net</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three months ended March 31, 2024 and 2023 was $832,000 and $626,000,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No impairment charges have been recorded for the three months ended March 31, 2024 and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March 31, 2024 and December 31, 2023.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penalties related to income taxes are included in the expense for income taxes in the Company’s Condensed Consolidated Statements of Operations and Comprehensive Loss. The Company has not incurred any significant interest or penalties related to income taxes in any of the periods presented.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the principal or most advantageous market for the asset or liability in an orderly transaction between market participants at the measurement date. A three</w:t>
        <w:noBreakHyphen/>
        <w:t>level fair value hierarchy that prioritizes the inputs used to measure fair value is described below. The three levels of inputs used to measure fair value are as follows: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Level 1 – Unadjusted quoted prices in active markets for identical assets or liabilities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Level 2 – Inputs other than quoted prices included within Level 1 that are either directly or indirectly observable through correlation with market data</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3 – Unobservable inputs that are supported by little or no market data, which require the reporting entity to develop its own assumptions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assets and liabilities recorded at fair value, it is the Company’s policy to maximize the use of observable inputs and minimize the use of unobservable inputs when developing fair value measurements, in accordance with the fair value hierarchy. Fair value measurements for assets and liabilities where there exists limited or no observable market data are based primarily upon estimates and are often calculated based on the economic and competitive environment, the characteristics of the asset or liability and other factors. Therefore, fair value measurements cannot be determined with precision and may not be realized in an actual sale or immediate settlement of the asset or liability. Additionally, there may be inherent weaknesses in any calculation technique and changes in the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underlying assumptions used, including discount rates and estimates of future cash flows, could significantly affect the calculated current or future fair values. The Company utilizes fair value measurements to record fair value adjustments to certain assets and liabilities and to determine fair value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values of cash equivalents, accounts payable, and accrued liabilities approximate fair value due to the short</w:t>
        <w:noBreakHyphen/>
        <w:t xml:space="preserve">term nature of these instruments.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Contingent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reserves for contingent liabilities when it is probable that an asset has been impaired or a liability has been incurred at the date of the financial statements, and the amount of the loss can be reasonably estimated.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for equity-based compensation awards issued is based on the fair value of the award at the date of grant, and compensation expense is recognized for time-vested awards earned over the service period on a straight-line basis. The Company recognizes equity-based compensation for options containing performance-based vesting conditions over the requisite service period if it is probable that the performance conditions will be satisfied. The Company records forfeitures of equity-based compensation awards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grant date fair value of time and performance-based stock option awards is estimated using the Black-Scholes option pricing formula. Due to the lack of sufficient historical trading information with respect to its own shares, the Company estimates expected volatility based on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in only one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2024, the Financial Accounting Standards Board (“FASB”) issued a new standard that provides additional guidance for determining whether profits interests and similar awards should be accounted for in accordance with Topic 718, Compensation - Stock Compensation, of the Accounting Standards Codification. The standard will be effective for the Company beginning with our annual reporting for fiscal year 2025 and interim periods in that year, with early adoption permitted. We are currently evaluating the impact of this standard.</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equivalents and marketable securities are measured at fair value and within Level 2 in the fair value hierarchy, because we use quoted market prices to the extent available or alternative pricing sources and models utilizing market observable inputs to determine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our cash equivalents and marketable securities measured at fair value on a recurring basis as of March 31, 2024 (in thousands):</w:t>
      </w:r>
    </w:p>
    <w:p>
      <w:pPr>
        <w:pStyle w:val="TextBody"/>
        <w:bidi w:val="0"/>
        <w:jc w:val="left"/>
        <w:rPr/>
      </w:pPr>
      <w:r>
        <w:rPr/>
        <w:t> </w:t>
      </w:r>
    </w:p>
    <w:tbl>
      <w:tblPr>
        <w:tblW w:w="10311" w:type="dxa"/>
        <w:jc w:val="left"/>
        <w:tblInd w:w="0" w:type="dxa"/>
        <w:tblLayout w:type="fixed"/>
        <w:tblCellMar>
          <w:top w:w="28" w:type="dxa"/>
          <w:left w:w="28" w:type="dxa"/>
          <w:bottom w:w="28" w:type="dxa"/>
          <w:right w:w="28" w:type="dxa"/>
        </w:tblCellMar>
      </w:tblPr>
      <w:tblGrid>
        <w:gridCol w:w="1126"/>
        <w:gridCol w:w="991"/>
        <w:gridCol w:w="146"/>
        <w:gridCol w:w="213"/>
        <w:gridCol w:w="793"/>
        <w:gridCol w:w="146"/>
        <w:gridCol w:w="146"/>
        <w:gridCol w:w="345"/>
        <w:gridCol w:w="691"/>
        <w:gridCol w:w="146"/>
        <w:gridCol w:w="146"/>
        <w:gridCol w:w="315"/>
        <w:gridCol w:w="721"/>
        <w:gridCol w:w="166"/>
        <w:gridCol w:w="146"/>
        <w:gridCol w:w="211"/>
        <w:gridCol w:w="781"/>
        <w:gridCol w:w="146"/>
        <w:gridCol w:w="146"/>
        <w:gridCol w:w="264"/>
        <w:gridCol w:w="847"/>
        <w:gridCol w:w="146"/>
        <w:gridCol w:w="146"/>
        <w:gridCol w:w="233"/>
        <w:gridCol w:w="863"/>
        <w:gridCol w:w="291"/>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Marketable Securities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3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34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31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both"/>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26,326</w:t>
            </w:r>
          </w:p>
        </w:tc>
        <w:tc>
          <w:tcPr>
            <w:tcW w:w="291" w:type="dxa"/>
            <w:tcBorders/>
            <w:shd w:fill="FFFFFF" w:val="cle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34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31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both"/>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64"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62,075</w:t>
            </w:r>
          </w:p>
        </w:tc>
        <w:tc>
          <w:tcPr>
            <w:tcW w:w="29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34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31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291" w:type="dxa"/>
            <w:tcBorders/>
            <w:shd w:fill="FFFFFF" w:val="cle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34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31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both"/>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64"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26,521</w:t>
            </w:r>
          </w:p>
        </w:tc>
        <w:tc>
          <w:tcPr>
            <w:tcW w:w="29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both"/>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9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both"/>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fair value of the Company’s cash equivalents and marketable securities, by contractual maturity, as of March 31, 2024 (in thousands):</w:t>
      </w:r>
    </w:p>
    <w:p>
      <w:pPr>
        <w:pStyle w:val="TextBody"/>
        <w:bidi w:val="0"/>
        <w:jc w:val="left"/>
        <w:rPr/>
      </w:pPr>
      <w:r>
        <w:rPr/>
        <w:t> </w:t>
      </w:r>
    </w:p>
    <w:tbl>
      <w:tblPr>
        <w:tblW w:w="4237" w:type="dxa"/>
        <w:jc w:val="left"/>
        <w:tblInd w:w="0" w:type="dxa"/>
        <w:tblLayout w:type="fixed"/>
        <w:tblCellMar>
          <w:top w:w="28" w:type="dxa"/>
          <w:left w:w="28" w:type="dxa"/>
          <w:bottom w:w="28" w:type="dxa"/>
          <w:right w:w="28" w:type="dxa"/>
        </w:tblCellMar>
      </w:tblPr>
      <w:tblGrid>
        <w:gridCol w:w="2506"/>
        <w:gridCol w:w="306"/>
        <w:gridCol w:w="1134"/>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or less</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253,599</w:t>
            </w:r>
          </w:p>
        </w:tc>
        <w:tc>
          <w:tcPr>
            <w:tcW w:w="29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1 year through 5 years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273,045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fair values and gross unrealized losses recorded to accumulated other comprehensive income, aggregated by category and the length of time that individual securities have been in a continuous loss position as of March 31, 2024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0"/>
        <w:gridCol w:w="228"/>
        <w:gridCol w:w="733"/>
        <w:gridCol w:w="146"/>
        <w:gridCol w:w="146"/>
        <w:gridCol w:w="389"/>
        <w:gridCol w:w="891"/>
        <w:gridCol w:w="166"/>
        <w:gridCol w:w="146"/>
        <w:gridCol w:w="431"/>
        <w:gridCol w:w="405"/>
        <w:gridCol w:w="201"/>
        <w:gridCol w:w="201"/>
        <w:gridCol w:w="617"/>
        <w:gridCol w:w="662"/>
        <w:gridCol w:w="146"/>
        <w:gridCol w:w="146"/>
        <w:gridCol w:w="228"/>
        <w:gridCol w:w="733"/>
        <w:gridCol w:w="146"/>
        <w:gridCol w:w="146"/>
        <w:gridCol w:w="389"/>
        <w:gridCol w:w="891"/>
        <w:gridCol w:w="318"/>
      </w:tblGrid>
      <w:tr>
        <w:trPr/>
        <w:tc>
          <w:tcPr>
            <w:tcW w:w="170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700"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0"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both"/>
              <w:rPr/>
            </w:pPr>
            <w:r>
              <w:rPr/>
              <w:t> </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5" w:type="dxa"/>
            <w:tcBorders/>
            <w:shd w:fill="CFF0FC" w:val="clear"/>
            <w:vAlign w:val="center"/>
          </w:tcPr>
          <w:p>
            <w:pPr>
              <w:pStyle w:val="TableContents"/>
              <w:bidi w:val="0"/>
              <w:spacing w:before="0" w:after="283"/>
              <w:jc w:val="right"/>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both"/>
              <w:rPr/>
            </w:pPr>
            <w:r>
              <w:rPr/>
              <w:t> </w:t>
            </w:r>
          </w:p>
        </w:tc>
        <w:tc>
          <w:tcPr>
            <w:tcW w:w="6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228"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both"/>
              <w:rPr/>
            </w:pPr>
            <w:r>
              <w:rPr/>
              <w:t> </w:t>
            </w:r>
          </w:p>
        </w:tc>
        <w:tc>
          <w:tcPr>
            <w:tcW w:w="431"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both"/>
              <w:rPr/>
            </w:pPr>
            <w:r>
              <w:rPr/>
              <w:t> </w:t>
            </w:r>
          </w:p>
        </w:tc>
        <w:tc>
          <w:tcPr>
            <w:tcW w:w="617"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28"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389"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228"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431"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right"/>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both"/>
              <w:rPr/>
            </w:pPr>
            <w:r>
              <w:rPr/>
              <w:t> </w:t>
            </w:r>
          </w:p>
        </w:tc>
        <w:tc>
          <w:tcPr>
            <w:tcW w:w="617"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28"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389"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color w:val="000000"/>
              </w:rPr>
            </w:pPr>
            <w:r>
              <w:rPr>
                <w:color w:val="000000"/>
              </w:rPr>
              <w:t>–</w:t>
            </w:r>
          </w:p>
        </w:tc>
        <w:tc>
          <w:tcPr>
            <w:tcW w:w="318" w:type="dxa"/>
            <w:tcBorders/>
            <w:shd w:fill="CFF0FC"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bonds</w:t>
            </w:r>
          </w:p>
        </w:tc>
        <w:tc>
          <w:tcPr>
            <w:tcW w:w="228"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both"/>
              <w:rPr/>
            </w:pPr>
            <w:r>
              <w:rPr/>
              <w:t> </w:t>
            </w:r>
          </w:p>
        </w:tc>
        <w:tc>
          <w:tcPr>
            <w:tcW w:w="431"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both"/>
              <w:rPr/>
            </w:pPr>
            <w:r>
              <w:rPr/>
              <w:t> </w:t>
            </w:r>
          </w:p>
        </w:tc>
        <w:tc>
          <w:tcPr>
            <w:tcW w:w="617"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28"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389"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both"/>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both"/>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0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both"/>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both"/>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holds debt securities of companies with high credit quality and has determined that there was no material change in the credit risk of its debt securities during the three months ended March 31, 2024. As such, the Company has not recognized an allowance for credit losses related to our marketable debt securities during the three months ended March 31, 2024 and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ProKidney is considered to be an exempted Cayman Islands company and is presently not subject to income taxes or income tax filing requirements in the Cayman Islands or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subsidiary, PKLP, is organized as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subsidiary, ProKidney-US, is treated as a C corporation, and therefore a provision for federal and state taxes has been recorded. The difference between the Company’s effective tax rates and the U.S. statutory rate of 21% is primarily attributable to PKLP and ProKidney-KY being treated as partnerships for income tax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subsidiary, ProKidney-KY, has been granted, by the Government in Council of the Cayman Islands, tax concessions under an undertaking certificate exempting it from any tax levied on profits, income, gains or appreciations in relation to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net unrecognized tax benefits as of March 31, 2024 which, if recognized, would affect our effective tax rate. We expect none of the gross unrecognized tax benefits will decrease within the next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significant changes in the Company’s uncertain tax positions during the three months ended March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operating leases for real estate (primarily its operating facilities) and certain equipment with various expiration dates. The Company also has one finance lease for certain equipment. Rent expense was $422,000 and $212,000, for the three months ended March 31, 2024 and 2023, respectively. Cash paid for operating leases during the three months ended March 31, 2024, was $279,000.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classification of operating and finance lease assets and obligations in the Company's Condensed Consolidated Balance Sheets as of March 31, 2024 and December 31, 2023 (in thousands):</w:t>
      </w:r>
    </w:p>
    <w:p>
      <w:pPr>
        <w:pStyle w:val="TextBody"/>
        <w:bidi w:val="0"/>
        <w:jc w:val="left"/>
        <w:rPr/>
      </w:pPr>
      <w:r>
        <w:rPr/>
        <w:t> </w:t>
      </w:r>
    </w:p>
    <w:tbl>
      <w:tblPr>
        <w:tblW w:w="7175" w:type="dxa"/>
        <w:jc w:val="left"/>
        <w:tblInd w:w="0" w:type="dxa"/>
        <w:tblLayout w:type="fixed"/>
        <w:tblCellMar>
          <w:top w:w="28" w:type="dxa"/>
          <w:left w:w="28" w:type="dxa"/>
          <w:bottom w:w="28" w:type="dxa"/>
          <w:right w:w="28" w:type="dxa"/>
        </w:tblCellMar>
      </w:tblPr>
      <w:tblGrid>
        <w:gridCol w:w="3181"/>
        <w:gridCol w:w="146"/>
        <w:gridCol w:w="388"/>
        <w:gridCol w:w="1052"/>
        <w:gridCol w:w="146"/>
        <w:gridCol w:w="146"/>
        <w:gridCol w:w="465"/>
        <w:gridCol w:w="1260"/>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14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w:t>
            </w:r>
          </w:p>
        </w:tc>
        <w:tc>
          <w:tcPr>
            <w:tcW w:w="391" w:type="dxa"/>
            <w:tcBorders/>
            <w:shd w:fill="FFFF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3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3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vAlign w:val="center"/>
          </w:tcPr>
          <w:p>
            <w:pPr>
              <w:pStyle w:val="TableContents"/>
              <w:bidi w:val="0"/>
              <w:spacing w:before="0" w:after="283"/>
              <w:jc w:val="left"/>
              <w:rPr/>
            </w:pPr>
            <w:r>
              <w:rPr/>
              <w:t> </w:t>
            </w:r>
          </w:p>
        </w:tc>
        <w:tc>
          <w:tcPr>
            <w:tcW w:w="3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current</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noncurrent</w:t>
            </w:r>
          </w:p>
        </w:tc>
        <w:tc>
          <w:tcPr>
            <w:tcW w:w="146" w:type="dxa"/>
            <w:tcBorders/>
            <w:shd w:fill="CFF0FC" w:val="cle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FFFFFF" w:val="cle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lease liabilities for the Company’s operating and finance leases are as follows as of March 31, 2024 (in thousands):</w:t>
      </w:r>
    </w:p>
    <w:p>
      <w:pPr>
        <w:pStyle w:val="TextBody"/>
        <w:bidi w:val="0"/>
        <w:jc w:val="both"/>
        <w:rPr/>
      </w:pPr>
      <w:r>
        <w:rPr/>
        <w:t> </w:t>
      </w:r>
    </w:p>
    <w:tbl>
      <w:tblPr>
        <w:tblW w:w="7494" w:type="dxa"/>
        <w:jc w:val="left"/>
        <w:tblInd w:w="0" w:type="dxa"/>
        <w:tblLayout w:type="fixed"/>
        <w:tblCellMar>
          <w:top w:w="28" w:type="dxa"/>
          <w:left w:w="28" w:type="dxa"/>
          <w:bottom w:w="28" w:type="dxa"/>
          <w:right w:w="28" w:type="dxa"/>
        </w:tblCellMar>
      </w:tblPr>
      <w:tblGrid>
        <w:gridCol w:w="2686"/>
        <w:gridCol w:w="146"/>
        <w:gridCol w:w="397"/>
        <w:gridCol w:w="1193"/>
        <w:gridCol w:w="166"/>
        <w:gridCol w:w="146"/>
        <w:gridCol w:w="464"/>
        <w:gridCol w:w="931"/>
        <w:gridCol w:w="166"/>
        <w:gridCol w:w="146"/>
        <w:gridCol w:w="211"/>
        <w:gridCol w:w="63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2024 (remaining nine months)</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2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21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1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21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remaining lease term for operating leases is 4.2 years, and 4.5 years for finance leases. The weighted average discount rate for operating leases is 10.6% and 6.4% for finance leases.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6: Related Party Transactions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Exchange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pStyle w:val="TextBody"/>
        <w:bidi w:val="0"/>
        <w:spacing w:before="360" w:after="283"/>
        <w:jc w:val="both"/>
        <w:rPr>
          <w:rFonts w:ascii="Times New Roman" w:hAnsi="Times New Roman"/>
          <w:sz w:val="20"/>
        </w:rPr>
      </w:pPr>
      <w:r>
        <w:rPr>
          <w:rFonts w:ascii="Times New Roman" w:hAnsi="Times New Roman"/>
          <w:i/>
          <w:color w:val="000000"/>
          <w:sz w:val="20"/>
        </w:rPr>
        <w:t>Lock-Up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began at the Closing and end on the earlier of (i) the date that is 180 days after the Closing and (ii)(a) for 33% of the Lock-Up Shares (other than the Earnout Shares and the PIPE Shares), the date on which the last reported sale price of a Class A ordinary share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rilparencel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January 2023, the lock-up period for 50% of the shares held by the Closing ProKidney Unitholders (other than the Earnout Shares) expired.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Earnout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Closing, certain shareholders were issued an aggregate of 17,500,000 Earnout Restricted Common Units and 17,500,000 Earnout Restricted Stock Rights (collectively, the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those same VWAP thresholds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within a five-year period immediately following the Closing. Upon vesting, the Earnout Rights will automatically convert into Post Combination ProKidney Common Units and Class B ordinary shares.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Consulting Services Agreement between ProKidney-KY and Nefro Health</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 2020, ProKidney-KY (formerly known as inRegen) entered into a consulting services agreement with Nefro Health (“Nefro”), an Irish partnership controlled and majority-owned by Mr. Pablo Legorreta, a director of the Company, ProKidney GP Limited, a private limited company incorporated under the laws of Ireland (“Legacy GP”) and a holder of over 5% of Class A Units in PKLP,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ProKidney-KY has paid Nefro an aggregate of $25,000 for the each of the three month periods ended March 31, 2024 and 2023,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Consulting Services Agreement between ProKidney-US and Nefro Health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ProKidney-US has paid Nefro an aggregate of $25,000 for each of the three month periods ended March 31, 2024 and 2023,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7: Redeemable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the Exchange Agreement with respect to the Post-Combination ProKidney Common Units representing the outstanding 73.1% 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redeemable noncontrolling interest is recognized at the higher of (1) its initial fair value plus accumulated earnings/losses associated with the noncontrolling interest or (2) the redemption value as of the balance sheet date. At March 31, 2024, the redeemable noncontrolling interest was recorded based on its initial fair value plus accumulated losses associated with the noncontrolling interest which was higher than the redemption value as of the balance sheet date.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33"/>
        <w:gridCol w:w="595"/>
        <w:gridCol w:w="2078"/>
        <w:gridCol w:w="166"/>
        <w:gridCol w:w="146"/>
        <w:gridCol w:w="595"/>
        <w:gridCol w:w="2078"/>
        <w:gridCol w:w="214"/>
      </w:tblGrid>
      <w:tr>
        <w:trPr/>
        <w:tc>
          <w:tcPr>
            <w:tcW w:w="433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333" w:type="dxa"/>
            <w:tcBorders/>
            <w:shd w:fill="FFFFFF" w:val="clear"/>
            <w:vAlign w:val="center"/>
          </w:tcPr>
          <w:p>
            <w:pPr>
              <w:pStyle w:val="TableContents"/>
              <w:bidi w:val="0"/>
              <w:spacing w:before="0" w:after="283"/>
              <w:jc w:val="center"/>
              <w:rPr/>
            </w:pPr>
            <w:r>
              <w:rPr/>
              <w:t> </w:t>
            </w:r>
          </w:p>
        </w:tc>
        <w:tc>
          <w:tcPr>
            <w:tcW w:w="2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ordinary shareholders</w:t>
            </w:r>
          </w:p>
        </w:tc>
        <w:tc>
          <w:tcPr>
            <w:tcW w:w="5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both"/>
              <w:rPr/>
            </w:pPr>
            <w:r>
              <w:rPr/>
              <w:t> </w:t>
            </w:r>
          </w:p>
        </w:tc>
        <w:tc>
          <w:tcPr>
            <w:tcW w:w="5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accumulated deficit for impact of</w:t>
              <w:br/>
              <w:t>   subsidiary equity-based compensation</w:t>
            </w:r>
          </w:p>
        </w:tc>
        <w:tc>
          <w:tcPr>
            <w:tcW w:w="595" w:type="dxa"/>
            <w:tcBorders/>
            <w:shd w:fill="FFFFFF" w:val="clear"/>
            <w:vAlign w:val="center"/>
          </w:tcPr>
          <w:p>
            <w:pPr>
              <w:pStyle w:val="TableContents"/>
              <w:bidi w:val="0"/>
              <w:spacing w:before="0" w:after="283"/>
              <w:jc w:val="left"/>
              <w:rPr/>
            </w:pPr>
            <w:r>
              <w:rPr/>
              <w:t> </w:t>
            </w:r>
          </w:p>
        </w:tc>
        <w:tc>
          <w:tcPr>
            <w:tcW w:w="20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20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214" w:type="dxa"/>
            <w:tcBorders/>
            <w:shd w:fill="FFFFFF" w:val="clear"/>
            <w:vAlign w:val="center"/>
          </w:tcPr>
          <w:p>
            <w:pPr>
              <w:pStyle w:val="TableContents"/>
              <w:bidi w:val="0"/>
              <w:spacing w:before="0" w:after="283"/>
              <w:jc w:val="left"/>
              <w:rPr/>
            </w:pPr>
            <w:r>
              <w:rPr/>
              <w:t> </w:t>
            </w:r>
          </w:p>
        </w:tc>
      </w:tr>
      <w:tr>
        <w:trPr/>
        <w:tc>
          <w:tcPr>
            <w:tcW w:w="4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additional paid-in capital for exchange</w:t>
              <w:br/>
              <w:t>   of Common Units in ProKidney LP for Class A ordinary shares</w:t>
            </w:r>
          </w:p>
        </w:tc>
        <w:tc>
          <w:tcPr>
            <w:tcW w:w="595" w:type="dxa"/>
            <w:tcBorders/>
            <w:shd w:fill="CFF0FC" w:val="clear"/>
            <w:vAlign w:val="center"/>
          </w:tcPr>
          <w:p>
            <w:pPr>
              <w:pStyle w:val="TableContents"/>
              <w:bidi w:val="0"/>
              <w:spacing w:before="0" w:after="283"/>
              <w:jc w:val="left"/>
              <w:rPr/>
            </w:pPr>
            <w:r>
              <w:rPr/>
              <w:t> </w:t>
            </w:r>
          </w:p>
        </w:tc>
        <w:tc>
          <w:tcPr>
            <w:tcW w:w="20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left"/>
              <w:rPr/>
            </w:pPr>
            <w:r>
              <w:rPr/>
              <w:t> </w:t>
            </w:r>
          </w:p>
        </w:tc>
        <w:tc>
          <w:tcPr>
            <w:tcW w:w="2078"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43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ProKidney Corp. additional paid-in capital for vesting of</w:t>
              <w:br/>
              <w:t>   Restricted Common Units in ProKidney LP</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from net loss available to Class A ordinary shareholders and change</w:t>
              <w:br/>
              <w:t>   in ownership interest in ProKidney LP</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both"/>
              <w:rPr/>
            </w:pPr>
            <w:r>
              <w:rPr/>
              <w:t> </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Shareholders’ Equity</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2024, the Company entered into an Open Market Sale Agreement</w:t>
      </w:r>
      <w:r>
        <w:rPr>
          <w:rFonts w:ascii="Times New Roman" w:hAnsi="Times New Roman"/>
          <w:color w:val="000000"/>
          <w:sz w:val="13"/>
        </w:rPr>
        <w:t>SM</w:t>
      </w:r>
      <w:r>
        <w:rPr>
          <w:rFonts w:ascii="Times New Roman" w:hAnsi="Times New Roman"/>
          <w:color w:val="000000"/>
          <w:sz w:val="20"/>
        </w:rPr>
        <w:t xml:space="preserve"> (“Sales Agreement”) with Jefferies LLC as the sales agent, pursuant to which the Company may offer and sell, from time to time, through Jefferies, shares of its Class A ordinary shares, par value $0.0001 per share, having an aggregate offering price of up to $100.0 million by any method deemed to be an “at the market offering” as defined in Rule 415(a)(4) under the Securities Act (the “ATM Offering”). The shares are offered and sold pursuant to the Company’s shelf registration statement on Form S-3.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and 2023, the Company did not sell any shares under the Sales Agreement. However, subsequent to March 31, 2024, the Company sold 2,301,900 of its Class A ordinary shares under the Sales Agreement for net proceeds of $3,238,000.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9: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net loss attributable to Class A ordinary shareholders by the weighted-average shares of Class A ordinary shares outstanding without the consideration for potential dilutive securities. Diluted net loss per share represents basic net loss per share adjusted to include the effects of all potentially dilutive shares. Diluted net loss per share is the same as basic loss per share for all periods as the inclusion of potentially issuable shares would be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for the three months ended March 31, 2024 and 2023 (in thousands, except share and per share amounts):</w:t>
      </w:r>
    </w:p>
    <w:p>
      <w:pPr>
        <w:pStyle w:val="TextBody"/>
        <w:bidi w:val="0"/>
        <w:jc w:val="both"/>
        <w:rPr/>
      </w:pPr>
      <w:r>
        <w:rPr/>
        <w:t> </w:t>
      </w:r>
    </w:p>
    <w:tbl>
      <w:tblPr>
        <w:tblW w:w="9473" w:type="dxa"/>
        <w:jc w:val="left"/>
        <w:tblInd w:w="0" w:type="dxa"/>
        <w:tblLayout w:type="fixed"/>
        <w:tblCellMar>
          <w:top w:w="28" w:type="dxa"/>
          <w:left w:w="28" w:type="dxa"/>
          <w:bottom w:w="28" w:type="dxa"/>
          <w:right w:w="28" w:type="dxa"/>
        </w:tblCellMar>
      </w:tblPr>
      <w:tblGrid>
        <w:gridCol w:w="6256"/>
        <w:gridCol w:w="211"/>
        <w:gridCol w:w="1036"/>
        <w:gridCol w:w="166"/>
        <w:gridCol w:w="146"/>
        <w:gridCol w:w="211"/>
        <w:gridCol w:w="1036"/>
        <w:gridCol w:w="411"/>
      </w:tblGrid>
      <w:tr>
        <w:trPr/>
        <w:tc>
          <w:tcPr>
            <w:tcW w:w="6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shd w:fill="FFFFFF" w:val="clear"/>
            <w:vAlign w:val="center"/>
          </w:tcPr>
          <w:p>
            <w:pPr>
              <w:pStyle w:val="TableContents"/>
              <w:bidi w:val="0"/>
              <w:spacing w:before="0" w:after="283"/>
              <w:jc w:val="center"/>
              <w:rPr/>
            </w:pPr>
            <w:r>
              <w:rPr/>
              <w:t> </w:t>
            </w:r>
          </w:p>
        </w:tc>
      </w:tr>
      <w:tr>
        <w:trPr/>
        <w:tc>
          <w:tcPr>
            <w:tcW w:w="625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(36,909</w:t>
            </w:r>
          </w:p>
        </w:tc>
        <w:tc>
          <w:tcPr>
            <w:tcW w:w="4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25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available to Class A ordinary shareholders of ProKidney Corp., </w:t>
              <w:br/>
              <w:t>   basic and diluted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56" w:type="dxa"/>
            <w:tcBorders/>
            <w:shd w:fill="FFFFFF" w:val="clear"/>
            <w:vAlign w:val="center"/>
          </w:tcPr>
          <w:p>
            <w:pPr>
              <w:pStyle w:val="TableContents"/>
              <w:bidi w:val="0"/>
              <w:spacing w:before="0" w:after="283"/>
              <w:ind w:left="200" w:right="0" w:firstLine="200"/>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Class A ordinary shares or ProKidney Corp. outstanding, </w:t>
              <w:br/>
              <w:t>   basic and diluted</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60,951,721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61,540,231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Class A ordinary share</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per Class A ordinary share of ProKidney Corp.,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Outstanding anti-dilutive securities not included in the diluted net loss per share calculation include the following:</w:t>
      </w:r>
    </w:p>
    <w:p>
      <w:pPr>
        <w:pStyle w:val="TextBody"/>
        <w:bidi w:val="0"/>
        <w:jc w:val="left"/>
        <w:rPr/>
      </w:pPr>
      <w:r>
        <w:rPr/>
        <w:t> </w:t>
      </w:r>
    </w:p>
    <w:tbl>
      <w:tblPr>
        <w:tblW w:w="8759" w:type="dxa"/>
        <w:jc w:val="left"/>
        <w:tblInd w:w="0" w:type="dxa"/>
        <w:tblLayout w:type="fixed"/>
        <w:tblCellMar>
          <w:top w:w="28" w:type="dxa"/>
          <w:left w:w="28" w:type="dxa"/>
          <w:bottom w:w="28" w:type="dxa"/>
          <w:right w:w="28" w:type="dxa"/>
        </w:tblCellMar>
      </w:tblPr>
      <w:tblGrid>
        <w:gridCol w:w="5196"/>
        <w:gridCol w:w="163"/>
        <w:gridCol w:w="1277"/>
        <w:gridCol w:w="146"/>
        <w:gridCol w:w="146"/>
        <w:gridCol w:w="163"/>
        <w:gridCol w:w="1277"/>
        <w:gridCol w:w="391"/>
      </w:tblGrid>
      <w:tr>
        <w:trPr/>
        <w:tc>
          <w:tcPr>
            <w:tcW w:w="51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391" w:type="dxa"/>
            <w:tcBorders/>
            <w:shd w:fill="FFFFFF" w:val="clear"/>
            <w:vAlign w:val="center"/>
          </w:tcPr>
          <w:p>
            <w:pPr>
              <w:pStyle w:val="TableContents"/>
              <w:bidi w:val="0"/>
              <w:spacing w:before="0" w:after="283"/>
              <w:jc w:val="center"/>
              <w:rPr/>
            </w:pPr>
            <w:r>
              <w:rPr/>
              <w:t> </w:t>
            </w:r>
          </w:p>
        </w:tc>
      </w:tr>
      <w:tr>
        <w:trPr/>
        <w:tc>
          <w:tcPr>
            <w:tcW w:w="519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Antidilutive securities</w:t>
            </w:r>
          </w:p>
        </w:tc>
        <w:tc>
          <w:tcPr>
            <w:tcW w:w="144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ProKidney Corp. Class B ordinary shares</w:t>
            </w:r>
          </w:p>
        </w:tc>
        <w:tc>
          <w:tcPr>
            <w:tcW w:w="163"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167,723,553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173,444,861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Unvested Restricted Stock Rights</w:t>
            </w:r>
          </w:p>
        </w:tc>
        <w:tc>
          <w:tcPr>
            <w:tcW w:w="163" w:type="dxa"/>
            <w:tcBorders/>
            <w:shd w:fill="CFF0FC" w:val="clear"/>
            <w:vAlign w:val="center"/>
          </w:tcPr>
          <w:p>
            <w:pPr>
              <w:pStyle w:val="TableContents"/>
              <w:bidi w:val="0"/>
              <w:spacing w:before="0" w:after="283"/>
              <w:jc w:val="left"/>
              <w:rPr/>
            </w:pPr>
            <w:r>
              <w:rPr/>
              <w:t> </w:t>
            </w:r>
          </w:p>
        </w:tc>
        <w:tc>
          <w:tcPr>
            <w:tcW w:w="12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2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6,175,541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Earnout Rights</w:t>
            </w:r>
          </w:p>
        </w:tc>
        <w:tc>
          <w:tcPr>
            <w:tcW w:w="163"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Legacy SCS Restricted Share Units</w:t>
            </w:r>
          </w:p>
        </w:tc>
        <w:tc>
          <w:tcPr>
            <w:tcW w:w="163" w:type="dxa"/>
            <w:tcBorders/>
            <w:shd w:fill="CFF0FC" w:val="clear"/>
            <w:vAlign w:val="center"/>
          </w:tcPr>
          <w:p>
            <w:pPr>
              <w:pStyle w:val="TableContents"/>
              <w:bidi w:val="0"/>
              <w:spacing w:before="0" w:after="283"/>
              <w:jc w:val="left"/>
              <w:rPr/>
            </w:pPr>
            <w:r>
              <w:rPr/>
              <w:t> </w:t>
            </w:r>
          </w:p>
        </w:tc>
        <w:tc>
          <w:tcPr>
            <w:tcW w:w="12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2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options granted under the 2022 Equity Incentive Plan</w:t>
            </w:r>
          </w:p>
        </w:tc>
        <w:tc>
          <w:tcPr>
            <w:tcW w:w="163"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21,845,327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14,591,415</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10: Equity Based Compensation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2022 Incentive Equity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As of March 31, 2024, there were 42,655,298 Class A ordinary shares reserved for issuance.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Class A ordinary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issued incentive and non-qualified stock option awards under the 2022 Plan to certain employees and non-employee directors of the Company. Given that the Company has established a full valuation allowance against its deferred tax assets, the Company has recognized no tax benefit related to these awards.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Time-Vested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Black-Scholes option pricing model to calculate the fair value of time-vested stock options granted. These awards generally vest ratably over a three or four-year period and the option awards expire after a term of ten years from the date of grant. The fair value of stock options granted was estimated using the following assumptions during the three months ended March 31, 2024:</w:t>
      </w:r>
    </w:p>
    <w:p>
      <w:pPr>
        <w:pStyle w:val="TextBody"/>
        <w:bidi w:val="0"/>
        <w:jc w:val="left"/>
        <w:rPr/>
      </w:pPr>
      <w:r>
        <w:rPr/>
        <w:t> </w:t>
      </w:r>
    </w:p>
    <w:tbl>
      <w:tblPr>
        <w:tblW w:w="5771" w:type="dxa"/>
        <w:jc w:val="left"/>
        <w:tblInd w:w="0" w:type="dxa"/>
        <w:tblLayout w:type="fixed"/>
        <w:tblCellMar>
          <w:top w:w="28" w:type="dxa"/>
          <w:left w:w="28" w:type="dxa"/>
          <w:bottom w:w="28" w:type="dxa"/>
          <w:right w:w="28" w:type="dxa"/>
        </w:tblCellMar>
      </w:tblPr>
      <w:tblGrid>
        <w:gridCol w:w="2791"/>
        <w:gridCol w:w="146"/>
        <w:gridCol w:w="1321"/>
        <w:gridCol w:w="147"/>
        <w:gridCol w:w="136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4" w:type="dxa"/>
            <w:gridSpan w:val="3"/>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r>
      <w:tr>
        <w:trPr/>
        <w:tc>
          <w:tcPr>
            <w:tcW w:w="27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82.9% - 84.9%</w:t>
            </w:r>
          </w:p>
        </w:tc>
        <w:tc>
          <w:tcPr>
            <w:tcW w:w="147" w:type="dxa"/>
            <w:tcBorders/>
            <w:shd w:fill="CFF0FC" w:val="clear"/>
            <w:vAlign w:val="center"/>
          </w:tcPr>
          <w:p>
            <w:pPr>
              <w:pStyle w:val="TableContents"/>
              <w:bidi w:val="0"/>
              <w:spacing w:before="0" w:after="283"/>
              <w:jc w:val="center"/>
              <w:rPr/>
            </w:pPr>
            <w:r>
              <w:rPr/>
              <w:t> </w:t>
            </w:r>
          </w:p>
        </w:tc>
        <w:tc>
          <w:tcPr>
            <w:tcW w:w="136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81.8% - 82.3%</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options, in years</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7" w:type="dxa"/>
            <w:tcBorders/>
            <w:shd w:fill="FFFFFF" w:val="clear"/>
            <w:vAlign w:val="center"/>
          </w:tcPr>
          <w:p>
            <w:pPr>
              <w:pStyle w:val="TableContents"/>
              <w:bidi w:val="0"/>
              <w:spacing w:before="0" w:after="283"/>
              <w:jc w:val="center"/>
              <w:rPr/>
            </w:pPr>
            <w:r>
              <w:rPr/>
              <w:t> </w:t>
            </w:r>
          </w:p>
        </w:tc>
        <w:tc>
          <w:tcPr>
            <w:tcW w:w="13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6.0 - 6.1</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- 4.2%</w:t>
            </w:r>
          </w:p>
        </w:tc>
        <w:tc>
          <w:tcPr>
            <w:tcW w:w="147" w:type="dxa"/>
            <w:tcBorders/>
            <w:shd w:fill="CFF0FC" w:val="clear"/>
            <w:vAlign w:val="center"/>
          </w:tcPr>
          <w:p>
            <w:pPr>
              <w:pStyle w:val="TableContents"/>
              <w:bidi w:val="0"/>
              <w:spacing w:before="0" w:after="283"/>
              <w:jc w:val="center"/>
              <w:rPr/>
            </w:pPr>
            <w:r>
              <w:rPr/>
              <w:t> </w:t>
            </w:r>
          </w:p>
        </w:tc>
        <w:tc>
          <w:tcPr>
            <w:tcW w:w="136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- 4.2%</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7" w:type="dxa"/>
            <w:tcBorders/>
            <w:shd w:fill="FFFFFF" w:val="clear"/>
            <w:vAlign w:val="center"/>
          </w:tcPr>
          <w:p>
            <w:pPr>
              <w:pStyle w:val="TableContents"/>
              <w:bidi w:val="0"/>
              <w:spacing w:before="0" w:after="283"/>
              <w:jc w:val="center"/>
              <w:rPr/>
            </w:pPr>
            <w:r>
              <w:rPr/>
              <w:t> </w:t>
            </w:r>
          </w:p>
        </w:tc>
        <w:tc>
          <w:tcPr>
            <w:tcW w:w="136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activity related to the Company’s time-vested stock option awards granted under the 2022 Plan for the three months ended March 31,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72"/>
        <w:gridCol w:w="146"/>
        <w:gridCol w:w="193"/>
        <w:gridCol w:w="1374"/>
        <w:gridCol w:w="166"/>
        <w:gridCol w:w="146"/>
        <w:gridCol w:w="844"/>
        <w:gridCol w:w="1870"/>
        <w:gridCol w:w="394"/>
      </w:tblGrid>
      <w:tr>
        <w:trPr/>
        <w:tc>
          <w:tcPr>
            <w:tcW w:w="5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07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outstanding at January 1, 2024</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3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50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3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5,994,391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1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50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outstanding at March 31, 2024</w:t>
            </w:r>
          </w:p>
        </w:tc>
        <w:tc>
          <w:tcPr>
            <w:tcW w:w="146"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20,339,077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exercisable at March 31, 2024</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3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5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FFFFFF" w:val="clear"/>
            <w:vAlign w:val="center"/>
          </w:tcPr>
          <w:p>
            <w:pPr>
              <w:pStyle w:val="TableContents"/>
              <w:bidi w:val="0"/>
              <w:spacing w:before="0" w:after="283"/>
              <w:jc w:val="left"/>
              <w:rPr/>
            </w:pPr>
            <w:r>
              <w:rPr/>
              <w:t> </w:t>
            </w:r>
          </w:p>
        </w:tc>
        <w:tc>
          <w:tcPr>
            <w:tcW w:w="156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 years</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14"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50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Time-vested options vested and expected to vest at March 31, 2024</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3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20,339,077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94" w:type="dxa"/>
            <w:tcBorders/>
            <w:shd w:fill="CFF0FC" w:val="clear"/>
            <w:vAlign w:val="center"/>
          </w:tcPr>
          <w:p>
            <w:pPr>
              <w:pStyle w:val="TableContents"/>
              <w:bidi w:val="0"/>
              <w:spacing w:before="0" w:after="283"/>
              <w:ind w:left="0" w:right="0" w:firstLine="100"/>
              <w:jc w:val="left"/>
              <w:rPr/>
            </w:pPr>
            <w:r>
              <w:rPr/>
              <w:t> </w:t>
            </w:r>
          </w:p>
        </w:tc>
      </w:tr>
      <w:tr>
        <w:trPr/>
        <w:tc>
          <w:tcPr>
            <w:tcW w:w="50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FFFFFF" w:val="clear"/>
            <w:vAlign w:val="center"/>
          </w:tcPr>
          <w:p>
            <w:pPr>
              <w:pStyle w:val="TableContents"/>
              <w:bidi w:val="0"/>
              <w:spacing w:before="0" w:after="283"/>
              <w:jc w:val="left"/>
              <w:rPr/>
            </w:pPr>
            <w:r>
              <w:rPr/>
              <w:t> </w:t>
            </w:r>
          </w:p>
        </w:tc>
        <w:tc>
          <w:tcPr>
            <w:tcW w:w="156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 years</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14"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2024 and 2023, the Company recognized $5,161,000 and $3,917,000 of compensation expense related to time-vested awards under the 2022 Plan, respectively. These amounts are exclusive of the expense related to the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modification of awards as discussed below. As of March 31, 2024, the Company had total unrecognized stock-based compensation expense of approximately $56,409,000 related to the time-vested grants under the 2022 Plan, which is expected to be recognized on a straight-line basis over a weighted average period of 3.2 years. The weighted average grant date fair value for the option grants during the three months ended March 31, 2024 and 2023 was $1.15 and $6.47,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the in-the-money time-vested awards outstanding as well as those exercisable as of March 31, 2024 was $587,000.</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issued stock options to certain of its employees which vest based on the achievement of both operational performance metrics and service rendered over a specific time period. The following table summarizes the activity related to the Company’s performance-based stock option awards granted under the 2022 Plan for the three months ended March 31,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84"/>
        <w:gridCol w:w="146"/>
        <w:gridCol w:w="205"/>
        <w:gridCol w:w="1313"/>
        <w:gridCol w:w="146"/>
        <w:gridCol w:w="146"/>
        <w:gridCol w:w="800"/>
        <w:gridCol w:w="1773"/>
        <w:gridCol w:w="392"/>
      </w:tblGrid>
      <w:tr>
        <w:trPr/>
        <w:tc>
          <w:tcPr>
            <w:tcW w:w="5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2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outstanding at January 1, 2024</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3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52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1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92" w:type="dxa"/>
            <w:tcBorders/>
            <w:shd w:fill="FFFFFF" w:val="clear"/>
            <w:vAlign w:val="center"/>
          </w:tcPr>
          <w:p>
            <w:pPr>
              <w:pStyle w:val="TableContents"/>
              <w:bidi w:val="0"/>
              <w:spacing w:before="0" w:after="283"/>
              <w:jc w:val="left"/>
              <w:rPr/>
            </w:pPr>
            <w:r>
              <w:rPr/>
              <w:t> </w:t>
            </w:r>
          </w:p>
        </w:tc>
      </w:tr>
      <w:tr>
        <w:trPr/>
        <w:tc>
          <w:tcPr>
            <w:tcW w:w="5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outstanding at March 31, 2024</w:t>
            </w:r>
          </w:p>
        </w:tc>
        <w:tc>
          <w:tcPr>
            <w:tcW w:w="146" w:type="dxa"/>
            <w:tcBorders/>
            <w:shd w:fill="CFF0FC" w:val="clear"/>
            <w:vAlign w:val="center"/>
          </w:tcPr>
          <w:p>
            <w:pPr>
              <w:pStyle w:val="TableContents"/>
              <w:bidi w:val="0"/>
              <w:spacing w:before="0" w:after="283"/>
              <w:jc w:val="left"/>
              <w:rPr/>
            </w:pPr>
            <w:r>
              <w:rPr/>
              <w:t> </w:t>
            </w:r>
          </w:p>
        </w:tc>
        <w:tc>
          <w:tcPr>
            <w:tcW w:w="2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3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1,506,250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2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exercisable at March 31, 2024</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3" w:type="dxa"/>
            <w:tcBorders/>
            <w:shd w:fill="FFFFFF" w:val="clear"/>
            <w:vAlign w:val="center"/>
          </w:tcPr>
          <w:p>
            <w:pPr>
              <w:pStyle w:val="TableContents"/>
              <w:bidi w:val="0"/>
              <w:spacing w:before="0" w:after="283"/>
              <w:jc w:val="right"/>
              <w:rPr>
                <w:color w:val="000000"/>
              </w:rPr>
            </w:pPr>
            <w:r>
              <w:rPr>
                <w:color w:val="000000"/>
              </w:rPr>
              <w:t>—</w:t>
            </w:r>
          </w:p>
        </w:tc>
        <w:tc>
          <w:tcPr>
            <w:tcW w:w="392" w:type="dxa"/>
            <w:tcBorders/>
            <w:shd w:fill="FFFFFF" w:val="clear"/>
            <w:vAlign w:val="center"/>
          </w:tcPr>
          <w:p>
            <w:pPr>
              <w:pStyle w:val="TableContents"/>
              <w:bidi w:val="0"/>
              <w:spacing w:before="0" w:after="283"/>
              <w:jc w:val="left"/>
              <w:rPr/>
            </w:pPr>
            <w:r>
              <w:rPr/>
              <w:t> </w:t>
            </w:r>
          </w:p>
        </w:tc>
      </w:tr>
      <w:tr>
        <w:trPr/>
        <w:tc>
          <w:tcPr>
            <w:tcW w:w="5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vested and expected to vest at March 31, 2024</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3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92" w:type="dxa"/>
            <w:tcBorders/>
            <w:shd w:fill="CFF0FC" w:val="clear"/>
            <w:vAlign w:val="center"/>
          </w:tcPr>
          <w:p>
            <w:pPr>
              <w:pStyle w:val="TableContents"/>
              <w:bidi w:val="0"/>
              <w:spacing w:before="0" w:after="283"/>
              <w:ind w:left="0" w:right="0" w:firstLine="100"/>
              <w:jc w:val="left"/>
              <w:rPr/>
            </w:pPr>
            <w:r>
              <w:rPr/>
              <w:t> </w:t>
            </w:r>
          </w:p>
        </w:tc>
      </w:tr>
      <w:tr>
        <w:trPr/>
        <w:tc>
          <w:tcPr>
            <w:tcW w:w="528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remaining contractual life</w:t>
            </w:r>
          </w:p>
        </w:tc>
        <w:tc>
          <w:tcPr>
            <w:tcW w:w="146" w:type="dxa"/>
            <w:tcBorders/>
            <w:shd w:fill="FFFFFF" w:val="clear"/>
            <w:vAlign w:val="center"/>
          </w:tcPr>
          <w:p>
            <w:pPr>
              <w:pStyle w:val="TableContents"/>
              <w:bidi w:val="0"/>
              <w:spacing w:before="0" w:after="283"/>
              <w:jc w:val="left"/>
              <w:rPr/>
            </w:pPr>
            <w:r>
              <w:rPr/>
              <w:t> </w:t>
            </w:r>
          </w:p>
        </w:tc>
        <w:tc>
          <w:tcPr>
            <w:tcW w:w="1518"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 years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73"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March 31, 2024, the Company recognized $258,000 of compensation expense related to performance-based awards under the 2022 Plan, respectively. As of March 31, 2024, the Company had total unrecognized stock-based compensation expense of approximately $1,379,000 related to the performance-based grants under the 2022 Plan, which is expected to be recognized on a straight-line basis over a weighted average period of 1.5 years.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Market-Vested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previous periods, the Company had granted market-vested options to its former Chief Executive Officer, these awards were forfeited upon the termination of his employment in November 2023. For the three months ended March 31, 2023, the Company recognized $2,764,000 of compensation expense related to market-vested awards under the 2022 Plan. There were no market-vested awards granted during the three months ended March 31, 2024 and 2023. There were no market based awards outstanding at March 31,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Legacy Profits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Deed for the Establishment of a Limited Partnership of PKLP,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Limited Partnership Agreement, Legacy GP determined the terms and conditions of the Profits Interests issued. The threshold value assigned to each grant was not to be less than the fair market value of PKLP on the date of grant. Profits Interests awarded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 (as defined in the Limited Partnership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consummation of the Business Combination discussed in Note 1, PKLP’s existing Class B and B-1 Units were “caught up” and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activity related to the Profits Interest awards for the three months ended March 31, 2024: </w:t>
      </w:r>
    </w:p>
    <w:p>
      <w:pPr>
        <w:pStyle w:val="TextBody"/>
        <w:bidi w:val="0"/>
        <w:jc w:val="both"/>
        <w:rPr/>
      </w:pPr>
      <w:r>
        <w:rPr/>
        <w:t> </w:t>
      </w:r>
    </w:p>
    <w:tbl>
      <w:tblPr>
        <w:tblW w:w="10135" w:type="dxa"/>
        <w:jc w:val="left"/>
        <w:tblInd w:w="0" w:type="dxa"/>
        <w:tblLayout w:type="fixed"/>
        <w:tblCellMar>
          <w:top w:w="28" w:type="dxa"/>
          <w:left w:w="28" w:type="dxa"/>
          <w:bottom w:w="28" w:type="dxa"/>
          <w:right w:w="28" w:type="dxa"/>
        </w:tblCellMar>
      </w:tblPr>
      <w:tblGrid>
        <w:gridCol w:w="4036"/>
        <w:gridCol w:w="146"/>
        <w:gridCol w:w="208"/>
        <w:gridCol w:w="1412"/>
        <w:gridCol w:w="166"/>
        <w:gridCol w:w="146"/>
        <w:gridCol w:w="1129"/>
        <w:gridCol w:w="2501"/>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awards outstanding at January 1, 2024</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14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3,565,753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(1,108,020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left"/>
              <w:rPr/>
            </w:pPr>
            <w:r>
              <w:rPr/>
              <w:t> </w:t>
            </w:r>
          </w:p>
        </w:tc>
        <w:tc>
          <w:tcPr>
            <w:tcW w:w="25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awards outstanding at March 31, 2024</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2024, the unrecognized compensation expense related to these awards was $14,178,000. The current weighted average remaining period over which the unrecognized compensation expense is expected to be recognized is 1.6 years. There were no Profits Interests awarded during the three months ended March 31, 2024 or 2023.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Modification to Equity Based Compensation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2023, the Company modified the vesting terms of outstanding time-based stock options issued to certain personnel upon their separation. This amendment constituted a modification of the awards under the provisions of ASC Topic 718 and resulted in the recognition of an additional $3,011,000 of compensation expense during the three months ended March 31, 2023.</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related to equity-based awards is included in research and development and general and administrative expense as follows (in thousands):</w:t>
      </w:r>
    </w:p>
    <w:p>
      <w:pPr>
        <w:pStyle w:val="TextBody"/>
        <w:bidi w:val="0"/>
        <w:jc w:val="both"/>
        <w:rPr/>
      </w:pPr>
      <w:r>
        <w:rPr/>
        <w:t> </w:t>
      </w:r>
    </w:p>
    <w:tbl>
      <w:tblPr>
        <w:tblW w:w="6720" w:type="dxa"/>
        <w:jc w:val="left"/>
        <w:tblInd w:w="0" w:type="dxa"/>
        <w:tblLayout w:type="fixed"/>
        <w:tblCellMar>
          <w:top w:w="28" w:type="dxa"/>
          <w:left w:w="28" w:type="dxa"/>
          <w:bottom w:w="28" w:type="dxa"/>
          <w:right w:w="28" w:type="dxa"/>
        </w:tblCellMar>
      </w:tblPr>
      <w:tblGrid>
        <w:gridCol w:w="3641"/>
        <w:gridCol w:w="300"/>
        <w:gridCol w:w="812"/>
        <w:gridCol w:w="207"/>
        <w:gridCol w:w="207"/>
        <w:gridCol w:w="300"/>
        <w:gridCol w:w="962"/>
        <w:gridCol w:w="291"/>
      </w:tblGrid>
      <w:tr>
        <w:trPr/>
        <w:tc>
          <w:tcPr>
            <w:tcW w:w="36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vAlign w:val="center"/>
          </w:tcPr>
          <w:p>
            <w:pPr>
              <w:pStyle w:val="TableContents"/>
              <w:bidi w:val="0"/>
              <w:spacing w:before="0" w:after="283"/>
              <w:jc w:val="left"/>
              <w:rPr/>
            </w:pPr>
            <w:r>
              <w:rPr/>
              <w:t> </w:t>
            </w:r>
          </w:p>
        </w:tc>
        <w:tc>
          <w:tcPr>
            <w:tcW w:w="2788"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shd w:fill="FFFFFF" w:val="clear"/>
            <w:vAlign w:val="center"/>
          </w:tcPr>
          <w:p>
            <w:pPr>
              <w:pStyle w:val="TableContents"/>
              <w:bidi w:val="0"/>
              <w:spacing w:before="0" w:after="283"/>
              <w:jc w:val="center"/>
              <w:rPr/>
            </w:pPr>
            <w:r>
              <w:rPr/>
              <w:t> </w:t>
            </w:r>
          </w:p>
        </w:tc>
      </w:tr>
      <w:tr>
        <w:trPr/>
        <w:tc>
          <w:tcPr>
            <w:tcW w:w="3641"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w:t>
            </w:r>
          </w:p>
        </w:tc>
        <w:tc>
          <w:tcPr>
            <w:tcW w:w="291" w:type="dxa"/>
            <w:tcBorders/>
            <w:shd w:fill="CFF0FC" w:val="clear"/>
            <w:vAlign w:val="center"/>
          </w:tcPr>
          <w:p>
            <w:pPr>
              <w:pStyle w:val="TableContents"/>
              <w:bidi w:val="0"/>
              <w:spacing w:before="0" w:after="283"/>
              <w:jc w:val="left"/>
              <w:rPr/>
            </w:pPr>
            <w:r>
              <w:rPr/>
              <w:t> </w:t>
            </w:r>
          </w:p>
        </w:tc>
      </w:tr>
      <w:tr>
        <w:trPr/>
        <w:tc>
          <w:tcPr>
            <w:tcW w:w="3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equity-based compensation expense</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_item2"/>
      <w:bookmarkEnd w:id="10"/>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As used in this Quarterly Report on Form 10-Q, the “Company”, the “Registrant”, “we” or “us” refer to ProKidney Corp. The following discussion and analysis of our financial condition and results of operations should be read in conjunction with our unaudited condensed consolidated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filed with the Securities and Exchange Commission,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with a transformative proprietary cell therapy platform that has the potential to treat multiple chronic kidney diseases using a patient’s own cells isolated from the patient intended for treatment. Our approach seeks to redefine the treatment of chronic kidney disease (“CKD”), shifting the emphasis away from management of kidney failure to the preservation, if not improvement, of kidney function. Our lead product candidate, rilparencel (which we sometimes refer to as REACT®), is designed to preserve kidney function in a CKD patient’s diseased kidneys. Rilparencel is a product that includes autologous Selected Renal Cells (“SRC”) prepared from a patient’s own (autologous) kidney cells. SRC are formulated into a product for reinjection into the patient’s kidney using a minimally invasive outpatient procedure that might be repeatable, if necessary. Because rilparencel is a personalized treatment composed of cells prepared from a patient’s own kidney, there is no need for treatment with immunosuppressive therapies that are required during a patient’s lifetime when a patient receives a kidney transplant from another, allogeneic donor.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conducting a global Phase 3 development program and multiple Phase 2 clinical trials for rilparencel in subjects with moderate to severe diabetic kidney disease (“DKD”). We also completed a Phase 1 clinical trial for rilparencel in subjects with CKD due to congenital anomalies of the kidney and urinary tract (“CAKUT”) for which the last subject visit occurred in January 2023 and the clinical study report was submitted to the FDA in December 2023. Rilparencel has, to date, been generally well tolerated by subjects with moderate to severe CKD in Phase 1 and 2 clinical testing.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devoted substantially all of our resources to raising capital, organizing and staffing our Company, business and scientific planning, conducting discovery and research activities, acquiring or discovering product candidates, establishing and protecting our intellectual property portfolio, developing and progressing rilparencel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REGEN-006/PROACT 1 trial:</w:t>
      </w:r>
    </w:p>
    <w:p>
      <w:pPr>
        <w:pStyle w:val="TextBody"/>
        <w:bidi w:val="0"/>
        <w:spacing w:before="120" w:after="283"/>
        <w:jc w:val="left"/>
        <w:rPr>
          <w:rFonts w:ascii="Times New Roman" w:hAnsi="Times New Roman"/>
          <w:sz w:val="20"/>
        </w:rPr>
      </w:pPr>
      <w:r>
        <w:rPr>
          <w:rFonts w:ascii="Times New Roman" w:hAnsi="Times New Roman"/>
          <w:color w:val="000000"/>
          <w:sz w:val="20"/>
        </w:rPr>
        <w:t>REGEN-006 (PROACT 1) is an ongoing Phase 3, randomized, blinded, bi-lateral kidney dose, sham control arm, controlled efficacy study of rilparencel in subjects with CKD caused by type 2 diabetes. The related study protocol has been amended and was submitted to the FDA in March 2024. The amendment updated the protocol to focus on a subset of patients with Stage 4 CKD (eGFR between 20 and 30 mL min/1.73m</w:t>
      </w:r>
      <w:r>
        <w:rPr>
          <w:rFonts w:ascii="Times New Roman" w:hAnsi="Times New Roman"/>
          <w:color w:val="000000"/>
          <w:sz w:val="13"/>
        </w:rPr>
        <w:t>2</w:t>
      </w:r>
      <w:r>
        <w:rPr>
          <w:rFonts w:ascii="Times New Roman" w:hAnsi="Times New Roman"/>
          <w:color w:val="000000"/>
          <w:sz w:val="20"/>
        </w:rPr>
        <w:t>) and late Stage 3b CKD (eGFR between 30 and 35 mL min/1.73m</w:t>
      </w:r>
      <w:r>
        <w:rPr>
          <w:rFonts w:ascii="Times New Roman" w:hAnsi="Times New Roman"/>
          <w:color w:val="000000"/>
          <w:sz w:val="13"/>
        </w:rPr>
        <w:t>2</w:t>
      </w:r>
      <w:r>
        <w:rPr>
          <w:rFonts w:ascii="Times New Roman" w:hAnsi="Times New Roman"/>
          <w:color w:val="000000"/>
          <w:sz w:val="20"/>
        </w:rPr>
        <w:t>) with accompanying albuminuria. We continue to expect PROACT 1 to resume in mid-2024.</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since our inception and do not expect to generate any revenue from the sale of products in the near future, if at all. If our development efforts for rilparencel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pStyle w:val="TextBody"/>
        <w:bidi w:val="0"/>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our research and development activities, including the development of rilparencel.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research and development expenses incurred under agreements with CROs and other scientific development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other outside consultants, including their fees and related travel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quality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laboratory supplies and acquiring and developing clinical trial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third-party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including salaries, bonuses, benefits and stock-based compensation expenses, for individuals involved in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and other allocated expenses, which include direct and allocated expenses for rent, insurance and other internal operating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We expect that our research and development expenses will increase significantly for the foreseeable future as rilparencel moves into later stages of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development of rilparencel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rilparencel or potential future product candidates, if approved. This is due to the numerous risks and uncertainties associated with developing product candidates, many of which are outside of our control,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non-clinical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non-clinical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 appropriate safety-profile;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sites and patients involved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countries in which the clinical trials are conducted;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patient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patient enrollment in, and the initiation of, clinical trials, as well as drop out or discontinuation rates;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completion of clinical trials with safety, tolerability and efficacy profiles that are satisfactory to the FDA and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trials required for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new licensing or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future collaborators,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 and regulatory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defending and enforcing patient claims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benefits of rilparencel over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rilparencel, if approved, whether alone or in collaboration with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rilparencel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general and administrative expenses will increase significantly for the foreseeable future as our business expands and we hire additional personnel to support our operations. We also anticipate increased expenses associated with being a public company, including costs for legal, audit, accounting, investor and public relations, tax-related services, director and officer insurance, and regulatory costs related to compliance with the rules and regulations of the United States Securities and Exchange Commission (the “SEC”) as well as listing standards applicable to companies listed on a national securities exchange.</w:t>
      </w:r>
    </w:p>
    <w:p>
      <w:pPr>
        <w:pStyle w:val="TextBody"/>
        <w:bidi w:val="0"/>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consists primarily of interest income earned on cash, cash equivalents and marketable securities.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reflects federal and state taxes on income earned by our subsidiary that is organized as a C corporation for U.S. income tax purposes.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Three Months Ended March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March 31, 2024 and 2023 (in thousands):</w:t>
      </w:r>
    </w:p>
    <w:tbl>
      <w:tblPr>
        <w:tblW w:w="8348" w:type="dxa"/>
        <w:jc w:val="left"/>
        <w:tblInd w:w="0" w:type="dxa"/>
        <w:tblLayout w:type="fixed"/>
        <w:tblCellMar>
          <w:top w:w="28" w:type="dxa"/>
          <w:left w:w="28" w:type="dxa"/>
          <w:bottom w:w="28" w:type="dxa"/>
          <w:right w:w="28" w:type="dxa"/>
        </w:tblCellMar>
      </w:tblPr>
      <w:tblGrid>
        <w:gridCol w:w="4231"/>
        <w:gridCol w:w="146"/>
        <w:gridCol w:w="211"/>
        <w:gridCol w:w="736"/>
        <w:gridCol w:w="166"/>
        <w:gridCol w:w="146"/>
        <w:gridCol w:w="211"/>
        <w:gridCol w:w="736"/>
        <w:gridCol w:w="166"/>
        <w:gridCol w:w="146"/>
        <w:gridCol w:w="211"/>
        <w:gridCol w:w="631"/>
        <w:gridCol w:w="6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2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Class A ordinary shareholders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research and development expenses of approximately $1.6 million was primarily driven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cash-based compensation costs of approximately $3.2 million due to the hiring of additional personnel particularly in the areas of clinical development, manufacturing and quality as we move forward with our clinical programs,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in professional fees of $2.6 million related to the remediation of documentation deficiencies within our quality management systems, offset by;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decreases in clinical study costs of approximately $2.1 million related primarily due to the impact of the pause of manufacturing and its impact on our Phase 3 program;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decreases in spending of approximately $2.5 million related to manufacturing improvements.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general and administrative expenses of approximately $2.4 million was primarily driven by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decreases in equity-based compensation of approximately $4.8 million due to lower expenses in the 2024 period driven by the impact of forfeitures of awards made to executives, offset by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in cash-based compensation of approximately $1.7 million related to the hiring of new employees;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increases in professional services of approximately $0.9 million related primarily to marketing strategy and information technology related services.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for the three months ended March 31, 2024 decreased from the three months ended March 31, 2023 due to a change in the treatment of specified research and development expenses by our U.S. subsidiary due to recent guidance issued by the Internal Revenue Service such that these costs are no longer required to be capitalized and amortized ratably over a five-year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March 31, 2024, we funded our operations primarily through capital contributions from the holders of PKLP and the proceeds obtained through the Business Combination and related private placement financing.</w:t>
      </w:r>
    </w:p>
    <w:p>
      <w:pPr>
        <w:pStyle w:val="TextBody"/>
        <w:bidi w:val="0"/>
        <w:spacing w:before="120" w:after="283"/>
        <w:jc w:val="left"/>
        <w:rPr>
          <w:rFonts w:ascii="Times New Roman" w:hAnsi="Times New Roman"/>
          <w:sz w:val="20"/>
        </w:rPr>
      </w:pPr>
      <w:r>
        <w:rPr>
          <w:rFonts w:ascii="Times New Roman" w:hAnsi="Times New Roman"/>
          <w:color w:val="000000"/>
          <w:sz w:val="20"/>
        </w:rPr>
        <w:t>In January 2024, we entered into an Open Market Sale Agreement</w:t>
      </w:r>
      <w:r>
        <w:rPr>
          <w:rFonts w:ascii="Times New Roman" w:hAnsi="Times New Roman"/>
          <w:color w:val="000000"/>
          <w:sz w:val="13"/>
        </w:rPr>
        <w:t>SM</w:t>
      </w:r>
      <w:r>
        <w:rPr>
          <w:rFonts w:ascii="Times New Roman" w:hAnsi="Times New Roman"/>
          <w:color w:val="000000"/>
          <w:sz w:val="20"/>
        </w:rPr>
        <w:t xml:space="preserve"> (“Sales Agreement”) with Jefferies LLC as the sales agent, pursuant to which we may offer and sell, from time to time, through Jefferies, our Class A ordinary shares, par value $0.0001 per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having an aggregate offering price of up to $100.0 million by any method deemed to be an “at the market offering” as defined in Rule 415(a)(4) under the Securities Act (the “ATM Offering”). The shares are offered and sold pursuant to the Company’s shelf registration statement on Form S-3.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existing cash, cash equivalents and marketable securities held at March 31, 2024, will enable us to fund our operating expenses and capital expenditure requirements into the fourth quarter of 2025. We have based this estimate on assumptions that may prove to be wrong and we could exhaust our capital resources sooner than we expect.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continue research and clinical development of our product candidates, including in particular our clinical trials for rilparencel;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third-party manufacturing costs to support our non-clinical studies and clinical trials of our product candidate and, if approved, its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investment in developing internal manufacturing capabilities;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since the closing of the Business Combination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shareholders.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pStyle w:val="TextBody"/>
        <w:bidi w:val="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for the Three Months Ended March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three months ended March 31, 2024 and 2023 (in thousands): </w:t>
      </w:r>
    </w:p>
    <w:p>
      <w:pPr>
        <w:pStyle w:val="TextBody"/>
        <w:bidi w:val="0"/>
        <w:jc w:val="left"/>
        <w:rPr/>
      </w:pPr>
      <w:r>
        <w:rPr/>
        <w:t> </w:t>
      </w:r>
    </w:p>
    <w:tbl>
      <w:tblPr>
        <w:tblW w:w="8025" w:type="dxa"/>
        <w:jc w:val="left"/>
        <w:tblInd w:w="0" w:type="dxa"/>
        <w:tblLayout w:type="fixed"/>
        <w:tblCellMar>
          <w:top w:w="28" w:type="dxa"/>
          <w:left w:w="28" w:type="dxa"/>
          <w:bottom w:w="28" w:type="dxa"/>
          <w:right w:w="28" w:type="dxa"/>
        </w:tblCellMar>
      </w:tblPr>
      <w:tblGrid>
        <w:gridCol w:w="4681"/>
        <w:gridCol w:w="146"/>
        <w:gridCol w:w="254"/>
        <w:gridCol w:w="888"/>
        <w:gridCol w:w="200"/>
        <w:gridCol w:w="176"/>
        <w:gridCol w:w="254"/>
        <w:gridCol w:w="1015"/>
        <w:gridCol w:w="4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(34,646</w:t>
            </w:r>
          </w:p>
        </w:tc>
        <w:tc>
          <w:tcPr>
            <w:tcW w:w="2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(25,992</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58,399</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(192,612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financing activities</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approximately $34.6 million for the three months ended March 31, 2024, reflecting a net loss of approximately $35.3 million and uses driven by changes in working capital of approximately $5.8 million. Such uses were partially offset by non-cash charges and gains on investments of $6.5 million. The non-cash charges primarily consisted of equity-based compensation expense of $7.7 million and depreciation and amortization expense of $1.1 million. The changes in working capital primarily relate to the timing of payments made to our vendors for services performed and the recognition of receivable amounts related to interest on our marketable security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approximately $26.0 million for the three months ended March 31, 2023, reflecting a net loss of $36.9 million and uses driven by changes in working capital of approximately $2.4 million, partially offset by non-cash charges and gains on investments of $13.3 million. The non-cash charges primarily consisted of equity-based compensation expense of $13.0 million and depreciation and amortization expense of $0.8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approximately $8.7 million increase in cash used in operating activities for the three months ended March 31, 2024 compared to the three months ended March 31, 2023 was primarily driven by an increase in net loss after adjusting for the non-cash charges and gains on investments of approximately $5.3 million coupled with an increase in the use of cash related to the timing of payments to our vendors and receipt of interest amounts due.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(used in) investing activities was approximately $58.4 million and $(192.6 million) for the three months ended March 31, 2024 and 2023, respectively. The cash provided by investing activities during the three months ended March 31, 2024 was primarily related to withdrawal of cash from our investments for use in operations. The cash used in investing activities during the three months ended March 31, 2023, was driven by the investment of a portion of the proceeds raised through the Business Combination in marketable securities.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financing activities for the three months ended March 31, 2024 and 2023 was an insignificant amount.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consolidated financial statements. Our condensed consolidated financial statements are prepared in accordance with 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are described in Note 2 to our unaudited condensed consolidated financial statements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_item3"/>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exposure to changes in interest rates relates primarily to the Company’s investment portfolio.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All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has had a material effect on our business, financial condition, or results of operations, other than its impact on the general economy. To the extent our costs are impacted by general inflationary pressures, we may not be able to fully offset such higher costs through price increases or manufacturing efficiencies. Our inability or failure to do so could harm our business,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material foreign currency exposure.</w:t>
      </w:r>
    </w:p>
    <w:p>
      <w:pPr>
        <w:pStyle w:val="TextBody"/>
        <w:bidi w:val="0"/>
        <w:spacing w:before="360" w:after="283"/>
        <w:jc w:val="left"/>
        <w:rPr>
          <w:rFonts w:ascii="Times New Roman" w:hAnsi="Times New Roman"/>
          <w:b/>
          <w:color w:val="000000"/>
          <w:sz w:val="20"/>
        </w:rPr>
      </w:pPr>
      <w:bookmarkStart w:id="12" w:name="i_item4"/>
      <w:bookmarkEnd w:id="12"/>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March 31, 2024. Based upon that evaluation, our Chief Executive Officer and Chief Financial Officer concluded that, as of March 31, 2024,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to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Website Availability of Reports and other Corporate Governance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maintains a comprehensive corporate governance program, including Corporate Governance Guidelines for its Board of Directors, Board Guidelines for Assessing Director Independence and charters for its Audit Committee, Nominating and Corporate Governance Committee and Talent and Compensation Committee. The Company maintains a corporate investor relations website, </w:t>
      </w:r>
      <w:r>
        <w:rPr>
          <w:rFonts w:ascii="Times New Roman" w:hAnsi="Times New Roman"/>
          <w:sz w:val="20"/>
        </w:rPr>
        <w:t>https://investors.prokidney.com/</w:t>
      </w:r>
      <w:r>
        <w:rPr>
          <w:rFonts w:ascii="Times New Roman" w:hAnsi="Times New Roman"/>
          <w:color w:val="000000"/>
          <w:sz w:val="20"/>
        </w:rPr>
        <w:t xml:space="preserve">, where stockholders and other interested persons may review, without charge, among other things, corporate governance materials and certain SEC filings, which are generally available on the same business day as the filing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with the SEC on the SEC’s website http://www.sec.gov. The contents of our website are not made a part of this Quarterly Report on Form 10-Q.</w:t>
      </w:r>
    </w:p>
    <w:p>
      <w:pPr>
        <w:pStyle w:val="TextBody"/>
        <w:bidi w:val="0"/>
        <w:spacing w:before="36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ii_item1"/>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w:t>
      </w:r>
    </w:p>
    <w:p>
      <w:pPr>
        <w:pStyle w:val="TextBody"/>
        <w:bidi w:val="0"/>
        <w:spacing w:before="360" w:after="283"/>
        <w:jc w:val="left"/>
        <w:rPr>
          <w:rFonts w:ascii="Times New Roman" w:hAnsi="Times New Roman"/>
          <w:b/>
          <w:color w:val="000000"/>
          <w:sz w:val="20"/>
        </w:rPr>
      </w:pPr>
      <w:bookmarkStart w:id="15" w:name="ii_item1a"/>
      <w:bookmarkEnd w:id="15"/>
      <w:r>
        <w:rPr>
          <w:rFonts w:ascii="Times New Roman" w:hAnsi="Times New Roman"/>
          <w:b/>
          <w:color w:val="000000"/>
          <w:sz w:val="20"/>
        </w:rPr>
        <w:t>Item 1A. Risk Factors.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Annual Report on Form 10-K filed with the SEC on March 22, 2024 (the “2023 Annual Report”). There have been no material changes to the risk factors described in the 2023 Annual Report.</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bookmarkStart w:id="16" w:name="ii_item2"/>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sales of unregistered equity securities during the three months ended March 31, 2024. </w:t>
      </w:r>
    </w:p>
    <w:p>
      <w:pPr>
        <w:pStyle w:val="TextBody"/>
        <w:bidi w:val="0"/>
        <w:spacing w:before="360" w:after="283"/>
        <w:jc w:val="left"/>
        <w:rPr>
          <w:rFonts w:ascii="Times New Roman" w:hAnsi="Times New Roman"/>
          <w:b/>
          <w:color w:val="000000"/>
          <w:sz w:val="20"/>
        </w:rPr>
      </w:pPr>
      <w:bookmarkStart w:id="17" w:name="ii_item3"/>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i_item4"/>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i_item5"/>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March 31, 2024, following the expiration of the applicable mandatory cooling-off period under Rule 10b5-1(c), sales commenced under the Rule 10b5-1 trading arrangement adopted by Darin Weber, Chief Regulatory Officer, SVP and Head of Global Regulatory Affairs, Quality Management, Biometrics and Market Access. The Rule 10b5-1 trading arrangement was adopted on November 20, 2023 and is intended to satisfy the affirmative defense of Rule 10b5-1(c). The Rule 10b5-1 trading arrangement provides for the sale of up to an aggregate of 274,073 shares of our Class A ordinary shares until February 17, 2025.</w:t>
      </w:r>
    </w:p>
    <w:p>
      <w:pPr>
        <w:pStyle w:val="TextBody"/>
        <w:bidi w:val="0"/>
        <w:spacing w:before="360" w:after="283"/>
        <w:jc w:val="left"/>
        <w:rPr>
          <w:rFonts w:ascii="Times New Roman" w:hAnsi="Times New Roman"/>
          <w:b/>
          <w:color w:val="000000"/>
          <w:sz w:val="20"/>
        </w:rPr>
      </w:pPr>
      <w:bookmarkStart w:id="20" w:name="ii_item6"/>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Employment Agreement, dated March 25, 2024, by and between ProKidney, LLC and Ulrich Ernst (incorporated by reference from Exhibit 10.1 to Form 8-K filed with the SEC on March 25, 2024) (File No. 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Separation Agreement, dated March 13, 2024, by and between ProKidney LLC and Deepak Jain, Ph.D. (incorporated by reference from Exhibit 10.1 to Form 8-K/A filed with the SEC on March 18, 2024) (File No. 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Separation Agreement, dated March 13, 2024, by and between ProKidney LLC and Tim Bertram, Ph.D. (incorporated by reference from Exhibit 10.2 to Form 8-K/A filed with the SEC on March 18, 2024) (File No. 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Open Market Sale Agreement</w:t>
              </w:r>
            </w:hyperlink>
            <w:hyperlink r:id="rId6">
              <w:r>
                <w:rPr>
                  <w:rStyle w:val="InternetLink"/>
                  <w:rFonts w:ascii="Times New Roman" w:hAnsi="Times New Roman"/>
                  <w:color w:val="0000FF"/>
                  <w:sz w:val="13"/>
                  <w:u w:val="single"/>
                </w:rPr>
                <w:t>SM</w:t>
              </w:r>
            </w:hyperlink>
            <w:hyperlink r:id="rId7">
              <w:r>
                <w:rPr>
                  <w:rStyle w:val="InternetLink"/>
                  <w:rFonts w:ascii="Times New Roman" w:hAnsi="Times New Roman"/>
                  <w:color w:val="0000FF"/>
                  <w:sz w:val="20"/>
                  <w:u w:val="single"/>
                </w:rPr>
                <w:t>, dated January 19, 2024, by and between ProKidney Corp. and Jefferies LLC (incorporated by reference from Exhibit 1.1 to Form 8-K filed with the SEC on January 19, 2024) (File No. 001-40560).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10_5.htm">
              <w:r>
                <w:rPr>
                  <w:rStyle w:val="InternetLink"/>
                  <w:rFonts w:ascii="Times New Roman" w:hAnsi="Times New Roman"/>
                  <w:color w:val="0000FF"/>
                  <w:sz w:val="20"/>
                  <w:u w:val="single"/>
                </w:rPr>
                <w:t>Pro-Kidney Corp. Non-Employee Director Compensation Policy.</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6"/>
        <w:gridCol w:w="146"/>
        <w:gridCol w:w="9563"/>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3" w:type="dxa"/>
            <w:tcBorders/>
            <w:vAlign w:val="center"/>
          </w:tcPr>
          <w:p>
            <w:pPr>
              <w:pStyle w:val="TableContents"/>
              <w:bidi w:val="0"/>
              <w:spacing w:before="0" w:after="283"/>
              <w:jc w:val="left"/>
              <w:rPr>
                <w:sz w:val="4"/>
                <w:szCs w:val="4"/>
              </w:rPr>
            </w:pPr>
            <w:r>
              <w:rPr>
                <w:sz w:val="4"/>
                <w:szCs w:val="4"/>
              </w:rPr>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k-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the Company’s Quarterly Report on Form 10-Q for the quarter ended March 31, 2024, formatted in iXBRL (Inline Extensible Business Reporting Language): (i) Condensed Consolidated Balance Sheets (unaudited), (ii) Condensed Consolidated Statements of Operations (unaudited), (iii) Condensed Consolidated Statements of Comprehensive Loss (unaudited), (iv) Condensed Consolidated Statements of Changes in Redeemable Noncontrolling Interest and Stockholders’ Deficit (unaudited), (v) Consolidated Statements of Cash Flows (unaudited) and (vi) Notes to Condensed Consolidated Financial Statements (unaudited), tagged as blocks of text and including detailed tags.</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this Quarterly Report on Form 10-Q for the quarter ended March 31, 2024, formatted in Inline XBRL.</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146"/>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Name</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prok-ex10_5.htm"/>
      <w:bookmarkStart w:id="23" w:name="ksprokex10_5"/>
      <w:bookmarkEnd w:id="22"/>
      <w:bookmarkEnd w:id="23"/>
      <w:r>
        <w:rPr>
          <w:rFonts w:ascii="Times New Roman" w:hAnsi="Times New Roman"/>
          <w:b/>
          <w:color w:val="000000"/>
          <w:sz w:val="24"/>
        </w:rPr>
        <w:t>Exhibit 10.5</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PROKIDNEY CORP.</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NON-EMPLOYEE DIRECTOR COMPENSATION POLICY</w:t>
      </w:r>
    </w:p>
    <w:p>
      <w:pPr>
        <w:pStyle w:val="TextBody"/>
        <w:bidi w:val="0"/>
        <w:jc w:val="center"/>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2"/>
        </w:rPr>
        <w:t>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ProKidney Corp.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approved the following Non-Employee Director Compensation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to provide an inducement to obtain and retain the services of qualified persons to serve as members of the Company’s Board. The Policy establishes compensation to be paid to non-employee directors of the Company.</w:t>
      </w:r>
    </w:p>
    <w:p>
      <w:pPr>
        <w:pStyle w:val="TextBody"/>
        <w:bidi w:val="0"/>
        <w:ind w:left="0" w:right="0" w:firstLine="72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w:t>
      </w:r>
    </w:p>
    <w:p>
      <w:pPr>
        <w:pStyle w:val="TextBody"/>
        <w:bidi w:val="0"/>
        <w:jc w:val="left"/>
        <w:rPr>
          <w:rFonts w:ascii="Times New Roman" w:hAnsi="Times New Roman"/>
          <w:b/>
          <w:color w:val="000000"/>
          <w:sz w:val="22"/>
        </w:rPr>
      </w:pPr>
      <w:r>
        <w:rPr>
          <w:rFonts w:ascii="Times New Roman" w:hAnsi="Times New Roman"/>
          <w:b/>
          <w:color w:val="000000"/>
          <w:sz w:val="22"/>
        </w:rPr>
        <w:t>Applicable Persons</w:t>
      </w:r>
    </w:p>
    <w:p>
      <w:pPr>
        <w:pStyle w:val="TextBody"/>
        <w:bidi w:val="0"/>
        <w:ind w:left="0" w:right="0" w:firstLine="720"/>
        <w:jc w:val="both"/>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2"/>
        </w:rPr>
        <w:t>This Policy shall apply to each director of the Company who is not an employee of the Company or any Affiliate (each such member, a “</w:t>
      </w:r>
      <w:r>
        <w:rPr>
          <w:rFonts w:ascii="Times New Roman" w:hAnsi="Times New Roman"/>
          <w:b/>
          <w:i/>
          <w:color w:val="000000"/>
          <w:sz w:val="22"/>
        </w:rPr>
        <w:t>Non-Employee Director</w:t>
      </w:r>
      <w:r>
        <w:rPr>
          <w:rFonts w:ascii="Times New Roman" w:hAnsi="Times New Roman"/>
          <w:color w:val="000000"/>
          <w:sz w:val="20"/>
        </w:rPr>
        <w:t>”</w:t>
      </w:r>
      <w:r>
        <w:rPr>
          <w:rFonts w:ascii="Times New Roman" w:hAnsi="Times New Roman"/>
          <w:color w:val="000000"/>
          <w:sz w:val="22"/>
        </w:rPr>
        <w:t>). Unless otherwise defined herein, capitalized terms used in this Policy will have the meaning given to such terms in the Company’s 2022 Incentive Equity Plan or any successor equity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ind w:left="0" w:right="0" w:firstLine="72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II.</w:t>
      </w:r>
    </w:p>
    <w:p>
      <w:pPr>
        <w:pStyle w:val="TextBody"/>
        <w:bidi w:val="0"/>
        <w:jc w:val="left"/>
        <w:rPr>
          <w:rFonts w:ascii="Times New Roman" w:hAnsi="Times New Roman"/>
          <w:b/>
          <w:color w:val="000000"/>
          <w:sz w:val="22"/>
        </w:rPr>
      </w:pPr>
      <w:r>
        <w:rPr>
          <w:rFonts w:ascii="Times New Roman" w:hAnsi="Times New Roman"/>
          <w:b/>
          <w:color w:val="000000"/>
          <w:sz w:val="22"/>
        </w:rPr>
        <w:t>Annual Cash Compensation</w:t>
      </w:r>
    </w:p>
    <w:p>
      <w:pPr>
        <w:pStyle w:val="TextBody"/>
        <w:bidi w:val="0"/>
        <w:jc w:val="both"/>
        <w:rPr/>
      </w:pPr>
      <w:r>
        <w:rPr/>
        <w:t> </w:t>
      </w:r>
    </w:p>
    <w:p>
      <w:pPr>
        <w:pStyle w:val="TextBody"/>
        <w:bidi w:val="0"/>
        <w:ind w:left="0" w:right="0" w:firstLine="720"/>
        <w:jc w:val="both"/>
        <w:rPr>
          <w:rFonts w:ascii="Times New Roman" w:hAnsi="Times New Roman"/>
          <w:color w:val="000000"/>
          <w:sz w:val="22"/>
        </w:rPr>
      </w:pPr>
      <w:r>
        <w:rPr>
          <w:rFonts w:ascii="Times New Roman" w:hAnsi="Times New Roman"/>
          <w:color w:val="000000"/>
          <w:sz w:val="22"/>
        </w:rPr>
        <w:t>Each Non-Employee Director will be entitled to receive the following annual cash retainers for service on the Board:</w:t>
      </w:r>
    </w:p>
    <w:p>
      <w:pPr>
        <w:pStyle w:val="TextBody"/>
        <w:bidi w:val="0"/>
        <w:jc w:val="left"/>
        <w:rPr/>
      </w:pPr>
      <w:r>
        <w:rPr/>
        <w:t> </w:t>
      </w:r>
    </w:p>
    <w:p>
      <w:pPr>
        <w:pStyle w:val="TextBody"/>
        <w:bidi w:val="0"/>
        <w:ind w:left="720" w:right="0" w:hanging="0"/>
        <w:jc w:val="both"/>
        <w:rPr>
          <w:rFonts w:ascii="Times New Roman" w:hAnsi="Times New Roman"/>
          <w:sz w:val="20"/>
        </w:rPr>
      </w:pPr>
      <w:r>
        <w:rPr>
          <w:rFonts w:ascii="Times New Roman" w:hAnsi="Times New Roman"/>
          <w:b/>
          <w:color w:val="000000"/>
          <w:sz w:val="22"/>
        </w:rPr>
        <w:t>Annual Board Service Retainer</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0"/>
        <w:ind w:left="1354" w:right="0" w:hanging="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All Non-Employee Directors: $40,000</w:t>
      </w:r>
    </w:p>
    <w:p>
      <w:pPr>
        <w:pStyle w:val="TextBody"/>
        <w:bidi w:val="0"/>
        <w:spacing w:before="0" w:after="0"/>
        <w:ind w:left="1354" w:right="0" w:hanging="0"/>
        <w:jc w:val="both"/>
        <w:rPr>
          <w:color w:val="000000"/>
        </w:rPr>
      </w:pPr>
      <w:r>
        <w:rPr>
          <w:color w:val="000000"/>
        </w:rPr>
        <w:t>•</w:t>
      </w:r>
    </w:p>
    <w:p>
      <w:pPr>
        <w:pStyle w:val="TextBody"/>
        <w:bidi w:val="0"/>
        <w:jc w:val="both"/>
        <w:rPr/>
      </w:pPr>
      <w:r>
        <w:rPr>
          <w:rFonts w:ascii="Times New Roman" w:hAnsi="Times New Roman"/>
          <w:color w:val="000000"/>
          <w:sz w:val="22"/>
        </w:rPr>
        <w:t xml:space="preserve">Non-Executive Chairperson </w:t>
      </w:r>
      <w:r>
        <w:rPr>
          <w:rFonts w:ascii="Times New Roman" w:hAnsi="Times New Roman"/>
          <w:i/>
          <w:color w:val="000000"/>
          <w:sz w:val="22"/>
        </w:rPr>
        <w:t>(additional retainer)</w:t>
      </w:r>
      <w:r>
        <w:rPr>
          <w:rFonts w:ascii="Times New Roman" w:hAnsi="Times New Roman"/>
          <w:color w:val="000000"/>
          <w:sz w:val="22"/>
        </w:rPr>
        <w:t>: $30,000</w:t>
      </w:r>
      <w:r>
        <w:rPr>
          <w:color w:val="000000"/>
        </w:rPr>
        <w:t xml:space="preserve"> </w:t>
      </w:r>
    </w:p>
    <w:p>
      <w:pPr>
        <w:pStyle w:val="TextBody"/>
        <w:bidi w:val="0"/>
        <w:ind w:left="1440" w:right="0" w:hanging="0"/>
        <w:jc w:val="both"/>
        <w:rPr/>
      </w:pPr>
      <w:r>
        <w:rPr/>
        <w:t> </w:t>
      </w:r>
    </w:p>
    <w:p>
      <w:pPr>
        <w:pStyle w:val="TextBody"/>
        <w:bidi w:val="0"/>
        <w:ind w:left="720" w:right="0" w:hanging="0"/>
        <w:jc w:val="both"/>
        <w:rPr>
          <w:rFonts w:ascii="Times New Roman" w:hAnsi="Times New Roman"/>
          <w:sz w:val="20"/>
        </w:rPr>
      </w:pPr>
      <w:r>
        <w:rPr>
          <w:rFonts w:ascii="Times New Roman" w:hAnsi="Times New Roman"/>
          <w:b/>
          <w:color w:val="000000"/>
          <w:sz w:val="22"/>
        </w:rPr>
        <w:t>Annual Committee Member Service Retainer</w:t>
      </w:r>
      <w:r>
        <w:rPr>
          <w:rFonts w:ascii="Times New Roman" w:hAnsi="Times New Roman"/>
          <w:color w:val="000000"/>
          <w:sz w:val="22"/>
        </w:rPr>
        <w:t>:</w:t>
      </w:r>
    </w:p>
    <w:p>
      <w:pPr>
        <w:pStyle w:val="TextBody"/>
        <w:bidi w:val="0"/>
        <w:spacing w:before="0" w:after="0"/>
        <w:ind w:left="1440" w:right="0" w:hanging="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Audit Committee: $7,500</w:t>
      </w:r>
    </w:p>
    <w:p>
      <w:pPr>
        <w:pStyle w:val="TextBody"/>
        <w:bidi w:val="0"/>
        <w:spacing w:before="0" w:after="0"/>
        <w:ind w:left="1440" w:right="0" w:hanging="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Compensation Committee: $6,000</w:t>
      </w:r>
    </w:p>
    <w:p>
      <w:pPr>
        <w:pStyle w:val="TextBody"/>
        <w:bidi w:val="0"/>
        <w:spacing w:before="0" w:after="0"/>
        <w:ind w:left="1440" w:right="0" w:hanging="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Member of the Nominating and Corporate Governance Committee: $5,000</w:t>
      </w:r>
    </w:p>
    <w:p>
      <w:pPr>
        <w:pStyle w:val="TextBody"/>
        <w:bidi w:val="0"/>
        <w:ind w:left="1440" w:right="0" w:hanging="0"/>
        <w:jc w:val="both"/>
        <w:rPr/>
      </w:pPr>
      <w:r>
        <w:rPr/>
        <w:t> </w:t>
      </w:r>
    </w:p>
    <w:p>
      <w:pPr>
        <w:pStyle w:val="TextBody"/>
        <w:bidi w:val="0"/>
        <w:ind w:left="720" w:right="0" w:hanging="0"/>
        <w:jc w:val="left"/>
        <w:rPr>
          <w:rFonts w:ascii="Times New Roman" w:hAnsi="Times New Roman"/>
          <w:sz w:val="20"/>
        </w:rPr>
      </w:pPr>
      <w:r>
        <w:rPr>
          <w:rFonts w:ascii="Times New Roman" w:hAnsi="Times New Roman"/>
          <w:b/>
          <w:color w:val="000000"/>
          <w:sz w:val="22"/>
        </w:rPr>
        <w:t xml:space="preserve">Annual Committee Chair Service Retainer </w:t>
      </w:r>
      <w:r>
        <w:rPr>
          <w:rFonts w:ascii="Times New Roman" w:hAnsi="Times New Roman"/>
          <w:b/>
          <w:i/>
          <w:color w:val="000000"/>
          <w:sz w:val="22"/>
        </w:rPr>
        <w:t>(in lieu of Committee Member</w:t>
      </w:r>
      <w:r>
        <w:rPr>
          <w:rFonts w:ascii="Times New Roman" w:hAnsi="Times New Roman"/>
          <w:color w:val="000000"/>
          <w:sz w:val="20"/>
        </w:rPr>
        <w:t xml:space="preserve"> </w:t>
      </w:r>
      <w:r>
        <w:rPr>
          <w:rFonts w:ascii="Times New Roman" w:hAnsi="Times New Roman"/>
          <w:b/>
          <w:i/>
          <w:color w:val="000000"/>
          <w:sz w:val="22"/>
        </w:rPr>
        <w:t>Service Retainer)</w:t>
      </w:r>
      <w:r>
        <w:rPr>
          <w:rFonts w:ascii="Times New Roman" w:hAnsi="Times New Roman"/>
          <w:color w:val="000000"/>
          <w:sz w:val="22"/>
        </w:rPr>
        <w:t>:</w:t>
      </w:r>
    </w:p>
    <w:p>
      <w:pPr>
        <w:pStyle w:val="TextBody"/>
        <w:bidi w:val="0"/>
        <w:spacing w:before="0" w:after="0"/>
        <w:ind w:left="1440" w:right="0" w:hanging="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Audit Committee: $16,250</w:t>
      </w:r>
    </w:p>
    <w:p>
      <w:pPr>
        <w:pStyle w:val="TextBody"/>
        <w:bidi w:val="0"/>
        <w:spacing w:before="0" w:after="0"/>
        <w:ind w:left="1440" w:right="0" w:hanging="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Compensation Committee: $12,000</w:t>
      </w:r>
    </w:p>
    <w:p>
      <w:pPr>
        <w:pStyle w:val="TextBody"/>
        <w:bidi w:val="0"/>
        <w:spacing w:before="0" w:after="0"/>
        <w:ind w:left="1440" w:right="0" w:hanging="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Chairperson of the Nominating and Corporate Governance Committee: $10,000</w:t>
      </w:r>
    </w:p>
    <w:p>
      <w:pPr>
        <w:pStyle w:val="TextBody"/>
        <w:bidi w:val="0"/>
        <w:ind w:left="720" w:right="0" w:hanging="0"/>
        <w:jc w:val="both"/>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2"/>
        </w:rPr>
        <w:t>The annual cash retainers set forth above will be payable in equal quarterly installments, payable in arrears on the last day of each fiscal quarter (each such date, a “</w:t>
      </w:r>
      <w:r>
        <w:rPr>
          <w:rFonts w:ascii="Times New Roman" w:hAnsi="Times New Roman"/>
          <w:b/>
          <w:i/>
          <w:color w:val="000000"/>
          <w:sz w:val="22"/>
        </w:rPr>
        <w:t>Retainer Accrual Date</w:t>
      </w:r>
      <w:r>
        <w:rPr>
          <w:rFonts w:ascii="Times New Roman" w:hAnsi="Times New Roman"/>
          <w:color w:val="000000"/>
          <w:sz w:val="20"/>
        </w:rPr>
        <w:t>”</w:t>
      </w:r>
      <w:r>
        <w:rPr>
          <w:rFonts w:ascii="Times New Roman" w:hAnsi="Times New Roman"/>
          <w:color w:val="000000"/>
          <w:sz w:val="22"/>
        </w:rPr>
        <w:t>) in which the service occurred, prorated for any partial quarter of service (based on the number of days served in the applicable position divided by the total number of days in the quarter). All annual cash fees are vested upon payment.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Election to Receive Ordinary Shares in Lieu of Cash Retainer</w:t>
      </w:r>
    </w:p>
    <w:p>
      <w:pPr>
        <w:pStyle w:val="TextBody"/>
        <w:bidi w:val="0"/>
        <w:spacing w:before="240" w:after="283"/>
        <w:ind w:left="720" w:right="0" w:hanging="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240" w:after="283"/>
        <w:jc w:val="both"/>
        <w:rPr/>
      </w:pPr>
      <w:r>
        <w:rPr>
          <w:rFonts w:ascii="Times New Roman" w:hAnsi="Times New Roman"/>
          <w:b/>
          <w:color w:val="000000"/>
          <w:sz w:val="22"/>
        </w:rPr>
        <w:t>Retainer Grant</w:t>
      </w:r>
      <w:r>
        <w:rPr>
          <w:rFonts w:ascii="Times New Roman" w:hAnsi="Times New Roman"/>
          <w:color w:val="000000"/>
          <w:sz w:val="22"/>
        </w:rPr>
        <w:t>. Each Non-Employee Director may elect to receive a grant of Class A ordinary shares, $0.0001 par value (“</w:t>
      </w:r>
      <w:r>
        <w:rPr>
          <w:rFonts w:ascii="Times New Roman" w:hAnsi="Times New Roman"/>
          <w:b/>
          <w:i/>
          <w:color w:val="000000"/>
          <w:sz w:val="22"/>
        </w:rPr>
        <w:t>Ordinary Shares</w:t>
      </w:r>
      <w:r>
        <w:rPr>
          <w:color w:val="000000"/>
        </w:rPr>
        <w:t>”</w:t>
      </w:r>
      <w:r>
        <w:rPr>
          <w:rFonts w:ascii="Times New Roman" w:hAnsi="Times New Roman"/>
          <w:color w:val="000000"/>
          <w:sz w:val="22"/>
        </w:rPr>
        <w:t>), in lieu of the cash compensation set forth in Section II (a “</w:t>
      </w:r>
      <w:r>
        <w:rPr>
          <w:rFonts w:ascii="Times New Roman" w:hAnsi="Times New Roman"/>
          <w:b/>
          <w:i/>
          <w:color w:val="000000"/>
          <w:sz w:val="22"/>
        </w:rPr>
        <w:t>Retainer Grant</w:t>
      </w:r>
      <w:r>
        <w:rPr>
          <w:color w:val="000000"/>
        </w:rPr>
        <w:t xml:space="preserve">” </w:t>
      </w:r>
      <w:r>
        <w:rPr>
          <w:rFonts w:ascii="Times New Roman" w:hAnsi="Times New Roman"/>
          <w:color w:val="000000"/>
          <w:sz w:val="22"/>
        </w:rPr>
        <w:t>and such election, a “</w:t>
      </w:r>
      <w:r>
        <w:rPr>
          <w:rFonts w:ascii="Times New Roman" w:hAnsi="Times New Roman"/>
          <w:b/>
          <w:i/>
          <w:color w:val="000000"/>
          <w:sz w:val="22"/>
        </w:rPr>
        <w:t>Retainer Grant Election</w:t>
      </w:r>
      <w:r>
        <w:rPr>
          <w:color w:val="000000"/>
        </w:rPr>
        <w:t>”</w:t>
      </w:r>
      <w:r>
        <w:rPr>
          <w:rFonts w:ascii="Times New Roman" w:hAnsi="Times New Roman"/>
          <w:color w:val="000000"/>
          <w:sz w:val="22"/>
        </w:rPr>
        <w:t xml:space="preserve">). If a Non-Employee Director timely makes a Retainer Grant Election pursuant to Section III(B) below, then on the first business day following the applicable Retainer Accrual Date, without any further action by the Board, such Non-Employee Director automatically will be granted the number of Ordinary Shares equal to (a) the aggregate amount of cash </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both"/>
        <w:rPr>
          <w:rFonts w:ascii="Times New Roman" w:hAnsi="Times New Roman"/>
          <w:color w:val="000000"/>
          <w:sz w:val="22"/>
        </w:rPr>
      </w:pPr>
      <w:r>
        <w:rPr>
          <w:rFonts w:ascii="Times New Roman" w:hAnsi="Times New Roman"/>
          <w:color w:val="000000"/>
          <w:sz w:val="22"/>
        </w:rPr>
        <w:t>compensation otherwise payable to such Non-Employee Director on the applicable Retainer Accrual Date divided by (b) the closing price of the Ordinary Shares on the Nasdaq Stock Market on the applicable Retainer Accrual Date (or, if such date is not a business day, on the first business day thereafter), rounded down to the nearest whole share. Each Retainer Grant will be fully vested on the applicable grant date.</w:t>
      </w:r>
    </w:p>
    <w:p>
      <w:pPr>
        <w:pStyle w:val="TextBody"/>
        <w:bidi w:val="0"/>
        <w:spacing w:before="240" w:after="283"/>
        <w:ind w:left="720" w:right="0" w:hanging="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240" w:after="283"/>
        <w:jc w:val="both"/>
        <w:rPr/>
      </w:pPr>
      <w:r>
        <w:rPr>
          <w:rFonts w:ascii="Times New Roman" w:hAnsi="Times New Roman"/>
          <w:b/>
          <w:color w:val="000000"/>
          <w:sz w:val="22"/>
        </w:rPr>
        <w:t>Election Mechanics</w:t>
      </w:r>
      <w:r>
        <w:rPr>
          <w:rFonts w:ascii="Times New Roman" w:hAnsi="Times New Roman"/>
          <w:color w:val="000000"/>
          <w:sz w:val="22"/>
        </w:rPr>
        <w:t>. A Retainer Grant Election must be submitted by a Non-Employee Director to the Company’s Chief Financial Officer (or such other individual as the Company designates) in writing prior to the end of each calendar year, indicating that the Director elects (in increments of 25%, 50%, 75% or 100% of the Director’s cash compensation) to receive the retainers in Ordinary Shares for the following calendar year. If no election has been made as of the first day of the year, the Non-Employee Director shall receive all retainers in cash. If a previous election has been made to receive Ordinary Shares in lieu of cash, such election shall remain in effect for subsequent calendar years until such election is changed by the completion, signature and delivery to the Company of a new election form for the following calendar year. Each newly elected or appointed Non-Employee Director shall make an election prior to, or within 30 days of, his or her initial appointment or election to the Board, for the remainder of the year of such appointment or election, whether to receive the retainers in cash or Ordinary Shares. A Non-Employee Director may only make or revoke a Retainer Grant Election during a period in which the Company is not in a quarterly or special blackout period and the Non-Employee Director is not aware of any material non-public information.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IV.</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Equity Compensation</w:t>
      </w:r>
    </w:p>
    <w:p>
      <w:pPr>
        <w:pStyle w:val="TextBody"/>
        <w:bidi w:val="0"/>
        <w:spacing w:before="0" w:after="0"/>
        <w:ind w:left="720" w:right="0" w:hanging="0"/>
        <w:jc w:val="both"/>
        <w:rPr>
          <w:rFonts w:ascii="Times New Roman" w:hAnsi="Times New Roman"/>
          <w:b/>
          <w:color w:val="000000"/>
          <w:sz w:val="22"/>
        </w:rPr>
      </w:pPr>
      <w:r>
        <w:rPr>
          <w:rFonts w:ascii="Times New Roman" w:hAnsi="Times New Roman"/>
          <w:b/>
          <w:color w:val="000000"/>
          <w:sz w:val="22"/>
        </w:rPr>
        <w:t>A.</w:t>
      </w:r>
    </w:p>
    <w:p>
      <w:pPr>
        <w:pStyle w:val="TextBody"/>
        <w:bidi w:val="0"/>
        <w:jc w:val="both"/>
        <w:rPr/>
      </w:pPr>
      <w:r>
        <w:rPr>
          <w:rFonts w:ascii="Times New Roman" w:hAnsi="Times New Roman"/>
          <w:b/>
          <w:color w:val="000000"/>
          <w:sz w:val="22"/>
        </w:rPr>
        <w:t>Initial Grant</w:t>
      </w:r>
      <w:r>
        <w:rPr>
          <w:rFonts w:ascii="Times New Roman" w:hAnsi="Times New Roman"/>
          <w:color w:val="000000"/>
          <w:sz w:val="22"/>
        </w:rPr>
        <w:t>. Each Non-Employee Director who is first elected or appointed to the Board may be granted under the Plan a number of non-qualified stock options to purchase Ordinary Shares as determined by the Board (the “</w:t>
      </w:r>
      <w:r>
        <w:rPr>
          <w:rFonts w:ascii="Times New Roman" w:hAnsi="Times New Roman"/>
          <w:b/>
          <w:i/>
          <w:color w:val="000000"/>
          <w:sz w:val="22"/>
        </w:rPr>
        <w:t>Initial Grant</w:t>
      </w:r>
      <w:r>
        <w:rPr>
          <w:color w:val="000000"/>
        </w:rPr>
        <w:t>”</w:t>
      </w:r>
      <w:r>
        <w:rPr>
          <w:rFonts w:ascii="Times New Roman" w:hAnsi="Times New Roman"/>
          <w:color w:val="000000"/>
          <w:sz w:val="22"/>
        </w:rPr>
        <w:t xml:space="preserve">). The options subject to the Initial Grant will vest in equal monthly installments over the 36 months following the date of grant, subject to the Non-Employee Director’s Continuous Service (as defined in the Plan) on each vesting date. </w:t>
      </w:r>
    </w:p>
    <w:p>
      <w:pPr>
        <w:pStyle w:val="TextBody"/>
        <w:bidi w:val="0"/>
        <w:ind w:left="0" w:right="0" w:firstLine="1440"/>
        <w:jc w:val="both"/>
        <w:rPr/>
      </w:pPr>
      <w:r>
        <w:rPr/>
        <w:t> </w:t>
      </w:r>
    </w:p>
    <w:p>
      <w:pPr>
        <w:pStyle w:val="TextBody"/>
        <w:bidi w:val="0"/>
        <w:spacing w:before="0" w:after="0"/>
        <w:ind w:left="720" w:right="0" w:hanging="0"/>
        <w:jc w:val="both"/>
        <w:rPr>
          <w:rFonts w:ascii="Times New Roman" w:hAnsi="Times New Roman"/>
          <w:b/>
          <w:color w:val="000000"/>
          <w:sz w:val="22"/>
        </w:rPr>
      </w:pPr>
      <w:r>
        <w:rPr>
          <w:rFonts w:ascii="Times New Roman" w:hAnsi="Times New Roman"/>
          <w:b/>
          <w:color w:val="000000"/>
          <w:sz w:val="22"/>
        </w:rPr>
        <w:t>B.</w:t>
      </w:r>
    </w:p>
    <w:p>
      <w:pPr>
        <w:pStyle w:val="TextBody"/>
        <w:bidi w:val="0"/>
        <w:jc w:val="both"/>
        <w:rPr/>
      </w:pPr>
      <w:r>
        <w:rPr>
          <w:rFonts w:ascii="Times New Roman" w:hAnsi="Times New Roman"/>
          <w:b/>
          <w:color w:val="000000"/>
          <w:sz w:val="22"/>
        </w:rPr>
        <w:t>Annual Grant</w:t>
      </w:r>
      <w:r>
        <w:rPr>
          <w:rFonts w:ascii="Times New Roman" w:hAnsi="Times New Roman"/>
          <w:color w:val="000000"/>
          <w:sz w:val="22"/>
        </w:rPr>
        <w:t>.</w:t>
      </w:r>
      <w:r>
        <w:rPr>
          <w:color w:val="000000"/>
        </w:rPr>
        <w:t xml:space="preserve"> </w:t>
      </w:r>
      <w:r>
        <w:rPr>
          <w:rFonts w:ascii="Times New Roman" w:hAnsi="Times New Roman"/>
          <w:color w:val="000000"/>
          <w:sz w:val="22"/>
        </w:rPr>
        <w:t>On the date of each annual stockholder meeting of the Company, each Non-Employee Director who continues to serve as a non-employee member of the Board following such stockholder meeting will be granted, automatically and without any action on the part of the Board, under the Plan, a number of non-qualified stock options to purchase Ordinary Shares equal to 0.027% of the total aggregate Class A ordinary shares and Class B ordinary shares outstanding on the date of grant (rounded down to the nearest whole share) (the “</w:t>
      </w:r>
      <w:r>
        <w:rPr>
          <w:rFonts w:ascii="Times New Roman" w:hAnsi="Times New Roman"/>
          <w:b/>
          <w:i/>
          <w:color w:val="000000"/>
          <w:sz w:val="22"/>
        </w:rPr>
        <w:t>Annual Grant</w:t>
      </w:r>
      <w:r>
        <w:rPr>
          <w:color w:val="000000"/>
        </w:rPr>
        <w:t>”</w:t>
      </w:r>
      <w:r>
        <w:rPr>
          <w:rFonts w:ascii="Times New Roman" w:hAnsi="Times New Roman"/>
          <w:color w:val="000000"/>
          <w:sz w:val="22"/>
        </w:rPr>
        <w:t>), with the value of such Annual Grant subject to reduction in order to comply with the Compensation Limits referred to in Section V. of the Policy and Section 5(e) of the Plan (after taking into account any Initial Grant and applicable retainer to be paid pursuant to Section II of the Policy). The options subject to the Annual Grant will vest in full on the sooner of the one-year anniversary of the date of grant or the date of Company’s next annual stockholder meeting, subject to the Non-Employee Director’s Continuous Service (as defined in the Plan) through such vesting date. For the avoidance of doubt, each newly appointed or elected Non-Employee Director shall first become eligible for an Annual Grant at the first annual stockholder meeting following the date on which such Non-Employee Director is appointed to the Board or the annual stockholder</w:t>
      </w:r>
      <w:r>
        <w:rPr>
          <w:color w:val="000000"/>
        </w:rPr>
        <w:t xml:space="preserve"> </w:t>
      </w:r>
      <w:r>
        <w:rPr>
          <w:rFonts w:ascii="Times New Roman" w:hAnsi="Times New Roman"/>
          <w:color w:val="000000"/>
          <w:sz w:val="22"/>
        </w:rPr>
        <w:t xml:space="preserve">meeting at which the Non-Employee Director is first elected to the Board. </w:t>
      </w:r>
    </w:p>
    <w:p>
      <w:pPr>
        <w:pStyle w:val="TextBody"/>
        <w:bidi w:val="0"/>
        <w:ind w:left="1440" w:right="0" w:hanging="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720" w:right="0" w:hanging="0"/>
        <w:jc w:val="both"/>
        <w:rPr>
          <w:rFonts w:ascii="Times New Roman" w:hAnsi="Times New Roman"/>
          <w:b/>
          <w:color w:val="000000"/>
          <w:sz w:val="22"/>
        </w:rPr>
      </w:pPr>
      <w:r>
        <w:rPr>
          <w:rFonts w:ascii="Times New Roman" w:hAnsi="Times New Roman"/>
          <w:b/>
          <w:color w:val="000000"/>
          <w:sz w:val="22"/>
        </w:rPr>
        <w:t>C.</w:t>
      </w:r>
    </w:p>
    <w:p>
      <w:pPr>
        <w:pStyle w:val="TextBody"/>
        <w:bidi w:val="0"/>
        <w:jc w:val="both"/>
        <w:rPr/>
      </w:pPr>
      <w:r>
        <w:rPr>
          <w:rFonts w:ascii="Times New Roman" w:hAnsi="Times New Roman"/>
          <w:b/>
          <w:color w:val="000000"/>
          <w:sz w:val="22"/>
        </w:rPr>
        <w:t>Additional Provisions</w:t>
      </w:r>
      <w:r>
        <w:rPr>
          <w:rFonts w:ascii="Times New Roman" w:hAnsi="Times New Roman"/>
          <w:color w:val="000000"/>
          <w:sz w:val="22"/>
        </w:rPr>
        <w:t xml:space="preserve">: All provisions of the Plan not inconsistent with this policy will apply to awards granted to a Non-Employee Director. Non-Employee Directors will be required to execute an award agreement in a form satisfactory to the Company prior to receipt of an Initial Grant or Annual Grant. </w:t>
      </w:r>
    </w:p>
    <w:p>
      <w:pPr>
        <w:pStyle w:val="TextBody"/>
        <w:pBdr/>
        <w:bidi w:val="0"/>
        <w:ind w:left="1440" w:right="0" w:hanging="72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w:t>
      </w:r>
    </w:p>
    <w:p>
      <w:pPr>
        <w:pStyle w:val="TextBody"/>
        <w:bidi w:val="0"/>
        <w:jc w:val="left"/>
        <w:rPr>
          <w:rFonts w:ascii="Times New Roman" w:hAnsi="Times New Roman"/>
          <w:b/>
          <w:color w:val="000000"/>
          <w:sz w:val="22"/>
        </w:rPr>
      </w:pPr>
      <w:r>
        <w:rPr>
          <w:rFonts w:ascii="Times New Roman" w:hAnsi="Times New Roman"/>
          <w:b/>
          <w:color w:val="000000"/>
          <w:sz w:val="22"/>
        </w:rPr>
        <w:t>Non-Employee Director Compensation Limit</w:t>
      </w:r>
    </w:p>
    <w:p>
      <w:pPr>
        <w:pStyle w:val="TextBody"/>
        <w:bidi w:val="0"/>
        <w:ind w:left="72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anything herein to the contrary, the cash compensation and equity compensation that each Non-Employee Director is entitled to receive under this Policy shall be subject to the limits set forth in Section 5(e) of the Plan (the “</w:t>
      </w:r>
      <w:r>
        <w:rPr>
          <w:rFonts w:ascii="Times New Roman" w:hAnsi="Times New Roman"/>
          <w:b/>
          <w:i/>
          <w:color w:val="000000"/>
          <w:sz w:val="22"/>
        </w:rPr>
        <w:t>Compensation Limits</w:t>
      </w:r>
      <w:r>
        <w:rPr>
          <w:rFonts w:ascii="Times New Roman" w:hAnsi="Times New Roman"/>
          <w:color w:val="000000"/>
          <w:sz w:val="20"/>
        </w:rPr>
        <w:t>”</w:t>
      </w:r>
      <w:r>
        <w:rPr>
          <w:rFonts w:ascii="Times New Roman" w:hAnsi="Times New Roman"/>
          <w:color w:val="000000"/>
          <w:sz w:val="22"/>
        </w:rPr>
        <w:t>) and any amounts set forth above (whether denominated in cash or equity) shall be subject to reduction in order to comply with the Compensation Limits.</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VI.</w:t>
      </w:r>
    </w:p>
    <w:p>
      <w:pPr>
        <w:pStyle w:val="TextBody"/>
        <w:bidi w:val="0"/>
        <w:jc w:val="left"/>
        <w:rPr>
          <w:rFonts w:ascii="Times New Roman" w:hAnsi="Times New Roman"/>
          <w:b/>
          <w:color w:val="000000"/>
          <w:sz w:val="22"/>
        </w:rPr>
      </w:pPr>
      <w:r>
        <w:rPr>
          <w:rFonts w:ascii="Times New Roman" w:hAnsi="Times New Roman"/>
          <w:b/>
          <w:color w:val="000000"/>
          <w:sz w:val="22"/>
        </w:rPr>
        <w:t>Ability to Decline Compensation</w:t>
      </w:r>
    </w:p>
    <w:p>
      <w:pPr>
        <w:pStyle w:val="TextBody"/>
        <w:bidi w:val="0"/>
        <w:jc w:val="both"/>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2"/>
        </w:rPr>
        <w:t>A Non-Employee Director may decline all or any portion of his or her compensation under this Policy by giving notice to the Company prior to the date such cash is earned or such equity awards are to be granted, as the case may be.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VII.</w:t>
      </w:r>
    </w:p>
    <w:p>
      <w:pPr>
        <w:pStyle w:val="TextBody"/>
        <w:bidi w:val="0"/>
        <w:jc w:val="left"/>
        <w:rPr>
          <w:rFonts w:ascii="Times New Roman" w:hAnsi="Times New Roman"/>
          <w:b/>
          <w:color w:val="000000"/>
          <w:sz w:val="22"/>
        </w:rPr>
      </w:pPr>
      <w:r>
        <w:rPr>
          <w:rFonts w:ascii="Times New Roman" w:hAnsi="Times New Roman"/>
          <w:b/>
          <w:color w:val="000000"/>
          <w:sz w:val="22"/>
        </w:rPr>
        <w:t>Expenses</w:t>
      </w:r>
    </w:p>
    <w:p>
      <w:pPr>
        <w:pStyle w:val="TextBody"/>
        <w:bidi w:val="0"/>
        <w:jc w:val="both"/>
        <w:rPr/>
      </w:pPr>
      <w:r>
        <w:rPr/>
        <w:t> </w:t>
      </w:r>
    </w:p>
    <w:p>
      <w:pPr>
        <w:pStyle w:val="TextBody"/>
        <w:bidi w:val="0"/>
        <w:ind w:left="0" w:right="0" w:firstLine="720"/>
        <w:jc w:val="both"/>
        <w:rPr>
          <w:rFonts w:ascii="Times New Roman" w:hAnsi="Times New Roman"/>
          <w:color w:val="000000"/>
          <w:sz w:val="22"/>
        </w:rPr>
      </w:pPr>
      <w:r>
        <w:rPr>
          <w:rFonts w:ascii="Times New Roman" w:hAnsi="Times New Roman"/>
          <w:color w:val="000000"/>
          <w:sz w:val="22"/>
        </w:rPr>
        <w:t>Upon presentation of documentation of such expenses reasonably satisfactory to the Company, the Company will reimburse each Non-Employee Director for reasonable out-of-pocket business expenses incurred in connection with attending meetings of the Board and Committees thereof or in connection with other business related to the Board. Each Non-Employee Director shall abide by the Company’s travel and other expense policies applicable to Company personnel, as in effect from time to time.</w:t>
      </w:r>
    </w:p>
    <w:p>
      <w:pPr>
        <w:pStyle w:val="TextBody"/>
        <w:bidi w:val="0"/>
        <w:ind w:left="0" w:right="0" w:firstLine="72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VIII.</w:t>
      </w:r>
    </w:p>
    <w:p>
      <w:pPr>
        <w:pStyle w:val="TextBody"/>
        <w:bidi w:val="0"/>
        <w:jc w:val="left"/>
        <w:rPr>
          <w:rFonts w:ascii="Times New Roman" w:hAnsi="Times New Roman"/>
          <w:b/>
          <w:color w:val="000000"/>
          <w:sz w:val="22"/>
        </w:rPr>
      </w:pPr>
      <w:r>
        <w:rPr>
          <w:rFonts w:ascii="Times New Roman" w:hAnsi="Times New Roman"/>
          <w:b/>
          <w:color w:val="000000"/>
          <w:sz w:val="22"/>
        </w:rPr>
        <w:t>Amendments</w:t>
      </w:r>
    </w:p>
    <w:p>
      <w:pPr>
        <w:pStyle w:val="TextBody"/>
        <w:bidi w:val="0"/>
        <w:ind w:left="0" w:right="0" w:firstLine="720"/>
        <w:jc w:val="both"/>
        <w:rPr/>
      </w:pPr>
      <w:r>
        <w:rPr/>
        <w:t> </w:t>
      </w:r>
    </w:p>
    <w:p>
      <w:pPr>
        <w:pStyle w:val="TextBody"/>
        <w:bidi w:val="0"/>
        <w:ind w:left="0" w:right="0" w:firstLine="720"/>
        <w:jc w:val="both"/>
        <w:rPr>
          <w:rFonts w:ascii="Times New Roman" w:hAnsi="Times New Roman"/>
          <w:color w:val="000000"/>
          <w:sz w:val="22"/>
        </w:rPr>
      </w:pPr>
      <w:r>
        <w:rPr>
          <w:rFonts w:ascii="Times New Roman" w:hAnsi="Times New Roman"/>
          <w:color w:val="000000"/>
          <w:sz w:val="22"/>
        </w:rPr>
        <w:t>This Policy may be amended at any time in the sole discretion of the Board. The Compensation Committee or the Board shall review this Policy from time to time to assess whether any amendments in the type and amount of compensation provided herein should be adjusted in order to fulfill the objectives of this Policy.</w:t>
      </w:r>
    </w:p>
    <w:p>
      <w:pPr>
        <w:pStyle w:val="TextBody"/>
        <w:pBdr/>
        <w:bidi w:val="0"/>
        <w:ind w:left="720" w:right="0" w:hanging="720"/>
        <w:jc w:val="both"/>
        <w:rPr/>
      </w:pPr>
      <w:r>
        <w:rPr/>
        <w:t> </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Amended: April 25,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prok-ex31_1.htm"/>
      <w:bookmarkStart w:id="25" w:name="ksprokex31_1"/>
      <w:bookmarkEnd w:id="24"/>
      <w:bookmarkEnd w:id="2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Bruce Culleton,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ProKidney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69" w:type="dxa"/>
        <w:jc w:val="left"/>
        <w:tblInd w:w="0" w:type="dxa"/>
        <w:tblLayout w:type="fixed"/>
        <w:tblCellMar>
          <w:top w:w="28" w:type="dxa"/>
          <w:left w:w="28" w:type="dxa"/>
          <w:bottom w:w="28" w:type="dxa"/>
          <w:right w:w="28" w:type="dxa"/>
        </w:tblCellMar>
      </w:tblPr>
      <w:tblGrid>
        <w:gridCol w:w="1741"/>
        <w:gridCol w:w="146"/>
        <w:gridCol w:w="406"/>
        <w:gridCol w:w="247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prok-ex31_2.htm"/>
      <w:bookmarkStart w:id="27" w:name="ksprok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Coulston,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ProKidney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146"/>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prok-ex32_1.htm"/>
      <w:bookmarkStart w:id="29" w:name="ksprokex32_1"/>
      <w:bookmarkEnd w:id="28"/>
      <w:bookmarkEnd w:id="2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ProKidney Corp. (the “Company”) on Form 10-Q for the period ending March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769" w:type="dxa"/>
        <w:jc w:val="left"/>
        <w:tblInd w:w="0" w:type="dxa"/>
        <w:tblLayout w:type="fixed"/>
        <w:tblCellMar>
          <w:top w:w="28" w:type="dxa"/>
          <w:left w:w="28" w:type="dxa"/>
          <w:bottom w:w="28" w:type="dxa"/>
          <w:right w:w="28" w:type="dxa"/>
        </w:tblCellMar>
      </w:tblPr>
      <w:tblGrid>
        <w:gridCol w:w="1741"/>
        <w:gridCol w:w="146"/>
        <w:gridCol w:w="406"/>
        <w:gridCol w:w="247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Culleton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prok-ex32_2.htm"/>
      <w:bookmarkStart w:id="31" w:name="ksprokex32_2"/>
      <w:bookmarkEnd w:id="30"/>
      <w:bookmarkEnd w:id="3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ProKidney Corp. (the “Company”) on Form 10-Q for the period ending March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146"/>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Coulston</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0270/000095017024035914/prok-ex10_1.htm" TargetMode="External"/><Relationship Id="rId3" Type="http://schemas.openxmlformats.org/officeDocument/2006/relationships/hyperlink" Target="https://www.sec.gov/Archives/edgar/data/1850270/000095017024032827/prok-ex10_1.htm" TargetMode="External"/><Relationship Id="rId4" Type="http://schemas.openxmlformats.org/officeDocument/2006/relationships/hyperlink" Target="https://www.sec.gov/Archives/edgar/data/1850270/000095017024032821/prok-ex10_2.htm" TargetMode="External"/><Relationship Id="rId5" Type="http://schemas.openxmlformats.org/officeDocument/2006/relationships/hyperlink" Target="https://www.sec.gov/Archives/edgar/data/1850270/000119312524011267/d664610dex11.htm" TargetMode="External"/><Relationship Id="rId6" Type="http://schemas.openxmlformats.org/officeDocument/2006/relationships/hyperlink" Target="https://www.sec.gov/Archives/edgar/data/1850270/000119312524011267/d664610dex11.htm" TargetMode="External"/><Relationship Id="rId7" Type="http://schemas.openxmlformats.org/officeDocument/2006/relationships/hyperlink" Target="https://www.sec.gov/Archives/edgar/data/1850270/000119312524011267/d664610dex1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17657</Words>
  <Characters>98062</Characters>
  <CharactersWithSpaces>116197</CharactersWithSpaces>
  <Paragraphs>3987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