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As filed with the United States Securities and Exchange Commission on March 31, 2025</w:t>
      </w:r>
    </w:p>
    <w:p>
      <w:pPr>
        <w:spacing w:after="0" w:line="36" w:lineRule="exact"/>
        <w:rPr>
          <w:sz w:val="24"/>
          <w:szCs w:val="24"/>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77470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t>FORM S-4 REGISTRATION STATEMENT</w:t>
      </w:r>
    </w:p>
    <w:p>
      <w:pPr>
        <w:spacing w:after="0" w:line="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t>UNDER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58420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PROKIDNEY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720"/>
          </w:cols>
          <w:pgMar w:left="1080" w:top="223" w:right="1099" w:bottom="1440" w:gutter="0" w:footer="0" w:header="0"/>
        </w:sectPr>
      </w:pPr>
    </w:p>
    <w:p>
      <w:pPr>
        <w:spacing w:after="0" w:line="47"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5"/>
          <w:szCs w:val="15"/>
          <w:b w:val="1"/>
          <w:bCs w:val="1"/>
          <w:color w:val="auto"/>
        </w:rPr>
        <w:t>2836</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98-1586514</w:t>
      </w:r>
    </w:p>
    <w:p>
      <w:pPr>
        <w:spacing w:after="0" w:line="32" w:lineRule="exact"/>
        <w:rPr>
          <w:sz w:val="24"/>
          <w:szCs w:val="24"/>
          <w:color w:val="auto"/>
        </w:rPr>
      </w:pPr>
    </w:p>
    <w:p>
      <w:pPr>
        <w:sectPr>
          <w:pgSz w:w="11900" w:h="16838" w:orient="portrait"/>
          <w:cols w:equalWidth="0" w:num="3">
            <w:col w:w="3980" w:space="720"/>
            <w:col w:w="2400" w:space="720"/>
            <w:col w:w="1900"/>
          </w:cols>
          <w:pgMar w:left="1080" w:top="223" w:right="10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(Primary Standard Industrial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w:t>
      </w:r>
    </w:p>
    <w:p>
      <w:pPr>
        <w:spacing w:after="0" w:line="1" w:lineRule="exact"/>
        <w:rPr>
          <w:sz w:val="24"/>
          <w:szCs w:val="24"/>
          <w:color w:val="auto"/>
        </w:rPr>
      </w:pPr>
    </w:p>
    <w:p>
      <w:pPr>
        <w:sectPr>
          <w:pgSz w:w="11900" w:h="16838" w:orient="portrait"/>
          <w:cols w:equalWidth="0" w:num="3">
            <w:col w:w="3280" w:space="720"/>
            <w:col w:w="2940" w:space="720"/>
            <w:col w:w="2060"/>
          </w:cols>
          <w:pgMar w:left="1080" w:top="223" w:right="109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78" w:lineRule="exact"/>
        <w:rPr>
          <w:sz w:val="24"/>
          <w:szCs w:val="24"/>
          <w:color w:val="auto"/>
        </w:rPr>
      </w:pPr>
    </w:p>
    <w:p>
      <w:pPr>
        <w:sectPr>
          <w:pgSz w:w="11900" w:h="16838" w:orient="portrait"/>
          <w:cols w:equalWidth="0" w:num="3">
            <w:col w:w="3280" w:space="720"/>
            <w:col w:w="2900" w:space="720"/>
            <w:col w:w="2100"/>
          </w:cols>
          <w:pgMar w:left="1080" w:top="223" w:right="1099" w:bottom="1440" w:gutter="0" w:footer="0" w:header="0"/>
          <w:type w:val="continuous"/>
        </w:sectPr>
      </w:pPr>
    </w:p>
    <w:p>
      <w:pPr>
        <w:jc w:val="center"/>
        <w:ind w:right="1540"/>
        <w:spacing w:after="0"/>
        <w:rPr>
          <w:sz w:val="20"/>
          <w:szCs w:val="20"/>
          <w:color w:val="auto"/>
        </w:rPr>
      </w:pPr>
      <w:r>
        <w:rPr>
          <w:rFonts w:ascii="Times New Roman" w:cs="Times New Roman" w:eastAsia="Times New Roman" w:hAnsi="Times New Roman"/>
          <w:sz w:val="15"/>
          <w:szCs w:val="15"/>
          <w:b w:val="1"/>
          <w:bCs w:val="1"/>
          <w:color w:val="auto"/>
        </w:rPr>
        <w:t>2000 Frontis Plaza Blvd.</w:t>
      </w:r>
    </w:p>
    <w:p>
      <w:pPr>
        <w:jc w:val="center"/>
        <w:ind w:right="1540"/>
        <w:spacing w:after="0" w:line="235" w:lineRule="auto"/>
        <w:rPr>
          <w:sz w:val="20"/>
          <w:szCs w:val="20"/>
          <w:color w:val="auto"/>
        </w:rPr>
      </w:pPr>
      <w:r>
        <w:rPr>
          <w:rFonts w:ascii="Times New Roman" w:cs="Times New Roman" w:eastAsia="Times New Roman" w:hAnsi="Times New Roman"/>
          <w:sz w:val="15"/>
          <w:szCs w:val="15"/>
          <w:b w:val="1"/>
          <w:bCs w:val="1"/>
          <w:color w:val="auto"/>
        </w:rPr>
        <w:t>Suite 250</w:t>
      </w:r>
    </w:p>
    <w:p>
      <w:pPr>
        <w:jc w:val="center"/>
        <w:ind w:right="1540"/>
        <w:spacing w:after="0" w:line="226" w:lineRule="auto"/>
        <w:rPr>
          <w:sz w:val="20"/>
          <w:szCs w:val="20"/>
          <w:color w:val="auto"/>
        </w:rPr>
      </w:pPr>
      <w:r>
        <w:rPr>
          <w:rFonts w:ascii="Times New Roman" w:cs="Times New Roman" w:eastAsia="Times New Roman" w:hAnsi="Times New Roman"/>
          <w:sz w:val="15"/>
          <w:szCs w:val="15"/>
          <w:b w:val="1"/>
          <w:bCs w:val="1"/>
          <w:color w:val="auto"/>
        </w:rPr>
        <w:t>Winston-Salem, NC</w:t>
      </w:r>
    </w:p>
    <w:p>
      <w:pPr>
        <w:jc w:val="center"/>
        <w:ind w:right="15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5"/>
          <w:szCs w:val="15"/>
          <w:b w:val="1"/>
          <w:bCs w:val="1"/>
          <w:color w:val="auto"/>
        </w:rPr>
        <w:t>27103</w:t>
      </w:r>
    </w:p>
    <w:p>
      <w:pPr>
        <w:spacing w:after="0" w:line="8"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4"/>
          <w:szCs w:val="14"/>
          <w:color w:val="auto"/>
        </w:rPr>
        <w:t>(Zip Code)</w:t>
      </w:r>
    </w:p>
    <w:p>
      <w:pPr>
        <w:spacing w:after="0" w:line="37" w:lineRule="exact"/>
        <w:rPr>
          <w:sz w:val="24"/>
          <w:szCs w:val="24"/>
          <w:color w:val="auto"/>
        </w:rPr>
      </w:pPr>
    </w:p>
    <w:p>
      <w:pPr>
        <w:sectPr>
          <w:pgSz w:w="11900" w:h="16838" w:orient="portrait"/>
          <w:cols w:equalWidth="0" w:num="2">
            <w:col w:w="6300" w:space="720"/>
            <w:col w:w="2700"/>
          </w:cols>
          <w:pgMar w:left="1080" w:top="223" w:right="109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(336) 999-7019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N/A</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16510</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Bruce Culleton, M.D.</w:t>
      </w:r>
    </w:p>
    <w:p>
      <w:pPr>
        <w:jc w:val="center"/>
        <w:ind w:right="40"/>
        <w:spacing w:after="0" w:line="235" w:lineRule="auto"/>
        <w:rPr>
          <w:sz w:val="20"/>
          <w:szCs w:val="20"/>
          <w:color w:val="auto"/>
        </w:rPr>
      </w:pPr>
      <w:r>
        <w:rPr>
          <w:rFonts w:ascii="Times New Roman" w:cs="Times New Roman" w:eastAsia="Times New Roman" w:hAnsi="Times New Roman"/>
          <w:sz w:val="15"/>
          <w:szCs w:val="15"/>
          <w:b w:val="1"/>
          <w:bCs w:val="1"/>
          <w:color w:val="auto"/>
        </w:rPr>
        <w:t>Chief Executive Officer</w:t>
      </w:r>
    </w:p>
    <w:p>
      <w:pPr>
        <w:jc w:val="center"/>
        <w:ind w:right="40"/>
        <w:spacing w:after="0" w:line="226" w:lineRule="auto"/>
        <w:rPr>
          <w:sz w:val="20"/>
          <w:szCs w:val="20"/>
          <w:color w:val="auto"/>
        </w:rPr>
      </w:pPr>
      <w:r>
        <w:rPr>
          <w:rFonts w:ascii="Times New Roman" w:cs="Times New Roman" w:eastAsia="Times New Roman" w:hAnsi="Times New Roman"/>
          <w:sz w:val="15"/>
          <w:szCs w:val="15"/>
          <w:b w:val="1"/>
          <w:bCs w:val="1"/>
          <w:color w:val="auto"/>
        </w:rPr>
        <w:t>ProKidney Corp.</w:t>
      </w:r>
    </w:p>
    <w:p>
      <w:pPr>
        <w:jc w:val="center"/>
        <w:ind w:right="40"/>
        <w:spacing w:after="0" w:line="225" w:lineRule="auto"/>
        <w:rPr>
          <w:sz w:val="20"/>
          <w:szCs w:val="20"/>
          <w:color w:val="auto"/>
        </w:rPr>
      </w:pPr>
      <w:r>
        <w:rPr>
          <w:rFonts w:ascii="Times New Roman" w:cs="Times New Roman" w:eastAsia="Times New Roman" w:hAnsi="Times New Roman"/>
          <w:sz w:val="15"/>
          <w:szCs w:val="15"/>
          <w:b w:val="1"/>
          <w:bCs w:val="1"/>
          <w:color w:val="auto"/>
        </w:rPr>
        <w:t>2000 Frontis Plaza Blvd, Suite 250</w:t>
      </w:r>
    </w:p>
    <w:p>
      <w:pPr>
        <w:jc w:val="center"/>
        <w:ind w:right="40"/>
        <w:spacing w:after="0" w:line="226" w:lineRule="auto"/>
        <w:rPr>
          <w:sz w:val="20"/>
          <w:szCs w:val="20"/>
          <w:color w:val="auto"/>
        </w:rPr>
      </w:pPr>
      <w:r>
        <w:rPr>
          <w:rFonts w:ascii="Times New Roman" w:cs="Times New Roman" w:eastAsia="Times New Roman" w:hAnsi="Times New Roman"/>
          <w:sz w:val="15"/>
          <w:szCs w:val="15"/>
          <w:b w:val="1"/>
          <w:bCs w:val="1"/>
          <w:color w:val="auto"/>
        </w:rPr>
        <w:t>Winston-Salem, North Carolina</w:t>
      </w:r>
    </w:p>
    <w:p>
      <w:pPr>
        <w:jc w:val="center"/>
        <w:ind w:right="40"/>
        <w:spacing w:after="0" w:line="225" w:lineRule="auto"/>
        <w:rPr>
          <w:sz w:val="20"/>
          <w:szCs w:val="20"/>
          <w:color w:val="auto"/>
        </w:rPr>
      </w:pPr>
      <w:r>
        <w:rPr>
          <w:rFonts w:ascii="Times New Roman" w:cs="Times New Roman" w:eastAsia="Times New Roman" w:hAnsi="Times New Roman"/>
          <w:sz w:val="15"/>
          <w:szCs w:val="15"/>
          <w:b w:val="1"/>
          <w:bCs w:val="1"/>
          <w:color w:val="auto"/>
        </w:rPr>
        <w:t>(336) 999-7028</w:t>
      </w:r>
    </w:p>
    <w:p>
      <w:pPr>
        <w:jc w:val="center"/>
        <w:spacing w:after="0"/>
        <w:rPr>
          <w:sz w:val="20"/>
          <w:szCs w:val="20"/>
          <w:color w:val="auto"/>
        </w:rPr>
      </w:pPr>
      <w:r>
        <w:rPr>
          <w:rFonts w:ascii="Times New Roman" w:cs="Times New Roman" w:eastAsia="Times New Roman" w:hAnsi="Times New Roman"/>
          <w:sz w:val="15"/>
          <w:szCs w:val="15"/>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8255</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With a copy to:</w:t>
      </w:r>
    </w:p>
    <w:p>
      <w:pPr>
        <w:spacing w:after="0" w:line="100"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5"/>
          <w:szCs w:val="15"/>
          <w:b w:val="1"/>
          <w:bCs w:val="1"/>
          <w:color w:val="auto"/>
        </w:rPr>
        <w:t>Stuart E. Leblang</w:t>
      </w:r>
    </w:p>
    <w:p>
      <w:pPr>
        <w:ind w:left="4340"/>
        <w:spacing w:after="0" w:line="235" w:lineRule="auto"/>
        <w:rPr>
          <w:sz w:val="20"/>
          <w:szCs w:val="20"/>
          <w:color w:val="auto"/>
        </w:rPr>
      </w:pPr>
      <w:r>
        <w:rPr>
          <w:rFonts w:ascii="Times New Roman" w:cs="Times New Roman" w:eastAsia="Times New Roman" w:hAnsi="Times New Roman"/>
          <w:sz w:val="15"/>
          <w:szCs w:val="15"/>
          <w:b w:val="1"/>
          <w:bCs w:val="1"/>
          <w:color w:val="auto"/>
        </w:rPr>
        <w:t>John P. Clayton</w:t>
      </w:r>
    </w:p>
    <w:p>
      <w:pPr>
        <w:ind w:left="4380"/>
        <w:spacing w:after="0" w:line="226" w:lineRule="auto"/>
        <w:rPr>
          <w:sz w:val="20"/>
          <w:szCs w:val="20"/>
          <w:color w:val="auto"/>
        </w:rPr>
      </w:pPr>
      <w:r>
        <w:rPr>
          <w:rFonts w:ascii="Times New Roman" w:cs="Times New Roman" w:eastAsia="Times New Roman" w:hAnsi="Times New Roman"/>
          <w:sz w:val="15"/>
          <w:szCs w:val="15"/>
          <w:b w:val="1"/>
          <w:bCs w:val="1"/>
          <w:color w:val="auto"/>
        </w:rPr>
        <w:t>Eric H. Wexler</w:t>
      </w:r>
    </w:p>
    <w:p>
      <w:pPr>
        <w:ind w:left="3600"/>
        <w:spacing w:after="0" w:line="225" w:lineRule="auto"/>
        <w:rPr>
          <w:sz w:val="20"/>
          <w:szCs w:val="20"/>
          <w:color w:val="auto"/>
        </w:rPr>
      </w:pPr>
      <w:r>
        <w:rPr>
          <w:rFonts w:ascii="Times New Roman" w:cs="Times New Roman" w:eastAsia="Times New Roman" w:hAnsi="Times New Roman"/>
          <w:sz w:val="15"/>
          <w:szCs w:val="15"/>
          <w:b w:val="1"/>
          <w:bCs w:val="1"/>
          <w:color w:val="auto"/>
        </w:rPr>
        <w:t>Akin Gump Strauss Hauer &amp; Feld LLP</w:t>
      </w:r>
    </w:p>
    <w:p>
      <w:pPr>
        <w:ind w:left="4300"/>
        <w:spacing w:after="0" w:line="226" w:lineRule="auto"/>
        <w:rPr>
          <w:sz w:val="20"/>
          <w:szCs w:val="20"/>
          <w:color w:val="auto"/>
        </w:rPr>
      </w:pPr>
      <w:r>
        <w:rPr>
          <w:rFonts w:ascii="Times New Roman" w:cs="Times New Roman" w:eastAsia="Times New Roman" w:hAnsi="Times New Roman"/>
          <w:sz w:val="15"/>
          <w:szCs w:val="15"/>
          <w:b w:val="1"/>
          <w:bCs w:val="1"/>
          <w:color w:val="auto"/>
        </w:rPr>
        <w:t>One Bryant Park</w:t>
      </w:r>
    </w:p>
    <w:p>
      <w:pPr>
        <w:ind w:left="4100"/>
        <w:spacing w:after="0" w:line="225" w:lineRule="auto"/>
        <w:rPr>
          <w:sz w:val="20"/>
          <w:szCs w:val="20"/>
          <w:color w:val="auto"/>
        </w:rPr>
      </w:pPr>
      <w:r>
        <w:rPr>
          <w:rFonts w:ascii="Times New Roman" w:cs="Times New Roman" w:eastAsia="Times New Roman" w:hAnsi="Times New Roman"/>
          <w:sz w:val="15"/>
          <w:szCs w:val="15"/>
          <w:b w:val="1"/>
          <w:bCs w:val="1"/>
          <w:color w:val="auto"/>
        </w:rPr>
        <w:t>Bank of America Tower</w:t>
      </w:r>
    </w:p>
    <w:p>
      <w:pPr>
        <w:ind w:left="4180"/>
        <w:spacing w:after="0" w:line="225" w:lineRule="auto"/>
        <w:rPr>
          <w:sz w:val="20"/>
          <w:szCs w:val="20"/>
          <w:color w:val="auto"/>
        </w:rPr>
      </w:pPr>
      <w:r>
        <w:rPr>
          <w:rFonts w:ascii="Times New Roman" w:cs="Times New Roman" w:eastAsia="Times New Roman" w:hAnsi="Times New Roman"/>
          <w:sz w:val="15"/>
          <w:szCs w:val="15"/>
          <w:b w:val="1"/>
          <w:bCs w:val="1"/>
          <w:color w:val="auto"/>
        </w:rPr>
        <w:t>New York, NY 10036</w:t>
      </w:r>
    </w:p>
    <w:p>
      <w:pPr>
        <w:spacing w:after="0" w:line="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5"/>
          <w:szCs w:val="15"/>
          <w:b w:val="1"/>
          <w:bCs w:val="1"/>
          <w:color w:val="auto"/>
        </w:rPr>
        <w:t>(214) 969-2701</w:t>
      </w:r>
    </w:p>
    <w:p>
      <w:pPr>
        <w:spacing w:after="0" w:line="12" w:lineRule="exact"/>
        <w:rPr>
          <w:sz w:val="24"/>
          <w:szCs w:val="24"/>
          <w:color w:val="auto"/>
        </w:rPr>
      </w:pPr>
    </w:p>
    <w:p>
      <w:pPr>
        <w:ind w:right="480"/>
        <w:spacing w:after="0" w:line="237" w:lineRule="auto"/>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of the securities to the public: </w:t>
      </w:r>
      <w:r>
        <w:rPr>
          <w:rFonts w:ascii="Times New Roman" w:cs="Times New Roman" w:eastAsia="Times New Roman" w:hAnsi="Times New Roman"/>
          <w:sz w:val="15"/>
          <w:szCs w:val="15"/>
          <w:color w:val="auto"/>
        </w:rPr>
        <w:t>As soon as practicable after this Registration Statement is declared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effective and all other conditions to the domestication described in the enclosed Proxy Statement/Prospectus have been satisfied or waived.</w:t>
      </w:r>
    </w:p>
    <w:p>
      <w:pPr>
        <w:spacing w:after="0" w:line="12" w:lineRule="exact"/>
        <w:rPr>
          <w:sz w:val="24"/>
          <w:szCs w:val="24"/>
          <w:color w:val="auto"/>
        </w:rPr>
      </w:pPr>
    </w:p>
    <w:p>
      <w:pPr>
        <w:ind w:right="460"/>
        <w:spacing w:after="0" w:line="182" w:lineRule="exact"/>
        <w:rPr>
          <w:sz w:val="20"/>
          <w:szCs w:val="20"/>
          <w:color w:val="auto"/>
        </w:rPr>
      </w:pPr>
      <w:r>
        <w:rPr>
          <w:rFonts w:ascii="Times New Roman" w:cs="Times New Roman" w:eastAsia="Times New Roman" w:hAnsi="Times New Roman"/>
          <w:sz w:val="15"/>
          <w:szCs w:val="15"/>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5"/>
          <w:szCs w:val="15"/>
          <w:color w:val="auto"/>
        </w:rPr>
        <w:t>☐</w:t>
      </w:r>
    </w:p>
    <w:p>
      <w:pPr>
        <w:spacing w:after="0" w:line="41" w:lineRule="exact"/>
        <w:rPr>
          <w:sz w:val="24"/>
          <w:szCs w:val="24"/>
          <w:color w:val="auto"/>
        </w:rPr>
      </w:pPr>
    </w:p>
    <w:p>
      <w:pPr>
        <w:ind w:right="120"/>
        <w:spacing w:after="0" w:line="175"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42" w:lineRule="exact"/>
        <w:rPr>
          <w:sz w:val="24"/>
          <w:szCs w:val="24"/>
          <w:color w:val="auto"/>
        </w:rPr>
      </w:pPr>
    </w:p>
    <w:p>
      <w:pPr>
        <w:ind w:right="240"/>
        <w:spacing w:after="0" w:line="182"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41" w:lineRule="exact"/>
        <w:rPr>
          <w:sz w:val="24"/>
          <w:szCs w:val="24"/>
          <w:color w:val="auto"/>
        </w:rPr>
      </w:pPr>
    </w:p>
    <w:p>
      <w:pPr>
        <w:jc w:val="both"/>
        <w:ind w:right="140"/>
        <w:spacing w:after="0" w:line="22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spacing w:after="0" w:line="1" w:lineRule="exact"/>
        <w:rPr>
          <w:sz w:val="24"/>
          <w:szCs w:val="24"/>
          <w:color w:val="auto"/>
        </w:rPr>
      </w:pPr>
    </w:p>
    <w:p>
      <w:pPr>
        <w:ind w:left="108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68" w:lineRule="exact"/>
        <w:rPr>
          <w:sz w:val="24"/>
          <w:szCs w:val="24"/>
          <w:color w:val="auto"/>
        </w:rPr>
      </w:pPr>
    </w:p>
    <w:p>
      <w:pPr>
        <w:ind w:left="1080"/>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57" w:lineRule="exact"/>
        <w:rPr>
          <w:sz w:val="24"/>
          <w:szCs w:val="24"/>
          <w:color w:val="auto"/>
        </w:rPr>
      </w:pPr>
    </w:p>
    <w:p>
      <w:pPr>
        <w:ind w:left="1080"/>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57" w:lineRule="exact"/>
        <w:rPr>
          <w:sz w:val="24"/>
          <w:szCs w:val="24"/>
          <w:color w:val="auto"/>
        </w:rPr>
      </w:pPr>
    </w:p>
    <w:p>
      <w:pPr>
        <w:ind w:left="1080"/>
        <w:spacing w:after="0" w:line="173"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p>
    <w:p>
      <w:pPr>
        <w:spacing w:after="0" w:line="57" w:lineRule="exact"/>
        <w:rPr>
          <w:sz w:val="24"/>
          <w:szCs w:val="24"/>
          <w:color w:val="auto"/>
        </w:rPr>
      </w:pPr>
    </w:p>
    <w:p>
      <w:pPr>
        <w:ind w:left="108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58" w:lineRule="exact"/>
        <w:rPr>
          <w:sz w:val="24"/>
          <w:szCs w:val="24"/>
          <w:color w:val="auto"/>
        </w:rPr>
      </w:pPr>
    </w:p>
    <w:p>
      <w:pPr>
        <w:ind w:right="20"/>
        <w:spacing w:after="0" w:line="18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If applicable, place an X in the box to designate the appropriate rule provision relied upon in conducting this transaction:</w:t>
      </w:r>
    </w:p>
    <w:p>
      <w:pPr>
        <w:spacing w:after="0" w:line="19" w:lineRule="exact"/>
        <w:rPr>
          <w:sz w:val="24"/>
          <w:szCs w:val="24"/>
          <w:color w:val="auto"/>
        </w:rPr>
      </w:pPr>
    </w:p>
    <w:p>
      <w:pPr>
        <w:ind w:left="1080"/>
        <w:spacing w:after="0" w:line="173" w:lineRule="exact"/>
        <w:rPr>
          <w:sz w:val="20"/>
          <w:szCs w:val="20"/>
          <w:color w:val="auto"/>
        </w:rPr>
      </w:pPr>
      <w:r>
        <w:rPr>
          <w:rFonts w:ascii="Times New Roman" w:cs="Times New Roman" w:eastAsia="Times New Roman" w:hAnsi="Times New Roman"/>
          <w:sz w:val="15"/>
          <w:szCs w:val="15"/>
          <w:color w:val="auto"/>
        </w:rPr>
        <w:t xml:space="preserve">Exchange Act Rule 13e-4(i) (Cross-Border Issuer Tender Offer) </w:t>
      </w:r>
      <w:r>
        <w:rPr>
          <w:rFonts w:ascii="MS PGothic" w:cs="MS PGothic" w:eastAsia="MS PGothic" w:hAnsi="MS PGothic"/>
          <w:sz w:val="15"/>
          <w:szCs w:val="15"/>
          <w:color w:val="auto"/>
        </w:rPr>
        <w:t>☐</w:t>
      </w:r>
    </w:p>
    <w:p>
      <w:pPr>
        <w:spacing w:after="0" w:line="68" w:lineRule="exact"/>
        <w:rPr>
          <w:sz w:val="24"/>
          <w:szCs w:val="24"/>
          <w:color w:val="auto"/>
        </w:rPr>
      </w:pPr>
    </w:p>
    <w:p>
      <w:pPr>
        <w:ind w:left="1080"/>
        <w:spacing w:after="0" w:line="173" w:lineRule="exact"/>
        <w:rPr>
          <w:sz w:val="20"/>
          <w:szCs w:val="20"/>
          <w:color w:val="auto"/>
        </w:rPr>
      </w:pPr>
      <w:r>
        <w:rPr>
          <w:rFonts w:ascii="Times New Roman" w:cs="Times New Roman" w:eastAsia="Times New Roman" w:hAnsi="Times New Roman"/>
          <w:sz w:val="15"/>
          <w:szCs w:val="15"/>
          <w:color w:val="auto"/>
        </w:rPr>
        <w:t xml:space="preserve">Exchange Act Rule 14d-1(d) (Cross-Border Third-Party Tender Offer) </w:t>
      </w:r>
      <w:r>
        <w:rPr>
          <w:rFonts w:ascii="MS PGothic" w:cs="MS PGothic" w:eastAsia="MS PGothic" w:hAnsi="MS PGothic"/>
          <w:sz w:val="15"/>
          <w:szCs w:val="15"/>
          <w:color w:val="auto"/>
        </w:rPr>
        <w:t>☐</w:t>
      </w:r>
    </w:p>
    <w:p>
      <w:pPr>
        <w:spacing w:after="0" w:line="58" w:lineRule="exact"/>
        <w:rPr>
          <w:sz w:val="24"/>
          <w:szCs w:val="24"/>
          <w:color w:val="auto"/>
        </w:rPr>
      </w:pPr>
    </w:p>
    <w:p>
      <w:pPr>
        <w:jc w:val="both"/>
        <w:ind w:right="20" w:firstLine="4"/>
        <w:spacing w:after="0" w:line="244" w:lineRule="auto"/>
        <w:tabs>
          <w:tab w:leader="none" w:pos="111"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consummation of the domestication described herein, ProKidney Corp. intends to change its jurisdiction of organization from a corporation organized under the laws of the Cayman Islands to a corporation organized under the laws of the State of Delaware in accordance with the deregistration laws under Article 206 of the Companies Act (as amended) of the Cayman Islands and a domestication under Section 388 of the Delaware General Corporation Law.</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w:t>
      </w:r>
    </w:p>
    <w:p>
      <w:pPr>
        <w:spacing w:after="0" w:line="211" w:lineRule="auto"/>
        <w:rPr>
          <w:sz w:val="20"/>
          <w:szCs w:val="20"/>
          <w:color w:val="auto"/>
        </w:rPr>
      </w:pPr>
      <w:r>
        <w:rPr>
          <w:rFonts w:ascii="Times New Roman" w:cs="Times New Roman" w:eastAsia="Times New Roman" w:hAnsi="Times New Roman"/>
          <w:sz w:val="14"/>
          <w:szCs w:val="14"/>
          <w:b w:val="1"/>
          <w:bCs w:val="1"/>
          <w:color w:val="auto"/>
        </w:rPr>
        <w:t>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w:t>
      </w:r>
    </w:p>
    <w:p>
      <w:pPr>
        <w:spacing w:after="0"/>
        <w:rPr>
          <w:sz w:val="20"/>
          <w:szCs w:val="20"/>
          <w:color w:val="auto"/>
        </w:rPr>
      </w:pPr>
      <w:r>
        <w:rPr>
          <w:rFonts w:ascii="Times New Roman" w:cs="Times New Roman" w:eastAsia="Times New Roman" w:hAnsi="Times New Roman"/>
          <w:sz w:val="15"/>
          <w:szCs w:val="15"/>
          <w:b w:val="1"/>
          <w:bCs w:val="1"/>
          <w:color w:val="auto"/>
        </w:rPr>
        <w:t>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196850</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325120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223" w:right="10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color w:val="FC0014"/>
        </w:rPr>
        <w:t>The information in this preliminary proxy statement/prospectus is subject to completion and amendment. The registrant may not sell the securities described herein until the registration statement filed with the United States Securities and Exchange Commission is declared effective. This preliminary proxy statement/prospectus is not an offer to sell these securities and it is not soliciting an offer to buy these securities in any jurisdiction where the offer or sale is not permitted.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14"/>
        </w:rPr>
        <w:t>PRELIMINARY PROXY STATEMENT/PROSPECTUS SUBJECT TO COMPLETION, DATED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1778000</wp:posOffset>
            </wp:positionH>
            <wp:positionV relativeFrom="paragraph">
              <wp:posOffset>182880</wp:posOffset>
            </wp:positionV>
            <wp:extent cx="2468880" cy="788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688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 ANNUAL GENERAL MEETING</w:t>
      </w:r>
    </w:p>
    <w:p>
      <w:pPr>
        <w:spacing w:after="0" w:line="144" w:lineRule="exact"/>
        <w:rPr>
          <w:sz w:val="20"/>
          <w:szCs w:val="20"/>
          <w:color w:val="auto"/>
        </w:rPr>
      </w:pPr>
    </w:p>
    <w:p>
      <w:pPr>
        <w:jc w:val="cente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PROSPECTUS FOR UP TO 292,707,888 SHARES OF CLASS A COMMON STOCK AND CLASS B COMMON STOCK, IN EACH CASE OF PROKIDNEY CORP. AFTER ITS DOMESTICATION AS A CORPORATION INCORPORATED IN THE STATE OF DELAWARE</w:t>
      </w:r>
    </w:p>
    <w:p>
      <w:pPr>
        <w:spacing w:after="0" w:line="11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color w:val="auto"/>
        </w:rPr>
        <w:t>2000 Frontis Plaza Blvd., Suite 250</w:t>
      </w:r>
    </w:p>
    <w:p>
      <w:pPr>
        <w:spacing w:after="0" w:line="2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color w:val="auto"/>
        </w:rPr>
        <w:t>Winston-Salem, NC 27103</w:t>
      </w:r>
    </w:p>
    <w:p>
      <w:pPr>
        <w:spacing w:after="0" w:line="1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 2025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Fellow Shareholders:</w:t>
      </w:r>
    </w:p>
    <w:p>
      <w:pPr>
        <w:spacing w:after="0" w:line="127" w:lineRule="exact"/>
        <w:rPr>
          <w:sz w:val="20"/>
          <w:szCs w:val="20"/>
          <w:color w:val="auto"/>
        </w:rPr>
      </w:pPr>
    </w:p>
    <w:p>
      <w:pPr>
        <w:ind w:right="40" w:firstLine="360"/>
        <w:spacing w:after="0" w:line="281" w:lineRule="auto"/>
        <w:rPr>
          <w:sz w:val="20"/>
          <w:szCs w:val="20"/>
          <w:color w:val="auto"/>
        </w:rPr>
      </w:pPr>
      <w:r>
        <w:rPr>
          <w:rFonts w:ascii="Times New Roman" w:cs="Times New Roman" w:eastAsia="Times New Roman" w:hAnsi="Times New Roman"/>
          <w:sz w:val="16"/>
          <w:szCs w:val="16"/>
          <w:color w:val="auto"/>
        </w:rPr>
        <w:t>You are cordially invited to attend the 2025 annual general meeting (“annual general meeting”) of shareholders of ProKidney Corp., a Cayman Islands exempted company (“ProKidney,” the “Company,” “we,” “us” or “our”), to be held at 399 Boylston Street, Ste. 350, Boston, MA 02116 and virtually via live webcast at 10:00 a.m. Eastern Time on [•], 2025.</w:t>
      </w:r>
    </w:p>
    <w:p>
      <w:pPr>
        <w:spacing w:after="0" w:line="69" w:lineRule="exact"/>
        <w:rPr>
          <w:sz w:val="20"/>
          <w:szCs w:val="20"/>
          <w:color w:val="auto"/>
        </w:rPr>
      </w:pPr>
    </w:p>
    <w:p>
      <w:pPr>
        <w:ind w:right="60" w:firstLine="360"/>
        <w:spacing w:after="0" w:line="298" w:lineRule="auto"/>
        <w:rPr>
          <w:sz w:val="20"/>
          <w:szCs w:val="20"/>
          <w:color w:val="auto"/>
        </w:rPr>
      </w:pPr>
      <w:r>
        <w:rPr>
          <w:rFonts w:ascii="Times New Roman" w:cs="Times New Roman" w:eastAsia="Times New Roman" w:hAnsi="Times New Roman"/>
          <w:sz w:val="16"/>
          <w:szCs w:val="16"/>
          <w:color w:val="auto"/>
        </w:rPr>
        <w:t>Details regarding the meeting, the business to be conducted at the meeting, and information about ProKidney that you should consider when you vote your shares are described in the accompanying proxy statement/prospectus.</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is a summary of the proposals to be put to the annual general meeting.</w:t>
      </w:r>
    </w:p>
    <w:p>
      <w:pPr>
        <w:spacing w:after="0" w:line="3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Domestication Proposal.</w:t>
      </w:r>
    </w:p>
    <w:p>
      <w:pPr>
        <w:spacing w:after="0" w:line="129" w:lineRule="exact"/>
        <w:rPr>
          <w:sz w:val="20"/>
          <w:szCs w:val="20"/>
          <w:color w:val="auto"/>
        </w:rPr>
      </w:pPr>
    </w:p>
    <w:p>
      <w:pPr>
        <w:ind w:right="40" w:firstLine="360"/>
        <w:spacing w:after="0" w:line="267" w:lineRule="auto"/>
        <w:rPr>
          <w:sz w:val="20"/>
          <w:szCs w:val="20"/>
          <w:color w:val="auto"/>
        </w:rPr>
      </w:pPr>
      <w:r>
        <w:rPr>
          <w:rFonts w:ascii="Times New Roman" w:cs="Times New Roman" w:eastAsia="Times New Roman" w:hAnsi="Times New Roman"/>
          <w:sz w:val="16"/>
          <w:szCs w:val="16"/>
          <w:color w:val="auto"/>
        </w:rPr>
        <w:t>Each of (i) the full board of directors (the “Board”) of ProKidney and (ii) the directors of the Board who do not own Class B ordinary shares (as defined below) unanimously approved the change of ProKidney’s jurisdiction of incorporation from the Cayman Islands to the State of Delaware by deregistering as an exempted company in the Cayman Islands and continuing and domesticating as a corporation incorporated under the laws of the State of Delaware (the “domestication” and such proposal, the “domestication proposal”). These separate votes were taken out of an abundance of caution because certain of our directors who own Class B ordinary shares and common units in ProKidney LP might be deemed to have potential interests in the domestication that are different from or in addition to ProKidney’s public shareholders because they are party to the Tax Receivable Agreement entered into in connection with our business combination. See the section entitled “</w:t>
      </w:r>
      <w:r>
        <w:rPr>
          <w:rFonts w:ascii="Times New Roman" w:cs="Times New Roman" w:eastAsia="Times New Roman" w:hAnsi="Times New Roman"/>
          <w:sz w:val="16"/>
          <w:szCs w:val="16"/>
          <w:i w:val="1"/>
          <w:iCs w:val="1"/>
          <w:color w:val="auto"/>
        </w:rPr>
        <w:t>Interests of Certain Persons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 Domestication</w:t>
      </w:r>
      <w:r>
        <w:rPr>
          <w:rFonts w:ascii="Times New Roman" w:cs="Times New Roman" w:eastAsia="Times New Roman" w:hAnsi="Times New Roman"/>
          <w:sz w:val="16"/>
          <w:szCs w:val="16"/>
          <w:color w:val="auto"/>
        </w:rPr>
        <w:t>” of the accompanying proxy statement/prospectus on page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0000EE"/>
        </w:rPr>
        <w:t>27</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a further discussion of these considerations.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domestication would be effected pursuant to Section 388 of the General Corporation Law of the State of Delaware and Sections 206 and 207 of the Companies Act (as amended) of the Cayman Islands. The continuing entity following the domestication, which we refer to as “ProKidney Delaware,” will continue to be named ProKidney Corp. after the domestication.</w:t>
      </w:r>
    </w:p>
    <w:p>
      <w:pPr>
        <w:spacing w:after="0" w:line="84" w:lineRule="exact"/>
        <w:rPr>
          <w:sz w:val="20"/>
          <w:szCs w:val="20"/>
          <w:color w:val="auto"/>
        </w:rPr>
      </w:pPr>
    </w:p>
    <w:p>
      <w:pPr>
        <w:ind w:right="100" w:firstLine="360"/>
        <w:spacing w:after="0" w:line="269" w:lineRule="auto"/>
        <w:rPr>
          <w:sz w:val="20"/>
          <w:szCs w:val="20"/>
          <w:color w:val="auto"/>
        </w:rPr>
      </w:pPr>
      <w:r>
        <w:rPr>
          <w:rFonts w:ascii="Times New Roman" w:cs="Times New Roman" w:eastAsia="Times New Roman" w:hAnsi="Times New Roman"/>
          <w:sz w:val="16"/>
          <w:szCs w:val="16"/>
          <w:color w:val="auto"/>
        </w:rPr>
        <w:t>As described in this proxy statement/prospectus, ProKidney’s shareholders are being asked to consider and vote to approve the domestication. At the effective time of the domestication, by virtue of the domestication and without any further action on the part of any holder thereof, (i) each Class A ordinary share, par value $0.0001 per share (the “Class A ordinary shares”), issued and outstanding immediately prior to the effective time of the domestication will be automatically converted into one share of Class A common stock, par value $0.0001 per share, of ProKidney Delaware (the “Class A common stock”) and (ii) each Class B ordinary share, par value $0.0001 per share (the “Class B ordinary shares”), issued and outstanding immediately prior to the effective time of the domestication will be automatically converted into one share of Class B common stock, par value $0.0001 per share, of ProKidney Delaware (the “Class B common stock”).</w:t>
      </w:r>
    </w:p>
    <w:p>
      <w:pPr>
        <w:spacing w:after="0" w:line="82" w:lineRule="exact"/>
        <w:rPr>
          <w:sz w:val="20"/>
          <w:szCs w:val="20"/>
          <w:color w:val="auto"/>
        </w:rPr>
      </w:pPr>
    </w:p>
    <w:p>
      <w:pPr>
        <w:ind w:right="140" w:firstLine="360"/>
        <w:spacing w:after="0" w:line="281" w:lineRule="auto"/>
        <w:rPr>
          <w:sz w:val="20"/>
          <w:szCs w:val="20"/>
          <w:color w:val="auto"/>
        </w:rPr>
      </w:pPr>
      <w:r>
        <w:rPr>
          <w:rFonts w:ascii="Times New Roman" w:cs="Times New Roman" w:eastAsia="Times New Roman" w:hAnsi="Times New Roman"/>
          <w:sz w:val="16"/>
          <w:szCs w:val="16"/>
          <w:color w:val="auto"/>
        </w:rPr>
        <w:t>ProKidney’s Class A ordinary shares are currently listed on The Nasdaq Capital Market under the symbol “PROK.” ProKidney Delaware’s Class A common stock will continue to trade under the same symbol following the domestication. There is no public market for our Class B ordinary shares.</w:t>
      </w: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New Charter Proposal.</w:t>
      </w:r>
    </w:p>
    <w:p>
      <w:pPr>
        <w:spacing w:after="0" w:line="129" w:lineRule="exact"/>
        <w:rPr>
          <w:sz w:val="20"/>
          <w:szCs w:val="20"/>
          <w:color w:val="auto"/>
        </w:rPr>
      </w:pPr>
    </w:p>
    <w:p>
      <w:pPr>
        <w:ind w:firstLine="360"/>
        <w:spacing w:after="0" w:line="271" w:lineRule="auto"/>
        <w:rPr>
          <w:sz w:val="20"/>
          <w:szCs w:val="20"/>
          <w:color w:val="auto"/>
        </w:rPr>
      </w:pPr>
      <w:r>
        <w:rPr>
          <w:rFonts w:ascii="Times New Roman" w:cs="Times New Roman" w:eastAsia="Times New Roman" w:hAnsi="Times New Roman"/>
          <w:sz w:val="16"/>
          <w:szCs w:val="16"/>
          <w:color w:val="auto"/>
        </w:rPr>
        <w:t>ProKidney’s shareholders will be asked to approve by special resolution the proposed new certificate of incorporation of ProKidney Delaware, a copy of which is attached to the proxy statement/prospectus as Annex B, to be effective at the effective time of the domestication, which will alter the rights of shareholders under ProKidney’s second amended and restated memorandum and articles of association, a copy of which is attached to the proxy statement/prospectus as Annex A (the “new charter proposal”). Approvals of both the domestication proposal and the new charter proposal are required to effect the domestication. The approval of each of the domestication proposal and the new charter proposal is conditioned upon the other proposal being approved.</w:t>
      </w:r>
    </w:p>
    <w:p>
      <w:pPr>
        <w:spacing w:after="0" w:line="3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Advisory Charter Proposals.</w:t>
      </w:r>
    </w:p>
    <w:p>
      <w:pPr>
        <w:spacing w:after="0" w:line="129" w:lineRule="exact"/>
        <w:rPr>
          <w:sz w:val="20"/>
          <w:szCs w:val="20"/>
          <w:color w:val="auto"/>
        </w:rPr>
      </w:pPr>
    </w:p>
    <w:p>
      <w:pPr>
        <w:jc w:val="both"/>
        <w:ind w:right="500" w:firstLine="360"/>
        <w:spacing w:after="0" w:line="281" w:lineRule="auto"/>
        <w:rPr>
          <w:sz w:val="20"/>
          <w:szCs w:val="20"/>
          <w:color w:val="auto"/>
        </w:rPr>
      </w:pPr>
      <w:r>
        <w:rPr>
          <w:rFonts w:ascii="Times New Roman" w:cs="Times New Roman" w:eastAsia="Times New Roman" w:hAnsi="Times New Roman"/>
          <w:sz w:val="16"/>
          <w:szCs w:val="16"/>
          <w:color w:val="auto"/>
        </w:rPr>
        <w:t>ProKidney’s shareholders will be asked to consider and vote upon five separate non-binding, advisory proposals to approve material differences between the current second amended and restated memorandum and articles of association of ProKidney and the proposed new certificate of incorporation of ProKidney Delaware that will become effective at the effective time of the domestication.</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This proxy statement/prospectus is dated [•], 2025, and is first being mailed to ProKidney’s shareholders on or about [•], 2025.</w:t>
      </w:r>
    </w:p>
    <w:p>
      <w:pPr>
        <w:sectPr>
          <w:pgSz w:w="11900" w:h="16838" w:orient="portrait"/>
          <w:cols w:equalWidth="0" w:num="1">
            <w:col w:w="9500"/>
          </w:cols>
          <w:pgMar w:left="1200" w:top="263" w:right="1199" w:bottom="0" w:gutter="0" w:footer="0" w:header="0"/>
        </w:sectPr>
      </w:pPr>
    </w:p>
    <w:p>
      <w:pPr>
        <w:spacing w:after="0" w:line="12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6"/>
          <w:szCs w:val="16"/>
          <w:i w:val="1"/>
          <w:iCs w:val="1"/>
          <w:color w:val="auto"/>
        </w:rPr>
        <w:t>Cover 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133350</wp:posOffset>
            </wp:positionV>
            <wp:extent cx="699516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5715"/>
                    </a:xfrm>
                    <a:prstGeom prst="rect">
                      <a:avLst/>
                    </a:prstGeom>
                    <a:noFill/>
                  </pic:spPr>
                </pic:pic>
              </a:graphicData>
            </a:graphic>
          </wp:anchor>
        </w:drawing>
      </w:r>
    </w:p>
    <w:p>
      <w:pPr>
        <w:sectPr>
          <w:pgSz w:w="11900" w:h="16838" w:orient="portrait"/>
          <w:cols w:equalWidth="0" w:num="1">
            <w:col w:w="9500"/>
          </w:cols>
          <w:pgMar w:left="1200" w:top="263" w:right="1199" w:bottom="0" w:gutter="0" w:footer="0" w:header="0"/>
          <w:type w:val="continuous"/>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Other Annual Meeting Proposals.</w:t>
      </w:r>
    </w:p>
    <w:p>
      <w:pPr>
        <w:spacing w:after="0" w:line="129" w:lineRule="exact"/>
        <w:rPr>
          <w:sz w:val="20"/>
          <w:szCs w:val="20"/>
          <w:color w:val="auto"/>
        </w:rPr>
      </w:pPr>
    </w:p>
    <w:p>
      <w:pPr>
        <w:jc w:val="both"/>
        <w:ind w:left="300" w:right="519" w:firstLine="360"/>
        <w:spacing w:after="0" w:line="281" w:lineRule="auto"/>
        <w:rPr>
          <w:sz w:val="20"/>
          <w:szCs w:val="20"/>
          <w:color w:val="auto"/>
        </w:rPr>
      </w:pPr>
      <w:r>
        <w:rPr>
          <w:rFonts w:ascii="Times New Roman" w:cs="Times New Roman" w:eastAsia="Times New Roman" w:hAnsi="Times New Roman"/>
          <w:sz w:val="16"/>
          <w:szCs w:val="16"/>
          <w:color w:val="auto"/>
        </w:rPr>
        <w:t>ProKidney’s shareholders will be asked to approve by ordinary resolution other proposals at the annual general meeting, including: (i) the election of three director nominees to our Board and (ii) the ratification of the appointment of Ernst &amp; Young LLP as our independent registered public accounting firm for our fiscal year ending December 31, 2025.</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The Adjournment Proposal.</w:t>
      </w:r>
    </w:p>
    <w:p>
      <w:pPr>
        <w:spacing w:after="0" w:line="129" w:lineRule="exact"/>
        <w:rPr>
          <w:sz w:val="20"/>
          <w:szCs w:val="20"/>
          <w:color w:val="auto"/>
        </w:rPr>
      </w:pPr>
    </w:p>
    <w:p>
      <w:pPr>
        <w:jc w:val="both"/>
        <w:ind w:left="300" w:right="359" w:firstLine="360"/>
        <w:spacing w:after="0" w:line="275" w:lineRule="auto"/>
        <w:rPr>
          <w:sz w:val="20"/>
          <w:szCs w:val="20"/>
          <w:color w:val="auto"/>
        </w:rPr>
      </w:pPr>
      <w:r>
        <w:rPr>
          <w:rFonts w:ascii="Times New Roman" w:cs="Times New Roman" w:eastAsia="Times New Roman" w:hAnsi="Times New Roman"/>
          <w:sz w:val="16"/>
          <w:szCs w:val="16"/>
          <w:color w:val="auto"/>
        </w:rPr>
        <w:t>ProKidney’s shareholders will be asked to approve by ordinary resolution the adjournment of the annual general meeting to a later date or dates, if necessary, to permit further solicitation and vote of proxies if, based upon the tabulated vote at the time of the annual general meeting, the domestication proposal and the new charter proposal would not be duly approved and adopted by our shareholders.</w:t>
      </w:r>
    </w:p>
    <w:p>
      <w:pPr>
        <w:spacing w:after="0" w:line="75"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6"/>
          <w:szCs w:val="16"/>
          <w:color w:val="auto"/>
        </w:rPr>
        <w:t>The Board unanimously recommends the approval of each of these proposals. Such other business will be transacted as may properly come before the annual general meeting. This proxy statement/prospectus provides you with detailed information about the domestication and other matters to be considered at the annual general meeting. We urge you to carefully read this entire document and the documents incorporated herein by reference. You should also carefully consider the risk factors described in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beginning on page </w:t>
      </w:r>
      <w:r>
        <w:rPr>
          <w:rFonts w:ascii="Times New Roman" w:cs="Times New Roman" w:eastAsia="Times New Roman" w:hAnsi="Times New Roman"/>
          <w:sz w:val="16"/>
          <w:szCs w:val="16"/>
          <w:u w:val="single" w:color="auto"/>
          <w:color w:val="0000EE"/>
        </w:rPr>
        <w:t>23</w:t>
      </w:r>
      <w:r>
        <w:rPr>
          <w:rFonts w:ascii="Times New Roman" w:cs="Times New Roman" w:eastAsia="Times New Roman" w:hAnsi="Times New Roman"/>
          <w:sz w:val="16"/>
          <w:szCs w:val="16"/>
          <w:color w:val="auto"/>
        </w:rPr>
        <w:t xml:space="preserve"> of this proxy statement/prospectus.</w:t>
      </w:r>
    </w:p>
    <w:p>
      <w:pPr>
        <w:spacing w:after="0" w:line="76" w:lineRule="exact"/>
        <w:rPr>
          <w:sz w:val="20"/>
          <w:szCs w:val="20"/>
          <w:color w:val="auto"/>
        </w:rPr>
      </w:pPr>
    </w:p>
    <w:p>
      <w:pPr>
        <w:ind w:left="300" w:right="359" w:firstLine="360"/>
        <w:spacing w:after="0" w:line="276" w:lineRule="auto"/>
        <w:rPr>
          <w:sz w:val="20"/>
          <w:szCs w:val="20"/>
          <w:color w:val="auto"/>
        </w:rPr>
      </w:pPr>
      <w:r>
        <w:rPr>
          <w:rFonts w:ascii="Times New Roman" w:cs="Times New Roman" w:eastAsia="Times New Roman" w:hAnsi="Times New Roman"/>
          <w:sz w:val="16"/>
          <w:szCs w:val="16"/>
          <w:b w:val="1"/>
          <w:bCs w:val="1"/>
          <w:color w:val="auto"/>
        </w:rPr>
        <w:t>Neither the United States Securities and Exchange Commission nor any state securities commission has approved or disapproved of the transactions described in the accompanying proxy statement/prospectus, passed upon the merits or fairness of the transactions contemplated thereby, or passed upon the adequacy or accuracy of the accompanying proxy statement/prospectus. Any representation to the contrary is a criminal offense.</w:t>
      </w:r>
    </w:p>
    <w:p>
      <w:pPr>
        <w:spacing w:after="0" w:line="74" w:lineRule="exact"/>
        <w:rPr>
          <w:sz w:val="20"/>
          <w:szCs w:val="20"/>
          <w:color w:val="auto"/>
        </w:rPr>
      </w:pPr>
    </w:p>
    <w:p>
      <w:pPr>
        <w:ind w:left="300" w:right="359" w:firstLine="360"/>
        <w:spacing w:after="0" w:line="272" w:lineRule="auto"/>
        <w:rPr>
          <w:sz w:val="20"/>
          <w:szCs w:val="20"/>
          <w:color w:val="auto"/>
        </w:rPr>
      </w:pPr>
      <w:r>
        <w:rPr>
          <w:rFonts w:ascii="Times New Roman" w:cs="Times New Roman" w:eastAsia="Times New Roman" w:hAnsi="Times New Roman"/>
          <w:sz w:val="16"/>
          <w:szCs w:val="16"/>
          <w:color w:val="auto"/>
        </w:rPr>
        <w:t>We hope you will be able to attend the annual general meeting. Whether you plan to attend the annual general meeting or not, it is important that you cast your vote either in person or by proxy. You may vote over the Internet as well as by telephone or by mail. When you have finished reading the proxy statement/prospectus, you are urged to vote in accordance with the instructions set forth in the proxy statement/prospectus. We encourage you to vote by proxy so that your shares will be represented and voted at the meeting, whether or not you can attend.</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Thank you for your continued support of ProKidney Corp.</w:t>
      </w:r>
    </w:p>
    <w:p>
      <w:pPr>
        <w:spacing w:after="0" w:line="19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Sincerely,</w:t>
      </w:r>
    </w:p>
    <w:p>
      <w:pPr>
        <w:spacing w:after="0" w:line="30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Bruce Culleton, M.D.</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161290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93345</wp:posOffset>
            </wp:positionV>
            <wp:extent cx="2468880" cy="788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688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2000 Frontis Plaza Blvd., Suite 250</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Winston-Salem, NC 27103</w:t>
      </w:r>
    </w:p>
    <w:p>
      <w:pPr>
        <w:spacing w:after="0" w:line="13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 2025</w:t>
      </w:r>
    </w:p>
    <w:p>
      <w:pPr>
        <w:spacing w:after="0" w:line="2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NOTICE OF 2025 ANNUAL GENERAL MEETING OF SHAREHOLDERS</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TIME: 10:00 a.m., Eastern Time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 [•], 2025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PHYSICAL LOCATION: 399 Boylston Street, Ste. 350, Boston, MA 02116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VIRTUAL ACCESS: www.virtualshareholdermeeting.com/PROK2025</w:t>
      </w:r>
    </w:p>
    <w:p>
      <w:pPr>
        <w:spacing w:after="0" w:line="9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This year’s annual general meeting (the “annual general meeting”) will be held on [•], 2025 at 10:00 a.m., Eastern Time, physically at 399 Boylston Street, Ste. 350, Boston, MA 02116 and virtually via live webcast at www.virtualshareholdermeeting.com/PROK2025 or at such other time, on such other date and at such other place to which the meeting may be adjourned or postponed. For purposes of attendance at the annual general meeting, all references in this proxy statement/prospectus to “present in person” or “in person” shall mean physically or virtually present at the annual general meeting. You will be able to attend the annual general meeting, vote and submit your questions during the meeting by visiting www.proxyvote.com and entering the 16-digit control number included in the proxy card that you receive. For further information about the virtual annual general meeting, please see the section “</w:t>
      </w:r>
      <w:r>
        <w:rPr>
          <w:rFonts w:ascii="Times New Roman" w:cs="Times New Roman" w:eastAsia="Times New Roman" w:hAnsi="Times New Roman"/>
          <w:sz w:val="18"/>
          <w:szCs w:val="18"/>
          <w:i w:val="1"/>
          <w:iCs w:val="1"/>
          <w:color w:val="auto"/>
        </w:rPr>
        <w:t>Important Information About the Annual Meeting, Voting and the Domestication Proposal</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PURPOSES:</w:t>
      </w:r>
    </w:p>
    <w:p>
      <w:pPr>
        <w:spacing w:after="0" w:line="117" w:lineRule="exact"/>
        <w:rPr>
          <w:sz w:val="20"/>
          <w:szCs w:val="20"/>
          <w:color w:val="auto"/>
        </w:rPr>
      </w:pPr>
    </w:p>
    <w:p>
      <w:pPr>
        <w:ind w:left="1000" w:right="339" w:hanging="348"/>
        <w:spacing w:after="0" w:line="258"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approve by special resolution the change of ProKidney’s jurisdiction of incorporation from the Cayman Islands to the State of Delaware by deregistering as an exempted company in the Cayman Islands and continuing and domesticating as a corporation incorporated under the laws of the State of Delaware (the “domestication” and such proposal, the “domestication proposal”);</w:t>
      </w:r>
    </w:p>
    <w:p>
      <w:pPr>
        <w:spacing w:after="0" w:line="75" w:lineRule="exact"/>
        <w:rPr>
          <w:rFonts w:ascii="Times New Roman" w:cs="Times New Roman" w:eastAsia="Times New Roman" w:hAnsi="Times New Roman"/>
          <w:sz w:val="18"/>
          <w:szCs w:val="18"/>
          <w:color w:val="auto"/>
        </w:rPr>
      </w:pPr>
    </w:p>
    <w:p>
      <w:pPr>
        <w:ind w:left="1000" w:right="459" w:hanging="348"/>
        <w:spacing w:after="0" w:line="255"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approve by special resolution the alteration of ProKidney’s second amended and restated memorandum and articles of association, a copy of which is attached to the proxy statement/prospectus as Annex A (the “Existing Organizational Documents”), by replacing the Existing Organizational Documents with, and to approve and adopt, the proposed new certificate of incorporation of the post-domestication company (“ProKidney Delaware”) (the “Proposed Charter”), a copy of which is attached to the proxy statement/prospectus as Annex B, to be effective at the effective time of the domestication (the “new charter proposal”);</w:t>
      </w:r>
    </w:p>
    <w:p>
      <w:pPr>
        <w:spacing w:after="0" w:line="80"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five separate non-binding, advisory proposals (collectively, the “advisory charter proposals”) to approve by ordinary resolution, the following material differences between the current second amended and restated memorandum and articles of association of ProKidney (the “Existing Organizational Documents”) and the Proposed Charter that will become effective at the effective time of the domestication:</w:t>
      </w:r>
    </w:p>
    <w:p>
      <w:pPr>
        <w:spacing w:after="0" w:line="75" w:lineRule="exact"/>
        <w:rPr>
          <w:rFonts w:ascii="Times New Roman" w:cs="Times New Roman" w:eastAsia="Times New Roman" w:hAnsi="Times New Roman"/>
          <w:sz w:val="18"/>
          <w:szCs w:val="18"/>
          <w:color w:val="auto"/>
        </w:rPr>
      </w:pPr>
    </w:p>
    <w:p>
      <w:pPr>
        <w:ind w:left="1360" w:right="319" w:hanging="348"/>
        <w:spacing w:after="0" w:line="256" w:lineRule="auto"/>
        <w:tabs>
          <w:tab w:leader="none" w:pos="13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A—to approve changes in connection with the new charter proposal as part of the domestication, including, among other things, (i) adopting the state and federal courts in the State of Delaware, as applicable, as the exclusive forum for certain stockholder litigation (as more fully set forth in the Proposed Charter) and (ii) renouncing, in the Proposed Charter, any interest or expectancy of ProKidney Delaware in, or in being offered an opportunity to participate in, certain corporate opportunities, subject to certain exceptions;</w:t>
      </w:r>
    </w:p>
    <w:p>
      <w:pPr>
        <w:spacing w:after="0" w:line="79"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B—to approve a provision in the Proposed Charter such that,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80" w:right="319"/>
        <w:spacing w:after="0" w:line="254" w:lineRule="auto"/>
        <w:rPr>
          <w:sz w:val="20"/>
          <w:szCs w:val="20"/>
          <w:color w:val="auto"/>
        </w:rPr>
      </w:pPr>
      <w:r>
        <w:rPr>
          <w:rFonts w:ascii="Times New Roman" w:cs="Times New Roman" w:eastAsia="Times New Roman" w:hAnsi="Times New Roman"/>
          <w:sz w:val="18"/>
          <w:szCs w:val="18"/>
          <w:color w:val="auto"/>
        </w:rPr>
        <w:t>the rights of the holders of any one or more series of preferred stock then outstanding, the number of authorized shares of any of the common stock, Class A common stock, Class B common stock or the preferred stock may be increased or decreased, in each case by the affirmative vote of the holders of a majority of the total voting power of the outstanding shares of capital stock of ProKidney Delaware entitled to vote thereon, voting together as a single class, irrespective of the provisions of</w:t>
      </w:r>
    </w:p>
    <w:p>
      <w:pPr>
        <w:spacing w:after="0" w:line="3" w:lineRule="exact"/>
        <w:rPr>
          <w:sz w:val="20"/>
          <w:szCs w:val="20"/>
          <w:color w:val="auto"/>
        </w:rPr>
      </w:pPr>
    </w:p>
    <w:p>
      <w:pPr>
        <w:ind w:left="1380" w:right="719"/>
        <w:spacing w:after="0" w:line="255" w:lineRule="auto"/>
        <w:rPr>
          <w:sz w:val="20"/>
          <w:szCs w:val="20"/>
          <w:color w:val="auto"/>
        </w:rPr>
      </w:pPr>
      <w:r>
        <w:rPr>
          <w:rFonts w:ascii="Times New Roman" w:cs="Times New Roman" w:eastAsia="Times New Roman" w:hAnsi="Times New Roman"/>
          <w:sz w:val="18"/>
          <w:szCs w:val="18"/>
          <w:color w:val="auto"/>
        </w:rPr>
        <w:t>Section 242(b)(2) of the General Corporation Law of the State of Delaware, and no vote of the holders of any class of the common stock, Class A common stock, Class B common stock or the preferred stock voting separately as a class will be required therefor;</w:t>
      </w:r>
    </w:p>
    <w:p>
      <w:pPr>
        <w:spacing w:after="0" w:line="78" w:lineRule="exact"/>
        <w:rPr>
          <w:sz w:val="20"/>
          <w:szCs w:val="20"/>
          <w:color w:val="auto"/>
        </w:rPr>
      </w:pPr>
    </w:p>
    <w:p>
      <w:pPr>
        <w:ind w:left="1360" w:right="419" w:hanging="348"/>
        <w:spacing w:after="0" w:line="261" w:lineRule="auto"/>
        <w:tabs>
          <w:tab w:leader="none" w:pos="13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C—to approve the provision in the Proposed Charter removing the ability of shareholders to act by written resolution in lieu of a meeting, subject to certain exceptions, as applicable, for the holders of Class B common stock and the holders of one or more series of preferred stock;</w:t>
      </w:r>
    </w:p>
    <w:p>
      <w:pPr>
        <w:spacing w:after="0" w:line="71" w:lineRule="exact"/>
        <w:rPr>
          <w:rFonts w:ascii="Times New Roman" w:cs="Times New Roman" w:eastAsia="Times New Roman" w:hAnsi="Times New Roman"/>
          <w:sz w:val="18"/>
          <w:szCs w:val="18"/>
          <w:color w:val="auto"/>
        </w:rPr>
      </w:pPr>
    </w:p>
    <w:p>
      <w:pPr>
        <w:ind w:left="1360" w:right="339" w:hanging="348"/>
        <w:spacing w:after="0" w:line="261" w:lineRule="auto"/>
        <w:tabs>
          <w:tab w:leader="none" w:pos="13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D—to approve a provision to change the authorized share capital of ProKidney from US$100,500 divided into 500,000,000 Class A ordinary shares, 500,000,000 Class B ordinary shares and 5,000,000 preference shares to 700,000,000 shares of Class A common stock, 500,000,000 shares of Class B common stock and 50,000,000 shares of preferred stock; and</w:t>
      </w:r>
    </w:p>
    <w:p>
      <w:pPr>
        <w:spacing w:after="0" w:line="71" w:lineRule="exact"/>
        <w:rPr>
          <w:rFonts w:ascii="Times New Roman" w:cs="Times New Roman" w:eastAsia="Times New Roman" w:hAnsi="Times New Roman"/>
          <w:sz w:val="18"/>
          <w:szCs w:val="18"/>
          <w:color w:val="auto"/>
        </w:rPr>
      </w:pPr>
    </w:p>
    <w:p>
      <w:pPr>
        <w:jc w:val="both"/>
        <w:ind w:left="1360" w:right="499" w:hanging="348"/>
        <w:spacing w:after="0" w:line="272" w:lineRule="auto"/>
        <w:tabs>
          <w:tab w:leader="none" w:pos="13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Advisory charter proposal E—to approve a provision to require (i) either (x) the affirmative vote of the holders of at least two thirds (2/3) of the total voting power of all the then-outstanding shares of ProKidney Delaware’s capital stock entitled to vote thereon, and voting together as a single class or</w:t>
      </w:r>
    </w:p>
    <w:p>
      <w:pPr>
        <w:spacing w:after="0" w:line="1" w:lineRule="exact"/>
        <w:rPr>
          <w:rFonts w:ascii="Times New Roman" w:cs="Times New Roman" w:eastAsia="Times New Roman" w:hAnsi="Times New Roman"/>
          <w:sz w:val="17"/>
          <w:szCs w:val="17"/>
          <w:color w:val="auto"/>
        </w:rPr>
      </w:pPr>
    </w:p>
    <w:p>
      <w:pPr>
        <w:ind w:left="1360" w:right="35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approval of a majority of the Board, to make, adopt, alter, amend, change, add to, rescind or repeal, in whole or in part, the proposed new bylaws of ProKidney Delaware; (ii) at least two thirds (2/3) of the total voting power of all the outstanding shares of ProKidney Delaware’s capital stock entitled to vote thereon, voting together as a single class in order to alter, amend or repeal Sections 7.2, 7.3 and 7.4 of Article 7, Sections 8.1, and 8.2 of Article 8 or Article 9, 10, 11, 12 or 15 of the Proposed Charter; and (iii) at least two thirds (2/3) of the total voting power of the outstanding shares of ProKidney Delaware’s capital stock entitled to vote generally in the election of directors, voting together as a single class, in order to remove a director for cause;</w:t>
      </w:r>
    </w:p>
    <w:p>
      <w:pPr>
        <w:spacing w:after="0" w:line="85" w:lineRule="exact"/>
        <w:rPr>
          <w:rFonts w:ascii="Times New Roman" w:cs="Times New Roman" w:eastAsia="Times New Roman" w:hAnsi="Times New Roman"/>
          <w:sz w:val="17"/>
          <w:szCs w:val="17"/>
          <w:color w:val="auto"/>
        </w:rPr>
      </w:pPr>
    </w:p>
    <w:p>
      <w:pPr>
        <w:ind w:left="1000" w:right="719" w:hanging="348"/>
        <w:spacing w:after="0" w:line="261"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by ordinary resolution the following three director nominees named in this proxy statement/prospectus to serve as Class III directors for three-year terms expiring at the annual general meeting in 2028 and until their successors are duly elected and qualified: Bruce Culleton, M.D., Pablo Legorreta and Uma Sinha, Ph.D.;</w:t>
      </w:r>
    </w:p>
    <w:p>
      <w:pPr>
        <w:spacing w:after="0" w:line="71"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by ordinary resolution the appointment of Ernst &amp; Young LLP as our independent registered public accounting firm for the fiscal year ending December 31, 2025;</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ordinary resolution the adjournment of the annual general meeting to a later date or dates, if necessary, to permit further solicitation and vote of proxies if, based upon the tabulated vote at the time of the annual general meeting, the domestication proposal and the new charter proposal would not be duly approved and adopted by our shareholders; and</w:t>
      </w:r>
    </w:p>
    <w:p>
      <w:pPr>
        <w:spacing w:after="0" w:line="71" w:lineRule="exact"/>
        <w:rPr>
          <w:rFonts w:ascii="Times New Roman" w:cs="Times New Roman" w:eastAsia="Times New Roman" w:hAnsi="Times New Roman"/>
          <w:sz w:val="18"/>
          <w:szCs w:val="18"/>
          <w:color w:val="auto"/>
        </w:rPr>
      </w:pPr>
    </w:p>
    <w:p>
      <w:pPr>
        <w:ind w:left="1000" w:right="113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that is properly presented at the annual general meeting and any adjournments or postponements thereof.</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WHO MAY VOTE:</w:t>
      </w:r>
    </w:p>
    <w:p>
      <w:pPr>
        <w:spacing w:after="0" w:line="117"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You may vote if you were the record owner of ProKidney Corp. Class A ordinary shares or Class B ordinary shares at the close of business on [•], 2025. A list of shareholders of record will be available at the annual general meeting and, during the 10 days prior to the annual general meeting, at our principal executive offices located at 2000 Frontis Plaza Blvd, Suite 250, Winston-Salem, North Carolina 27103.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99695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All shareholders are cordially invited to attend the annual general meeting. Whether you plan to attend the annual general meeting or not, we urge you to vote and submit your proxy by the Internet, telephone or mail in order to ensure the presence of a quorum. You may change or revoke your proxy at any time before it is voted at the annual general meeting. If you participate in and vote your shares at the annual general meeting, your proxy will not be used.</w:t>
      </w:r>
    </w:p>
    <w:p>
      <w:pPr>
        <w:spacing w:after="0" w:line="2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ORDER OF OUR BOARD OF DIRECTORS</w:t>
      </w:r>
    </w:p>
    <w:p>
      <w:pPr>
        <w:spacing w:after="0" w:line="2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Bruce Culleton, M.D.</w:t>
      </w:r>
    </w:p>
    <w:p>
      <w:pPr>
        <w:spacing w:after="0" w:line="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Winston-Salem,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REFERENCES TO ADDITIONAL INFORMATION</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This proxy statement/prospectus incorporates important business and financial information about ProKidney from other documents that are not included in or delivered with this proxy statement/prospectus. This information is available to you without charge upon your request. You can obtain the documents incorporated by reference into this proxy statement/prospectus free of charge by sending a written request to: ProKidney Corp., Attn: Todd Girolamo, 2000 Frontis Plaza Blvd, Suite 250, Winston-Salem, North Carolina 27103.</w:t>
      </w:r>
    </w:p>
    <w:p>
      <w:pPr>
        <w:spacing w:after="0" w:line="71" w:lineRule="exact"/>
        <w:rPr>
          <w:sz w:val="20"/>
          <w:szCs w:val="20"/>
          <w:color w:val="auto"/>
        </w:rPr>
      </w:pPr>
    </w:p>
    <w:p>
      <w:pPr>
        <w:ind w:left="30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If you would like to request any documents that are incorporated by reference into this proxy statement/prospectus, please do so at least five business days before the annual general meeting to be held on [•], 2025, which is [•], 2025, in order to receive them before the annual general meeting.</w:t>
      </w:r>
    </w:p>
    <w:p>
      <w:pPr>
        <w:spacing w:after="0" w:line="63" w:lineRule="exact"/>
        <w:rPr>
          <w:sz w:val="20"/>
          <w:szCs w:val="20"/>
          <w:color w:val="auto"/>
        </w:rPr>
      </w:pPr>
    </w:p>
    <w:p>
      <w:pPr>
        <w:ind w:left="300" w:right="3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This proxy statement/prospectus, the Notice of 2025 Annual General Meeting of Shareholders, our form of proxy card and our 2024 annual report to shareholders are also available for viewing, printing and downloading at www.proxyvote.com. To view these materials please have your 16-digit control number(s) available that appears on your proxy card. On this website, you can also elect to receive future distributions of our proxy statements and annual reports to shareholders by electronic delivery.</w:t>
      </w:r>
    </w:p>
    <w:p>
      <w:pPr>
        <w:spacing w:after="0" w:line="7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Additionally, you can find a copy of additional information and our Annual Report on Form 10-K, which includes our financial statements for the fiscal year ended December 31, 2024, on the website of the Securities and Exchange Commission (the “SEC”), at www.sec.gov, or in the “SEC Filings” section of the “Investors” section of our website at www.prokidney.com. You may also obtain a printed copy of our Annual Report on Form 10-K, including our financial statements, free of charge, from us by sending a written request to: ProKidney Corp., Attn: Todd Girolamo, 2000 Frontis Plaza Blvd, Suite 250, Winston-Salem, North Carolina 27103 or contact by telephone number at (336) 999-7019. Exhibits to the Annual Report on Form 10-K or any additional documents incorporated by reference into this proxy statement/prospectus will be provided upon written request and payment of an appropriate processing fee.</w:t>
      </w:r>
    </w:p>
    <w:p>
      <w:pPr>
        <w:spacing w:after="0" w:line="80" w:lineRule="exact"/>
        <w:rPr>
          <w:sz w:val="20"/>
          <w:szCs w:val="20"/>
          <w:color w:val="auto"/>
        </w:rPr>
      </w:pPr>
    </w:p>
    <w:p>
      <w:pPr>
        <w:ind w:left="300" w:right="7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For more information, see “</w:t>
      </w:r>
      <w:r>
        <w:rPr>
          <w:rFonts w:ascii="Times New Roman" w:cs="Times New Roman" w:eastAsia="Times New Roman" w:hAnsi="Times New Roman"/>
          <w:sz w:val="18"/>
          <w:szCs w:val="18"/>
          <w:b w:val="1"/>
          <w:bCs w:val="1"/>
          <w:i w:val="1"/>
          <w:iCs w:val="1"/>
          <w:color w:val="auto"/>
        </w:rPr>
        <w:t>Where You Can Find More Information and Incorporation by Reference</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96</w:t>
      </w:r>
      <w:r>
        <w:rPr>
          <w:rFonts w:ascii="Times New Roman" w:cs="Times New Roman" w:eastAsia="Times New Roman" w:hAnsi="Times New Roman"/>
          <w:sz w:val="18"/>
          <w:szCs w:val="18"/>
          <w:b w:val="1"/>
          <w:bCs w:val="1"/>
          <w:color w:val="auto"/>
        </w:rPr>
        <w:t xml:space="preserve"> of this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95250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7760" w:type="dxa"/>
            <w:vAlign w:val="bottom"/>
            <w:gridSpan w:val="35"/>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44"/>
        </w:trPr>
        <w:tc>
          <w:tcPr>
            <w:tcW w:w="1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60" w:type="dxa"/>
            <w:vAlign w:val="bottom"/>
            <w:gridSpan w:val="23"/>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81"/>
        </w:trPr>
        <w:tc>
          <w:tcPr>
            <w:tcW w:w="1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83"/>
        </w:trPr>
        <w:tc>
          <w:tcPr>
            <w:tcW w:w="1300" w:type="dxa"/>
            <w:vAlign w:val="bottom"/>
          </w:tcPr>
          <w:p>
            <w:pPr>
              <w:spacing w:after="0"/>
              <w:rPr>
                <w:sz w:val="24"/>
                <w:szCs w:val="24"/>
                <w:color w:val="auto"/>
              </w:rPr>
            </w:pPr>
          </w:p>
        </w:tc>
        <w:tc>
          <w:tcPr>
            <w:tcW w:w="7760" w:type="dxa"/>
            <w:vAlign w:val="bottom"/>
            <w:gridSpan w:val="3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6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1300" w:type="dxa"/>
            <w:vAlign w:val="bottom"/>
          </w:tcPr>
          <w:p>
            <w:pPr>
              <w:spacing w:after="0"/>
              <w:rPr>
                <w:sz w:val="24"/>
                <w:szCs w:val="24"/>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520" w:type="dxa"/>
            <w:vAlign w:val="bottom"/>
            <w:tcBorders>
              <w:bottom w:val="single" w:sz="8" w:color="0000EE"/>
            </w:tcBorders>
            <w:gridSpan w:val="34"/>
          </w:tcPr>
          <w:p>
            <w:pPr>
              <w:spacing w:after="0" w:line="189" w:lineRule="exact"/>
              <w:rPr>
                <w:sz w:val="20"/>
                <w:szCs w:val="20"/>
                <w:color w:val="auto"/>
              </w:rPr>
            </w:pPr>
            <w:r>
              <w:rPr>
                <w:rFonts w:ascii="Times New Roman" w:cs="Times New Roman" w:eastAsia="Times New Roman" w:hAnsi="Times New Roman"/>
                <w:sz w:val="18"/>
                <w:szCs w:val="18"/>
                <w:color w:val="0000EE"/>
                <w:w w:val="99"/>
              </w:rPr>
              <w:t>IMPORTANT INFORMATION ABOUT THE ANNUAL GENERAL MEETING, VOTING AND THE</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77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DOMESTICATION PROPOSAL</w:t>
            </w:r>
          </w:p>
        </w:tc>
        <w:tc>
          <w:tcPr>
            <w:tcW w:w="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SUMMARY OF THE PROXY STATEMENT/PROSPECTUS</w:t>
            </w:r>
          </w:p>
        </w:tc>
        <w:tc>
          <w:tcPr>
            <w:tcW w:w="6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4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3280" w:type="dxa"/>
            <w:vAlign w:val="bottom"/>
            <w:gridSpan w:val="13"/>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INTERESTS OF CERTAIN PERSONS IN THE DOMESTICATION</w:t>
            </w:r>
          </w:p>
        </w:tc>
        <w:tc>
          <w:tcPr>
            <w:tcW w:w="6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98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PROPOSAL NO. 1 THE DOMESTICATION PROPOSAL</w:t>
            </w:r>
          </w:p>
        </w:tc>
        <w:tc>
          <w:tcPr>
            <w:tcW w:w="2780" w:type="dxa"/>
            <w:vAlign w:val="bottom"/>
            <w:gridSpan w:val="9"/>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0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NO. 2 NEW CHARTER PROPOSAL</w:t>
            </w:r>
          </w:p>
        </w:tc>
        <w:tc>
          <w:tcPr>
            <w:tcW w:w="4060" w:type="dxa"/>
            <w:vAlign w:val="bottom"/>
            <w:gridSpan w:val="20"/>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PROPOSAL NO. 3 ADVISORY CHARTER PROPOSALS</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8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 NO. 3-ADVISORY CHARTER PROPOSAL A</w:t>
            </w:r>
          </w:p>
        </w:tc>
        <w:tc>
          <w:tcPr>
            <w:tcW w:w="6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8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PROPOSAL NO. 3-ADVISORY CHARTER PROPOSAL B</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8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 NO. 3-ADVISORY CHARTER PROPOSAL C</w:t>
            </w:r>
          </w:p>
        </w:tc>
        <w:tc>
          <w:tcPr>
            <w:tcW w:w="6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8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PROPOSAL NO. 3-ADVISORY CHARTER PROPOSAL D</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8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 NO. 3-ADVISORY CHARTER PROPOSAL E</w:t>
            </w:r>
          </w:p>
        </w:tc>
        <w:tc>
          <w:tcPr>
            <w:tcW w:w="6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PROPOSAL NO. 4 ELECTION OF DIRECTORS</w:t>
            </w:r>
          </w:p>
        </w:tc>
        <w:tc>
          <w:tcPr>
            <w:tcW w:w="3220" w:type="dxa"/>
            <w:vAlign w:val="bottom"/>
            <w:gridSpan w:val="12"/>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240" w:type="dxa"/>
            <w:vAlign w:val="bottom"/>
            <w:tcBorders>
              <w:bottom w:val="single" w:sz="8" w:color="0000EE"/>
            </w:tcBorders>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NO. 5 ATIFICATION OF SELECTION OF INDEPENDENT REGISTERED PUBLIC</w:t>
            </w:r>
          </w:p>
        </w:tc>
        <w:tc>
          <w:tcPr>
            <w:tcW w:w="520" w:type="dxa"/>
            <w:vAlign w:val="bottom"/>
            <w:tcBorders>
              <w:bottom w:val="single" w:sz="8" w:color="CCEEFF"/>
            </w:tcBorders>
            <w:gridSpan w:val="2"/>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7760" w:type="dxa"/>
            <w:vAlign w:val="bottom"/>
            <w:gridSpan w:val="3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660" w:type="dxa"/>
            <w:vAlign w:val="bottom"/>
            <w:tcBorders>
              <w:right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43</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PROPOSAL NO. 6 THE ADJOURNMENT PROPOSAL</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COMPARISON OF CORPORATE GOVERNANCE AND SHAREHOLDER RIGHTS</w:t>
            </w:r>
          </w:p>
        </w:tc>
        <w:tc>
          <w:tcPr>
            <w:tcW w:w="6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30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MANAGEMENT AND CORPORATE GOVERNANCE</w:t>
            </w:r>
          </w:p>
        </w:tc>
        <w:tc>
          <w:tcPr>
            <w:tcW w:w="1460" w:type="dxa"/>
            <w:vAlign w:val="bottom"/>
            <w:gridSpan w:val="5"/>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52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4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5320" w:type="dxa"/>
            <w:vAlign w:val="bottom"/>
            <w:gridSpan w:val="26"/>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62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EQUITY COMPENSATION PLAN INFORMATION</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REPORT OF AUDIT COMMITTEE</w:t>
            </w:r>
          </w:p>
        </w:tc>
        <w:tc>
          <w:tcPr>
            <w:tcW w:w="6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6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58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SECURITIES</w:t>
            </w:r>
          </w:p>
        </w:tc>
        <w:tc>
          <w:tcPr>
            <w:tcW w:w="2180" w:type="dxa"/>
            <w:vAlign w:val="bottom"/>
            <w:gridSpan w:val="6"/>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77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6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8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APPRAISAL RIGHTS</w:t>
            </w:r>
          </w:p>
        </w:tc>
        <w:tc>
          <w:tcPr>
            <w:tcW w:w="2900" w:type="dxa"/>
            <w:vAlign w:val="bottom"/>
            <w:gridSpan w:val="10"/>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91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STOCKHOLDER NOMINATIONS AND PROPOSALS OF PROKIDNEY</w:t>
            </w:r>
          </w:p>
        </w:tc>
        <w:tc>
          <w:tcPr>
            <w:tcW w:w="6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STOCKHOLDER NOMINATIONS AND PROPOSALS OF PROKIDNEY DELAWARE</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SHAREHOLDER COMMUNICATIONS</w:t>
            </w:r>
          </w:p>
        </w:tc>
        <w:tc>
          <w:tcPr>
            <w:tcW w:w="6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00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4760" w:type="dxa"/>
            <w:vAlign w:val="bottom"/>
            <w:gridSpan w:val="23"/>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95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 INCORPORATION BY REFERENCE</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6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CODE OF ETHICS AND BUSINESS CONDUCT</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OTHER MATTERS</w:t>
            </w:r>
          </w:p>
        </w:tc>
        <w:tc>
          <w:tcPr>
            <w:tcW w:w="6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97</w:t>
            </w:r>
          </w:p>
        </w:tc>
        <w:tc>
          <w:tcPr>
            <w:tcW w:w="1300" w:type="dxa"/>
            <w:vAlign w:val="bottom"/>
          </w:tcPr>
          <w:p>
            <w:pPr>
              <w:spacing w:after="0"/>
              <w:rPr>
                <w:sz w:val="16"/>
                <w:szCs w:val="16"/>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2" w:right="439"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This proxy statement/prospectus and the documents incorporated by reference herein include “forward-looking statements” within the meaning of Section 27A of the Securities Act of 1933, as amended (the “Securities Act”), and Section 21E of the Securities Exchange Act of 1934, as amended (the “Exchange Act”). All statements, other than statements of historical facts, included in this proxy statement/prospectus and the information incorporated by reference herein regarding our strategy, future operations, future financial position, future revenue, projected costs, prospects, plans, objectives of management, potential results of our drug development efforts or trials, the effects of competition and expected market growth are forward-looking statements. The words “anticipate,” “believe,” “contemplate,” “seeks,” “estimate,” “expect,” “forecast,” “intend,” “may,” “plan,” “predict,” “project,” “target,” “potential,” “will,” “would,” “could,” “should,” “continue” and similar expressions are intended to identify forward-looking statements, although not all forward-looking statements contain these identifying words. These forward-looking statements may include, among other things, statements about:</w:t>
      </w:r>
    </w:p>
    <w:p>
      <w:pPr>
        <w:spacing w:after="0" w:line="84" w:lineRule="exact"/>
        <w:rPr>
          <w:sz w:val="20"/>
          <w:szCs w:val="20"/>
          <w:color w:val="auto"/>
        </w:rPr>
      </w:pPr>
    </w:p>
    <w:p>
      <w:pPr>
        <w:ind w:left="1000" w:right="12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ordinary shares on the Nasdaq Capital Market (“Nasdaq”);</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activities;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attributes and benefits of our product candidates, and if approved, our products;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rilparencel, our lead product candidate;</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products, and any related restrictions and limitations of any approved product;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in-license or acquire additional technology;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license, manufacturing and supply agreements;</w:t>
      </w:r>
    </w:p>
    <w:p>
      <w:pPr>
        <w:spacing w:after="0" w:line="117"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supervise and monitor a certain portion of our research and nonclinical testing and clinical trials for rilparencel;</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currently marketing or engaged in the biologics market and in the area of treatment of kidney disease, many of which have greater financial and marketing resources than us;</w:t>
      </w:r>
    </w:p>
    <w:p>
      <w:pPr>
        <w:spacing w:after="0" w:line="67"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products, and the ability of each to serve those markets, either alone or in partnership with others;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with respect to computer systems;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and political and market conditions beyond our control;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use of proceeds from this offering, if any;</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required shareholder vote to adopt the domestication proposal (as defined below) at the annual general meeting;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other conditions to the domestication;</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advantage of the potential strategic opportunities provided by, and realize the potential benefits of, the domestication;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rights as a shareholder will change as a result of the domestication;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domestication disrupts current plans and operations;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shareholders may recognize gain or other income with respect to their shares at the effective time of the domestication;</w:t>
      </w:r>
    </w:p>
    <w:p>
      <w:pPr>
        <w:spacing w:after="0" w:line="53"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Proposed Organizational Documents (as defined below) and under Delaware law could make an acquisition of us more difficult and limit attempts by our shareholders to replace or remove our current management;</w:t>
      </w:r>
    </w:p>
    <w:p>
      <w:pPr>
        <w:spacing w:after="0" w:line="67" w:lineRule="exact"/>
        <w:rPr>
          <w:rFonts w:ascii="Times New Roman" w:cs="Times New Roman" w:eastAsia="Times New Roman" w:hAnsi="Times New Roman"/>
          <w:sz w:val="18"/>
          <w:szCs w:val="18"/>
          <w:color w:val="auto"/>
        </w:rPr>
      </w:pPr>
    </w:p>
    <w:p>
      <w:pPr>
        <w:jc w:val="both"/>
        <w:ind w:left="1000" w:right="479" w:hanging="348"/>
        <w:spacing w:after="0" w:line="26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Organizational Documents designate the state courts in the State of Delaware or, if no state court located within the State of Delaware has jurisdiction, the federal court for the District of Delaware, as the sole and exclusive forum for certain types of actions and proceedings that may be initiated by our shareholders, which could discourage lawsuits against us and our directors and officers;</w:t>
      </w:r>
    </w:p>
    <w:p>
      <w:pPr>
        <w:spacing w:after="0" w:line="71"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the domestication qualifies as a reorganization under Section 368(a) of the Internal Revenue Code of 1986, as amended (the “Code”), a U.S. shareholder may still recognize gain or other income with respect to their shares at the effective time of the domestication;</w:t>
      </w:r>
    </w:p>
    <w:p>
      <w:pPr>
        <w:spacing w:after="0" w:line="6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likely to be treated as a passive foreign investment company (“PFIC”) which could result in adverse United States federal income tax consequences to U.S. investors;</w:t>
      </w:r>
    </w:p>
    <w:p>
      <w:pPr>
        <w:spacing w:after="0" w:line="53" w:lineRule="exact"/>
        <w:rPr>
          <w:rFonts w:ascii="Times New Roman" w:cs="Times New Roman" w:eastAsia="Times New Roman" w:hAnsi="Times New Roman"/>
          <w:sz w:val="18"/>
          <w:szCs w:val="18"/>
          <w:color w:val="auto"/>
        </w:rPr>
      </w:pPr>
    </w:p>
    <w:p>
      <w:pPr>
        <w:ind w:left="1000" w:right="599" w:hanging="348"/>
        <w:spacing w:after="0" w:line="312" w:lineRule="auto"/>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incur transaction costs in connection with the completion of the domestication and related transactions, some of which will be incurred whether or not the domestication is completed; and</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or need to defer the domestication, or we may abandon the domestication.</w:t>
      </w:r>
    </w:p>
    <w:p>
      <w:pPr>
        <w:spacing w:after="0" w:line="117"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proxy statement/prospectus and the information incorporated by reference herein, particularly in the “Risk Factors” sections of this proxy statement/prospectus and of our Annual Report on Form 10-K for the year ended December 31, 2024, which is incorporated by reference herein,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spacing w:after="0" w:line="80" w:lineRule="exact"/>
        <w:rPr>
          <w:sz w:val="20"/>
          <w:szCs w:val="20"/>
          <w:color w:val="auto"/>
        </w:rPr>
      </w:pPr>
    </w:p>
    <w:p>
      <w:pPr>
        <w:ind w:left="300" w:right="659" w:firstLine="360"/>
        <w:spacing w:after="0" w:line="258" w:lineRule="auto"/>
        <w:rPr>
          <w:sz w:val="20"/>
          <w:szCs w:val="20"/>
          <w:color w:val="auto"/>
        </w:rPr>
      </w:pPr>
      <w:r>
        <w:rPr>
          <w:rFonts w:ascii="Times New Roman" w:cs="Times New Roman" w:eastAsia="Times New Roman" w:hAnsi="Times New Roman"/>
          <w:sz w:val="18"/>
          <w:szCs w:val="18"/>
          <w:color w:val="auto"/>
        </w:rPr>
        <w:t>You should read this proxy statement/prospectus and the information incorporated by reference herein completely and with the understanding that our actual future results may be materially different from what we expect. Any forward-looking statement speaks only as of the date of this proxy statement/prospectus. We do not assume any obligation to update any forward-looking statements, whether as a result of new information, future events or otherwise, except as required by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INFORMATION ABOUT THE ANNUAL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THE DOMESTICATION PROPOSAL</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is the Company soliciting my proxy?</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board of directors (the “Board”) of ProKidney Corp., a Cayman Islands exempted company (“ProKidney,” the “Company,” “we,” “us” or “our”) is soliciting your proxy to vote at the 2025 annual general meeting of shareholders (the “annual general meeting”) to be held physically at 399 Boylston Street, Ste. 350, Boston, MA 02116 and virtually via live webcast at www.virtualshareholdermeeting.com/PROK2025, on [•], 2025, at 10:00 a.m., Eastern Time and any adjournments or postponements of the meeting. This proxy statement/prospectus, along with the accompanying Notice of 2025 Annual General Meeting of Shareholders, summarizes the purposes of the meeting and the information you need to know to vote at the annual general meeting.</w:t>
      </w:r>
    </w:p>
    <w:p>
      <w:pPr>
        <w:spacing w:after="0" w:line="8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We have made available to you on the Internet and have sent you this proxy statement/prospectus, the Notice of 2025 Annual General Meeting of Shareholders, the proxy card and a copy of our Annual Report on Form 10-K for the fiscal year ended December 31, 2024 because you owned ProKidney’s Class A ordinary shares, par value $0.0001 per share (the “Class A ordinary shares”), or Class B ordinary shares, par value $0.0001 per share (the “Class B ordinary shares”, and together with the Class A ordinary shares, the “existing ordinary shares”) at the close of business on [•], 2025 (the “record date”). We intend to commence distribution of proxy materials to shareholders on or about [•], 2025.</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is ProKidney proposing the domestication?</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We are seeking approval of the change of ProKidney’s jurisdiction of incorporation from the Cayman Islands to the State of Delaware by deregistering as an exempted company in the Cayman Islands and continuing and domesticating as a corporation incorporated under the laws of the State of Delaware (the “domestication” and such proposal, the “domestication proposal”), as discussed in greater detail in the section entitled “</w:t>
      </w:r>
      <w:r>
        <w:rPr>
          <w:rFonts w:ascii="Times New Roman" w:cs="Times New Roman" w:eastAsia="Times New Roman" w:hAnsi="Times New Roman"/>
          <w:sz w:val="18"/>
          <w:szCs w:val="18"/>
          <w:i w:val="1"/>
          <w:iCs w:val="1"/>
          <w:color w:val="auto"/>
        </w:rPr>
        <w:t>Proposal No.1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Domestication Proposal—Reasons for the Domestication</w:t>
      </w:r>
      <w:r>
        <w:rPr>
          <w:rFonts w:ascii="Times New Roman" w:cs="Times New Roman" w:eastAsia="Times New Roman" w:hAnsi="Times New Roman"/>
          <w:sz w:val="18"/>
          <w:szCs w:val="18"/>
          <w:color w:val="auto"/>
        </w:rPr>
        <w:t>.” Our Board believes that there are significant advantages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domestication that will arise as a result of a change of domicile to Delaware and that any direct benefit that Delaware law provides to a corporation also indirectly benefits the shareholders, who are the owners of the corporation. Specifically, our Board believes that there are several reasons why a domestication from the Cayman Islands to Delaware is in the best interests of the Company and its shareholders, including, (i) the prominence, predictability and flexibility of Delaware law, (ii) Delaware’s well-established principles of corporate governance,</w:t>
      </w:r>
    </w:p>
    <w:p>
      <w:pPr>
        <w:spacing w:after="0" w:line="5" w:lineRule="exact"/>
        <w:rPr>
          <w:sz w:val="20"/>
          <w:szCs w:val="20"/>
          <w:color w:val="auto"/>
        </w:rPr>
      </w:pPr>
    </w:p>
    <w:p>
      <w:pPr>
        <w:ind w:left="300" w:right="339" w:hanging="8"/>
        <w:spacing w:after="0" w:line="253"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ability for Delaware corporations to attract and retain qualified directors, (iv) reduce the need for related party arrangements as required by global transfer pricing rules, and (v) the mitigation of certain tax inefficiencies that would result if ProKidney were to conduct a U.S. operating business as a foreign corporation, each of foregoing as discussed in greater detail in the section entitled “</w:t>
      </w:r>
      <w:r>
        <w:rPr>
          <w:rFonts w:ascii="Times New Roman" w:cs="Times New Roman" w:eastAsia="Times New Roman" w:hAnsi="Times New Roman"/>
          <w:sz w:val="18"/>
          <w:szCs w:val="18"/>
          <w:i w:val="1"/>
          <w:iCs w:val="1"/>
          <w:color w:val="auto"/>
        </w:rPr>
        <w:t>Proposal No.1 The Domestication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Reasons for the Domestication</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To effect the domestication, upon approval of the domestication proposal and the new charter proposal (as defined below), ProKidney will file an application for deregistration with the Cayman Islands Registrar of Companies, together with the necessary accompanying documents and fees, and will file the Proposed Charter (as defined below) and the certificate of corporate domestication (the “Certificate of Corporate Domestication”), a copy of which is attached to the proxy statement/prospectus as Annex D, with the Secretary of State of the State of Delaware, pursuant to which ProKidney will be domesticated and continue as a Delaware corporation (the post-domestication company, “ProKidney Delaware”).</w:t>
      </w:r>
    </w:p>
    <w:p>
      <w:pPr>
        <w:spacing w:after="0" w:line="81" w:lineRule="exact"/>
        <w:rPr>
          <w:sz w:val="20"/>
          <w:szCs w:val="20"/>
          <w:color w:val="auto"/>
        </w:rPr>
      </w:pPr>
    </w:p>
    <w:p>
      <w:pPr>
        <w:ind w:left="300" w:right="379" w:firstLine="360"/>
        <w:spacing w:after="0" w:line="274" w:lineRule="auto"/>
        <w:rPr>
          <w:sz w:val="20"/>
          <w:szCs w:val="20"/>
          <w:color w:val="auto"/>
        </w:rPr>
      </w:pPr>
      <w:r>
        <w:rPr>
          <w:rFonts w:ascii="Times New Roman" w:cs="Times New Roman" w:eastAsia="Times New Roman" w:hAnsi="Times New Roman"/>
          <w:sz w:val="17"/>
          <w:szCs w:val="17"/>
          <w:color w:val="auto"/>
        </w:rPr>
        <w:t>The approval of the domestication proposal requires a special resolution under the Companies Act (as amended) of the Cayman Islands (the “Cayman Islands Companies Act”) and the Company’s second amended and restated memorandum and articles, being the affirmative vote of the holders of at least two-thirds of the Class A and Class B ordinary shares, voting as a single class, represented in person or by proxy, entitled to vote at the annual general meeting and who vote at the annual general meeting. Abstentions and broker non-votes, while considered present for the purposes of establishing a quorum, will not count as a vote cast at the annual general meeting.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right="1320" w:firstLine="360"/>
        <w:spacing w:after="0" w:line="252" w:lineRule="auto"/>
        <w:rPr>
          <w:sz w:val="20"/>
          <w:szCs w:val="20"/>
          <w:color w:val="auto"/>
        </w:rPr>
      </w:pPr>
      <w:r>
        <w:rPr>
          <w:rFonts w:ascii="Times New Roman" w:cs="Times New Roman" w:eastAsia="Times New Roman" w:hAnsi="Times New Roman"/>
          <w:sz w:val="18"/>
          <w:szCs w:val="18"/>
          <w:color w:val="auto"/>
        </w:rPr>
        <w:t>We conduct our operating business indirectly through ProKidney LP (“PKLP”), a limited partnership organized under the laws of Ireland of which we are a limited partner, and its subsidiaries. Certain restructuring transactions are also intended to occur around the time of the domestication as follows (such transactions, together with the domestication, the “Restructuring”): (i) prior to the domestication, PKLP will contribute substantially all of its assets to a newly formed subsidiary, ProKidney Holdings, LLC, a Delaware limited liability company (“ProKidney Holdings”), and PKLP will then make a liquidating distribution of its limited liability company interests in ProKidney Holdings to its partners, including the Company, (ii) assuming the domestication proposal and the new charter proposal (as defined below) are approved, the domestication will be consummated, and (iii) following the domestication, ProKidney a wholly owned subsidiary of ProKidney Holdings and a Cayman Islands exempted company (“ProKidney-KY”), will undergo a series of transactions to move its assets to Delaware, which is expected to be structured in the form of a reregistration of ProKidney-KY to a Cayman Islands limited liability company and then the domestication of such Cayman Islands limited liability company to Delaware as a Delaware limited liability company expected to be named ProKidney IPCo, LLC (“ProKidney IPCo”). As a result of the consummation of the domestication and the other transactions involved in the Restructuring, ProKidney Delaware and the other former limited partners of PKLP will be members of ProKidney Holdings, and ProKidney Holdings will own all of the subsidiaries that conduct our business, including ProKidney IPCo. ProKidney is not required to and is not seeking approval of the Restructuring, other than approval of the domestication proposal and approval of the new charter proposal.</w:t>
      </w:r>
    </w:p>
    <w:p>
      <w:pPr>
        <w:spacing w:after="0" w:line="2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What amendments will be made to the Existing Organizational Documents of ProKidney?</w:t>
      </w:r>
    </w:p>
    <w:p>
      <w:pPr>
        <w:spacing w:after="0" w:line="121" w:lineRule="exact"/>
        <w:rPr>
          <w:sz w:val="20"/>
          <w:szCs w:val="20"/>
          <w:color w:val="auto"/>
        </w:rPr>
      </w:pPr>
    </w:p>
    <w:p>
      <w:pPr>
        <w:ind w:left="1300" w:right="1500" w:firstLine="360"/>
        <w:spacing w:after="0" w:line="256" w:lineRule="auto"/>
        <w:rPr>
          <w:sz w:val="20"/>
          <w:szCs w:val="20"/>
          <w:color w:val="auto"/>
        </w:rPr>
      </w:pPr>
      <w:r>
        <w:rPr>
          <w:rFonts w:ascii="Times New Roman" w:cs="Times New Roman" w:eastAsia="Times New Roman" w:hAnsi="Times New Roman"/>
          <w:sz w:val="18"/>
          <w:szCs w:val="18"/>
          <w:color w:val="auto"/>
        </w:rPr>
        <w:t>ProKidney’s shareholders will be asked to approve by special resolution the alteration of ProKidney’s second amended and restated memorandum and articles of association, a copy of which is attached to the proxy statement/prospectus as Annex A (the “Existing Organizational Documents”), by replacing the Existing Organizational Documents with, and approving and adopting, the proposed new certificate of incorporation of ProKidney Delaware (the “Proposed Charter”), a copy of which is attached to the proxy statement/prospectus as Annex B, to be effective at the effective time of the domestication (the “new charter proposal”).</w:t>
      </w:r>
    </w:p>
    <w:p>
      <w:pPr>
        <w:spacing w:after="0" w:line="79" w:lineRule="exact"/>
        <w:rPr>
          <w:sz w:val="20"/>
          <w:szCs w:val="20"/>
          <w:color w:val="auto"/>
        </w:rPr>
      </w:pPr>
    </w:p>
    <w:p>
      <w:pPr>
        <w:ind w:left="1300" w:right="1320" w:firstLine="360"/>
        <w:spacing w:after="0" w:line="269" w:lineRule="auto"/>
        <w:rPr>
          <w:sz w:val="20"/>
          <w:szCs w:val="20"/>
          <w:color w:val="auto"/>
        </w:rPr>
      </w:pPr>
      <w:r>
        <w:rPr>
          <w:rFonts w:ascii="Times New Roman" w:cs="Times New Roman" w:eastAsia="Times New Roman" w:hAnsi="Times New Roman"/>
          <w:sz w:val="17"/>
          <w:szCs w:val="17"/>
          <w:color w:val="auto"/>
        </w:rPr>
        <w:t>If the domestication proposal is approved and the new charter proposal is approved and the domestication is to be effected, the Existing Organizational Documents will be altered and replaced in full with the Proposed Charter and the proposed new bylaws of ProKidney Delaware, a copy of which is attached to the proxy statement/prospectus as Annex C (the “Proposed Bylaws” and, together with the Proposed Charter, the “Proposed Organizational Documents”) in full. The Proposed Organizational Documents will become the organizational documents of ProKidney Delaware at the effective time of the domestication, in each case, under the General Corporation Law of the State of Delaware (the “DGCL”). The approvals of both the domestication proposal and the new charter proposal are required to effect the domestication. Each of the domestication proposal and the new charter proposal is conditioned upon the approval of the other proposal to effect the domestication. ProKidney’s shareholders are being asked to consider and vote upon five separate advisory and non-binding proposals (collectively, the “advisory charter proposals”) with respect to the material differences between the Existing Organizational Documents and the Proposed Charter that will become effective at the effective time of the domestication in the following respects: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60" w:type="dxa"/>
            <w:vAlign w:val="bottom"/>
          </w:tcPr>
          <w:p>
            <w:pPr>
              <w:spacing w:after="0"/>
              <w:rPr>
                <w:sz w:val="16"/>
                <w:szCs w:val="16"/>
                <w:color w:val="auto"/>
              </w:rPr>
            </w:pPr>
          </w:p>
        </w:tc>
        <w:tc>
          <w:tcPr>
            <w:tcW w:w="27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Existing Organization Documents</w:t>
            </w:r>
          </w:p>
        </w:tc>
        <w:tc>
          <w:tcPr>
            <w:tcW w:w="220" w:type="dxa"/>
            <w:vAlign w:val="bottom"/>
          </w:tcPr>
          <w:p>
            <w:pPr>
              <w:spacing w:after="0"/>
              <w:rPr>
                <w:sz w:val="16"/>
                <w:szCs w:val="16"/>
                <w:color w:val="auto"/>
              </w:rPr>
            </w:pPr>
          </w:p>
        </w:tc>
        <w:tc>
          <w:tcPr>
            <w:tcW w:w="27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Proposed Charter</w:t>
            </w:r>
          </w:p>
        </w:tc>
        <w:tc>
          <w:tcPr>
            <w:tcW w:w="1300" w:type="dxa"/>
            <w:vAlign w:val="bottom"/>
          </w:tcPr>
          <w:p>
            <w:pPr>
              <w:spacing w:after="0"/>
              <w:rPr>
                <w:sz w:val="16"/>
                <w:szCs w:val="16"/>
                <w:color w:val="auto"/>
              </w:rPr>
            </w:pPr>
          </w:p>
        </w:tc>
      </w:tr>
      <w:tr>
        <w:trPr>
          <w:trHeight w:val="221"/>
        </w:trPr>
        <w:tc>
          <w:tcPr>
            <w:tcW w:w="396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Exclusive Forum</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The Existing Organizational</w:t>
            </w:r>
          </w:p>
        </w:tc>
        <w:tc>
          <w:tcPr>
            <w:tcW w:w="2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The Proposed Charter adopts the state</w:t>
            </w:r>
          </w:p>
        </w:tc>
        <w:tc>
          <w:tcPr>
            <w:tcW w:w="1300" w:type="dxa"/>
            <w:vAlign w:val="bottom"/>
          </w:tcPr>
          <w:p>
            <w:pPr>
              <w:spacing w:after="0"/>
              <w:rPr>
                <w:sz w:val="19"/>
                <w:szCs w:val="19"/>
                <w:color w:val="auto"/>
              </w:rPr>
            </w:pPr>
          </w:p>
        </w:tc>
      </w:tr>
      <w:tr>
        <w:trPr>
          <w:trHeight w:val="218"/>
        </w:trPr>
        <w:tc>
          <w:tcPr>
            <w:tcW w:w="396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 </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w w:val="99"/>
              </w:rPr>
              <w:t>Documents do not contain a provision</w:t>
            </w:r>
          </w:p>
        </w:tc>
        <w:tc>
          <w:tcPr>
            <w:tcW w:w="2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and federal courts in the State of</w:t>
            </w:r>
          </w:p>
        </w:tc>
        <w:tc>
          <w:tcPr>
            <w:tcW w:w="1300" w:type="dxa"/>
            <w:vAlign w:val="bottom"/>
          </w:tcPr>
          <w:p>
            <w:pPr>
              <w:spacing w:after="0"/>
              <w:rPr>
                <w:sz w:val="18"/>
                <w:szCs w:val="18"/>
                <w:color w:val="auto"/>
              </w:rPr>
            </w:pPr>
          </w:p>
        </w:tc>
      </w:tr>
      <w:tr>
        <w:trPr>
          <w:trHeight w:val="218"/>
        </w:trPr>
        <w:tc>
          <w:tcPr>
            <w:tcW w:w="3960" w:type="dxa"/>
            <w:vAlign w:val="bottom"/>
          </w:tcPr>
          <w:p>
            <w:pPr>
              <w:ind w:left="1300"/>
              <w:spacing w:after="0"/>
              <w:rPr>
                <w:sz w:val="20"/>
                <w:szCs w:val="20"/>
                <w:color w:val="auto"/>
              </w:rPr>
            </w:pPr>
            <w:r>
              <w:rPr>
                <w:rFonts w:ascii="Times New Roman" w:cs="Times New Roman" w:eastAsia="Times New Roman" w:hAnsi="Times New Roman"/>
                <w:sz w:val="18"/>
                <w:szCs w:val="18"/>
                <w:i w:val="1"/>
                <w:iCs w:val="1"/>
                <w:color w:val="auto"/>
              </w:rPr>
              <w:t>(Advisory charter proposal A)</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adopting an exclusive forum for</w:t>
            </w:r>
          </w:p>
        </w:tc>
        <w:tc>
          <w:tcPr>
            <w:tcW w:w="2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Delaware as the exclusive forum for</w:t>
            </w:r>
          </w:p>
        </w:tc>
        <w:tc>
          <w:tcPr>
            <w:tcW w:w="130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certain shareholder litigation.</w:t>
            </w:r>
          </w:p>
        </w:tc>
        <w:tc>
          <w:tcPr>
            <w:tcW w:w="2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certain stockholder litigation.</w:t>
            </w:r>
          </w:p>
        </w:tc>
        <w:tc>
          <w:tcPr>
            <w:tcW w:w="1300" w:type="dxa"/>
            <w:vAlign w:val="bottom"/>
          </w:tcPr>
          <w:p>
            <w:pPr>
              <w:spacing w:after="0"/>
              <w:rPr>
                <w:sz w:val="18"/>
                <w:szCs w:val="18"/>
                <w:color w:val="auto"/>
              </w:rPr>
            </w:pPr>
          </w:p>
        </w:tc>
      </w:tr>
      <w:tr>
        <w:trPr>
          <w:trHeight w:val="214"/>
        </w:trPr>
        <w:tc>
          <w:tcPr>
            <w:tcW w:w="39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See Article 12 of the Proposed</w:t>
            </w:r>
          </w:p>
        </w:tc>
        <w:tc>
          <w:tcPr>
            <w:tcW w:w="1300" w:type="dxa"/>
            <w:vAlign w:val="bottom"/>
          </w:tcPr>
          <w:p>
            <w:pPr>
              <w:spacing w:after="0"/>
              <w:rPr>
                <w:sz w:val="18"/>
                <w:szCs w:val="18"/>
                <w:color w:val="auto"/>
              </w:rPr>
            </w:pPr>
          </w:p>
        </w:tc>
      </w:tr>
      <w:tr>
        <w:trPr>
          <w:trHeight w:val="236"/>
        </w:trPr>
        <w:tc>
          <w:tcPr>
            <w:tcW w:w="39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Charter.</w:t>
            </w:r>
          </w:p>
        </w:tc>
        <w:tc>
          <w:tcPr>
            <w:tcW w:w="1300" w:type="dxa"/>
            <w:vAlign w:val="bottom"/>
          </w:tcPr>
          <w:p>
            <w:pPr>
              <w:spacing w:after="0"/>
              <w:rPr>
                <w:sz w:val="20"/>
                <w:szCs w:val="20"/>
                <w:color w:val="auto"/>
              </w:rPr>
            </w:pPr>
          </w:p>
        </w:tc>
      </w:tr>
      <w:tr>
        <w:trPr>
          <w:trHeight w:val="769"/>
        </w:trPr>
        <w:tc>
          <w:tcPr>
            <w:tcW w:w="3960" w:type="dxa"/>
            <w:vAlign w:val="bottom"/>
          </w:tcPr>
          <w:p>
            <w:pPr>
              <w:spacing w:after="0"/>
              <w:rPr>
                <w:sz w:val="24"/>
                <w:szCs w:val="24"/>
                <w:color w:val="auto"/>
              </w:rPr>
            </w:pPr>
          </w:p>
        </w:tc>
        <w:tc>
          <w:tcPr>
            <w:tcW w:w="27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39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2" w:name="page13"/>
    <w:bookmarkEnd w:id="12"/>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80" w:type="dxa"/>
            <w:vAlign w:val="bottom"/>
          </w:tcPr>
          <w:p>
            <w:pPr>
              <w:spacing w:after="0"/>
              <w:rPr>
                <w:sz w:val="13"/>
                <w:szCs w:val="13"/>
                <w:color w:val="auto"/>
              </w:rPr>
            </w:pPr>
          </w:p>
        </w:tc>
      </w:tr>
      <w:tr>
        <w:trPr>
          <w:trHeight w:val="405"/>
        </w:trPr>
        <w:tc>
          <w:tcPr>
            <w:tcW w:w="154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27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Existing Organization Documents</w:t>
            </w:r>
          </w:p>
        </w:tc>
        <w:tc>
          <w:tcPr>
            <w:tcW w:w="220" w:type="dxa"/>
            <w:vAlign w:val="bottom"/>
          </w:tcPr>
          <w:p>
            <w:pPr>
              <w:spacing w:after="0"/>
              <w:rPr>
                <w:sz w:val="24"/>
                <w:szCs w:val="24"/>
                <w:color w:val="auto"/>
              </w:rPr>
            </w:pPr>
          </w:p>
        </w:tc>
        <w:tc>
          <w:tcPr>
            <w:tcW w:w="27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Proposed Charter</w:t>
            </w:r>
          </w:p>
        </w:tc>
      </w:tr>
      <w:tr>
        <w:trPr>
          <w:trHeight w:val="221"/>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Waiver of Corporate</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While the Existing Organizational</w:t>
            </w:r>
          </w:p>
        </w:tc>
        <w:tc>
          <w:tcPr>
            <w:tcW w:w="2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 the Proposed Charter, the</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Opportunities</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Documents do provide an explicit</w:t>
            </w:r>
          </w:p>
        </w:tc>
        <w:tc>
          <w:tcPr>
            <w:tcW w:w="2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Corporation renounces any interest or</w:t>
            </w:r>
          </w:p>
        </w:tc>
      </w:tr>
      <w:tr>
        <w:trPr>
          <w:trHeight w:val="218"/>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waiver of corporate opportunities for</w:t>
            </w:r>
          </w:p>
        </w:tc>
        <w:tc>
          <w:tcPr>
            <w:tcW w:w="2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expectancy of ProKidney Delaware</w:t>
            </w:r>
          </w:p>
        </w:tc>
      </w:tr>
      <w:tr>
        <w:trPr>
          <w:trHeight w:val="218"/>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(Advisory charter proposal A)</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directors, they do not provide an</w:t>
            </w:r>
          </w:p>
        </w:tc>
        <w:tc>
          <w:tcPr>
            <w:tcW w:w="2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 or in being offered an opportunity</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explicit waiver of corporate</w:t>
            </w:r>
          </w:p>
        </w:tc>
        <w:tc>
          <w:tcPr>
            <w:tcW w:w="2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to participate in, certain corporate</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opportunities for ProKidney or its</w:t>
            </w:r>
          </w:p>
        </w:tc>
        <w:tc>
          <w:tcPr>
            <w:tcW w:w="2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opportunities, subject to certain</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employees.</w:t>
            </w:r>
          </w:p>
        </w:tc>
        <w:tc>
          <w:tcPr>
            <w:tcW w:w="2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exceptions.</w:t>
            </w:r>
          </w:p>
        </w:tc>
      </w:tr>
      <w:tr>
        <w:trPr>
          <w:trHeight w:val="214"/>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See Article 15 of the Proposed</w:t>
            </w:r>
          </w:p>
        </w:tc>
      </w:tr>
      <w:tr>
        <w:trPr>
          <w:trHeight w:val="236"/>
        </w:trPr>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Charter.</w:t>
            </w:r>
          </w:p>
        </w:tc>
      </w:tr>
    </w:tbl>
    <w:p>
      <w:pPr>
        <w:spacing w:after="0" w:line="200" w:lineRule="exact"/>
        <w:rPr>
          <w:sz w:val="20"/>
          <w:szCs w:val="20"/>
          <w:color w:val="auto"/>
        </w:rPr>
      </w:pPr>
    </w:p>
    <w:p>
      <w:pPr>
        <w:sectPr>
          <w:pgSz w:w="11900" w:h="16838" w:orient="portrait"/>
          <w:cols w:equalWidth="0" w:num="1">
            <w:col w:w="9019"/>
          </w:cols>
          <w:pgMar w:left="1440" w:top="262" w:right="1440" w:bottom="1440" w:gutter="0" w:footer="0" w:header="0"/>
        </w:sectPr>
      </w:pPr>
    </w:p>
    <w:p>
      <w:pPr>
        <w:spacing w:after="0" w:line="21" w:lineRule="exact"/>
        <w:rPr>
          <w:sz w:val="20"/>
          <w:szCs w:val="20"/>
          <w:color w:val="auto"/>
        </w:rPr>
      </w:pPr>
    </w:p>
    <w:p>
      <w:pPr>
        <w:ind w:left="30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Section 242(b)(2) of the DGCL</w:t>
      </w:r>
      <w:r>
        <w:rPr>
          <w:sz w:val="20"/>
          <w:szCs w:val="20"/>
          <w:color w:val="auto"/>
        </w:rPr>
        <w:tab/>
      </w:r>
      <w:r>
        <w:rPr>
          <w:rFonts w:ascii="Times New Roman" w:cs="Times New Roman" w:eastAsia="Times New Roman" w:hAnsi="Times New Roman"/>
          <w:sz w:val="17"/>
          <w:szCs w:val="17"/>
          <w:color w:val="auto"/>
        </w:rPr>
        <w:t>The Existing Organizational</w:t>
      </w:r>
    </w:p>
    <w:p>
      <w:pPr>
        <w:spacing w:after="0" w:line="31" w:lineRule="exact"/>
        <w:rPr>
          <w:sz w:val="20"/>
          <w:szCs w:val="20"/>
          <w:color w:val="auto"/>
        </w:rPr>
      </w:pPr>
    </w:p>
    <w:p>
      <w:pPr>
        <w:ind w:left="30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color w:val="auto"/>
        </w:rPr>
        <w:t>Documents provide that</w:t>
      </w:r>
    </w:p>
    <w:p>
      <w:pPr>
        <w:spacing w:after="0" w:line="9" w:lineRule="exact"/>
        <w:rPr>
          <w:sz w:val="20"/>
          <w:szCs w:val="20"/>
          <w:color w:val="auto"/>
        </w:rPr>
      </w:pPr>
    </w:p>
    <w:p>
      <w:pPr>
        <w:ind w:left="300"/>
        <w:spacing w:after="0"/>
        <w:tabs>
          <w:tab w:leader="none" w:pos="2940" w:val="left"/>
        </w:tabs>
        <w:rPr>
          <w:sz w:val="20"/>
          <w:szCs w:val="20"/>
          <w:color w:val="auto"/>
        </w:rPr>
      </w:pPr>
      <w:r>
        <w:rPr>
          <w:rFonts w:ascii="Times New Roman" w:cs="Times New Roman" w:eastAsia="Times New Roman" w:hAnsi="Times New Roman"/>
          <w:sz w:val="18"/>
          <w:szCs w:val="18"/>
          <w:i w:val="1"/>
          <w:iCs w:val="1"/>
          <w:color w:val="auto"/>
        </w:rPr>
        <w:t>(Advisory charter proposal B)</w:t>
      </w:r>
      <w:r>
        <w:rPr>
          <w:sz w:val="20"/>
          <w:szCs w:val="20"/>
          <w:color w:val="auto"/>
        </w:rPr>
        <w:tab/>
      </w:r>
      <w:r>
        <w:rPr>
          <w:rFonts w:ascii="Times New Roman" w:cs="Times New Roman" w:eastAsia="Times New Roman" w:hAnsi="Times New Roman"/>
          <w:sz w:val="17"/>
          <w:szCs w:val="17"/>
          <w:color w:val="auto"/>
        </w:rPr>
        <w:t>(i) ProKidney may increase its share</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capital by an ordinary resolution,</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being a resolution passed by the</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holders of not less than a simple</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majority of the Class A and Class B</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ordinary shares, voting as a single</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class, represented in person or by</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color w:val="auto"/>
        </w:rPr>
        <w:t>proxy and entitled to vote thereon and</w:t>
      </w:r>
    </w:p>
    <w:p>
      <w:pPr>
        <w:spacing w:after="0" w:line="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who vote at the general meeting, or</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by unanimous written resolution and</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(ii) ProKidney may reduce its share</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capital by a special resolution, being</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affirmative vote of the holders of</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at least two-thirds of the Class A and</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Class B ordinary shares, voting as a</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single class, represented in person or</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by proxy and entitled to vote at the</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general meeting and who vote at the</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general meeting, or by unanimous</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written resolution.</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See Articles 20.1 and 20.3 of the</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Existing Organizational Documents.</w:t>
      </w:r>
    </w:p>
    <w:p>
      <w:pPr>
        <w:spacing w:after="0" w:line="230" w:lineRule="exact"/>
        <w:rPr>
          <w:sz w:val="20"/>
          <w:szCs w:val="20"/>
          <w:color w:val="auto"/>
        </w:rPr>
      </w:pPr>
    </w:p>
    <w:p>
      <w:pPr>
        <w:ind w:left="30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Action by Written Consent</w:t>
      </w:r>
      <w:r>
        <w:rPr>
          <w:sz w:val="20"/>
          <w:szCs w:val="20"/>
          <w:color w:val="auto"/>
        </w:rPr>
        <w:tab/>
      </w:r>
      <w:r>
        <w:rPr>
          <w:rFonts w:ascii="Times New Roman" w:cs="Times New Roman" w:eastAsia="Times New Roman" w:hAnsi="Times New Roman"/>
          <w:sz w:val="17"/>
          <w:szCs w:val="17"/>
          <w:color w:val="auto"/>
        </w:rPr>
        <w:t>The Existing Organizational</w:t>
      </w:r>
    </w:p>
    <w:p>
      <w:pPr>
        <w:spacing w:after="0" w:line="31" w:lineRule="exact"/>
        <w:rPr>
          <w:sz w:val="20"/>
          <w:szCs w:val="20"/>
          <w:color w:val="auto"/>
        </w:rPr>
      </w:pPr>
    </w:p>
    <w:p>
      <w:pPr>
        <w:ind w:left="30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color w:val="auto"/>
        </w:rPr>
        <w:t>Documents provide that a resolution</w:t>
      </w:r>
    </w:p>
    <w:p>
      <w:pPr>
        <w:spacing w:after="0" w:line="9" w:lineRule="exact"/>
        <w:rPr>
          <w:sz w:val="20"/>
          <w:szCs w:val="20"/>
          <w:color w:val="auto"/>
        </w:rPr>
      </w:pPr>
    </w:p>
    <w:p>
      <w:pPr>
        <w:ind w:left="300"/>
        <w:spacing w:after="0"/>
        <w:tabs>
          <w:tab w:leader="none" w:pos="2940" w:val="left"/>
        </w:tabs>
        <w:rPr>
          <w:sz w:val="20"/>
          <w:szCs w:val="20"/>
          <w:color w:val="auto"/>
        </w:rPr>
      </w:pPr>
      <w:r>
        <w:rPr>
          <w:rFonts w:ascii="Times New Roman" w:cs="Times New Roman" w:eastAsia="Times New Roman" w:hAnsi="Times New Roman"/>
          <w:sz w:val="18"/>
          <w:szCs w:val="18"/>
          <w:i w:val="1"/>
          <w:iCs w:val="1"/>
          <w:color w:val="auto"/>
        </w:rPr>
        <w:t>(Advisory charter proposal C)</w:t>
      </w:r>
      <w:r>
        <w:rPr>
          <w:sz w:val="20"/>
          <w:szCs w:val="20"/>
          <w:color w:val="auto"/>
        </w:rPr>
        <w:tab/>
      </w:r>
      <w:r>
        <w:rPr>
          <w:rFonts w:ascii="Times New Roman" w:cs="Times New Roman" w:eastAsia="Times New Roman" w:hAnsi="Times New Roman"/>
          <w:sz w:val="18"/>
          <w:szCs w:val="18"/>
          <w:color w:val="auto"/>
        </w:rPr>
        <w:t>in writing signed by all the</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shareholders entitled to vote at a</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general meeting shall be as valid and</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effective as if the same had been</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passed at a duly convened and held</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general meeting.</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See Article 24.3 of the Existing</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Organizational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Charter provides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rights of the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one or more series of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then outstanding,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shares of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Class A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Class B common stock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may be increased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decreased, in each case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affirmative vote of the holders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the total voting power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shares of capital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ProKidney Delaware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thereon, voting together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 class, irrespective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Section 242(b)(2)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DGCL, and no vote of the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class of the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Class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or the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separately as a class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therefor.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59"/>
        <w:spacing w:after="0" w:line="260" w:lineRule="auto"/>
        <w:rPr>
          <w:sz w:val="20"/>
          <w:szCs w:val="20"/>
          <w:color w:val="auto"/>
        </w:rPr>
      </w:pPr>
      <w:r>
        <w:rPr>
          <w:rFonts w:ascii="Times New Roman" w:cs="Times New Roman" w:eastAsia="Times New Roman" w:hAnsi="Times New Roman"/>
          <w:sz w:val="18"/>
          <w:szCs w:val="18"/>
          <w:i w:val="1"/>
          <w:iCs w:val="1"/>
          <w:color w:val="auto"/>
        </w:rPr>
        <w:t>See Article 4.2 of the Proposed Charter.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Charter provides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rights in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instances of the holders of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common stock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one or more series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any action required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to be taken by ProKidney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Delaware’s stockholders must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effected by a duly called annual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meeting of such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may not be effected by consent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59"/>
        <w:spacing w:after="0" w:line="260" w:lineRule="auto"/>
        <w:rPr>
          <w:sz w:val="20"/>
          <w:szCs w:val="20"/>
          <w:color w:val="auto"/>
        </w:rPr>
      </w:pPr>
      <w:r>
        <w:rPr>
          <w:rFonts w:ascii="Times New Roman" w:cs="Times New Roman" w:eastAsia="Times New Roman" w:hAnsi="Times New Roman"/>
          <w:sz w:val="18"/>
          <w:szCs w:val="18"/>
          <w:i w:val="1"/>
          <w:iCs w:val="1"/>
          <w:color w:val="auto"/>
        </w:rPr>
        <w:t>See Article 8.1 of the Proposed Charter.</w:t>
      </w:r>
    </w:p>
    <w:p>
      <w:pPr>
        <w:sectPr>
          <w:pgSz w:w="11900" w:h="16838" w:orient="portrait"/>
          <w:cols w:equalWidth="0" w:num="2">
            <w:col w:w="5700" w:space="240"/>
            <w:col w:w="3079"/>
          </w:cols>
          <w:pgMar w:left="1440" w:top="262" w:right="1440" w:bottom="1440" w:gutter="0" w:footer="0" w:header="0"/>
          <w:type w:val="continuous"/>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(Advisory charter proposal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b w:val="1"/>
          <w:bCs w:val="1"/>
          <w:color w:val="auto"/>
        </w:rPr>
        <w:t>Adoption of Supermajority Vote Requirement to Amend the Proposed Charter  </w:t>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(Advisory charter proposal 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Existing Organization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17487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The share capital under the Existing Organizational Documents is US$100,500 divided into</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500,000,000 Class A ordinary shares of a par value of US$0.0001 each, 500,000,000 Class B ordinary shares of a par value of US$0.0001 each and 5,000,000 preference shares of a par value of US$0.0001 each.  </w:t>
      </w:r>
    </w:p>
    <w:p>
      <w:pPr>
        <w:spacing w:after="0" w:line="208"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7"/>
          <w:szCs w:val="17"/>
          <w:i w:val="1"/>
          <w:iCs w:val="1"/>
          <w:color w:val="auto"/>
        </w:rPr>
        <w:t>See paragraph 5 of the Existing Organizational Documents.</w:t>
      </w:r>
    </w:p>
    <w:p>
      <w:pPr>
        <w:spacing w:after="0" w:line="18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Existing Organizational Documents provide that amendments to change ProKidney’s name, alter or add to the Articles (as defined therein), alter or add to the Memorandum (as defined therein) with respect to any objects, powers or other matters specified therein or to reduce its share capital or any capital redemption reserve fund may be made by a Special Resolution (as defined under the Cayman Islands Companies Act), being the affirmative vote of holders of a majority of at least two-thirds of such members as, being entitled to do so, vote in person or, where proxies are allowed, by proxy at a general meeting. There are certain matters that require only an Ordinary Resolution (as defined therein), including increasing the share capital, consolidating and dividing all or any part of the share capital into larger amounts than the existing shares, converting all or any of the Company’s paid-up shares into stock, and reconverting that stock into paid-up shares of any denomination, by subdividing the Company’s existing shares or any of them dividing the whole or any part of its share capital into shares of smaller amount than is fixed by the Memorandum or into shares without par value, and cancelling any shares that at the date of the passing of the Ordinary Resolution have not been taken or agreed to be taken by any</w:t>
      </w:r>
    </w:p>
    <w:p>
      <w:pPr>
        <w:spacing w:after="0" w:line="2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Proposed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17659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41" w:lineRule="exact"/>
        <w:rPr>
          <w:sz w:val="20"/>
          <w:szCs w:val="20"/>
          <w:color w:val="auto"/>
        </w:rPr>
      </w:pPr>
    </w:p>
    <w:p>
      <w:pPr>
        <w:ind w:left="5" w:right="379"/>
        <w:spacing w:after="0" w:line="252" w:lineRule="auto"/>
        <w:rPr>
          <w:sz w:val="20"/>
          <w:szCs w:val="20"/>
          <w:color w:val="auto"/>
        </w:rPr>
      </w:pPr>
      <w:r>
        <w:rPr>
          <w:rFonts w:ascii="Times New Roman" w:cs="Times New Roman" w:eastAsia="Times New Roman" w:hAnsi="Times New Roman"/>
          <w:sz w:val="18"/>
          <w:szCs w:val="18"/>
          <w:color w:val="auto"/>
        </w:rPr>
        <w:t>The Proposed Charter authorizes 1,250,000,000 shares of ProKidney Delaware consisting of 700,000,000 shares of Class A common stock, par value $0.0001 per share, 500,000,000 shares of Class B common stock, par value $0.0001 per share, and 50,000,000 shares of preferred stock, par value $0.0001 per share.  </w:t>
      </w:r>
    </w:p>
    <w:p>
      <w:pPr>
        <w:spacing w:after="0" w:line="5" w:lineRule="exact"/>
        <w:rPr>
          <w:sz w:val="20"/>
          <w:szCs w:val="20"/>
          <w:color w:val="auto"/>
        </w:rPr>
      </w:pPr>
    </w:p>
    <w:p>
      <w:pPr>
        <w:ind w:left="5" w:right="859"/>
        <w:spacing w:after="0" w:line="260" w:lineRule="auto"/>
        <w:rPr>
          <w:sz w:val="20"/>
          <w:szCs w:val="20"/>
          <w:color w:val="auto"/>
        </w:rPr>
      </w:pPr>
      <w:r>
        <w:rPr>
          <w:rFonts w:ascii="Times New Roman" w:cs="Times New Roman" w:eastAsia="Times New Roman" w:hAnsi="Times New Roman"/>
          <w:sz w:val="18"/>
          <w:szCs w:val="18"/>
          <w:i w:val="1"/>
          <w:iCs w:val="1"/>
          <w:color w:val="auto"/>
        </w:rPr>
        <w:t>See Article 4.1 of the Proposed Charter.</w:t>
      </w:r>
    </w:p>
    <w:p>
      <w:pPr>
        <w:spacing w:after="0" w:line="20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The Proposed Charter requires</w:t>
      </w:r>
    </w:p>
    <w:p>
      <w:pPr>
        <w:spacing w:after="0" w:line="27" w:lineRule="exact"/>
        <w:rPr>
          <w:sz w:val="20"/>
          <w:szCs w:val="20"/>
          <w:color w:val="auto"/>
        </w:rPr>
      </w:pPr>
    </w:p>
    <w:p>
      <w:pPr>
        <w:ind w:left="5" w:right="339" w:hanging="5"/>
        <w:spacing w:after="0" w:line="250" w:lineRule="auto"/>
        <w:tabs>
          <w:tab w:leader="none" w:pos="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the affirmative vote of the holders of at least two thirds (2/3) of the total voting power of all the then-outstanding shares of ProKidney Delaware’s capital stock entitled to vote thereon, and voting together as a single class or (y) approval of a majority of the Board, to make, adopt, alter, amend, change, add to, rescind or repeal, in whole or in part, the Proposed Bylaws; (ii) at least two</w:t>
      </w:r>
    </w:p>
    <w:p>
      <w:pPr>
        <w:spacing w:after="0" w:line="4" w:lineRule="exact"/>
        <w:rPr>
          <w:sz w:val="20"/>
          <w:szCs w:val="20"/>
          <w:color w:val="auto"/>
        </w:rPr>
      </w:pPr>
    </w:p>
    <w:p>
      <w:pPr>
        <w:ind w:left="5" w:right="319"/>
        <w:spacing w:after="0" w:line="234" w:lineRule="auto"/>
        <w:rPr>
          <w:sz w:val="20"/>
          <w:szCs w:val="20"/>
          <w:color w:val="auto"/>
        </w:rPr>
      </w:pPr>
      <w:r>
        <w:rPr>
          <w:rFonts w:ascii="Times New Roman" w:cs="Times New Roman" w:eastAsia="Times New Roman" w:hAnsi="Times New Roman"/>
          <w:sz w:val="18"/>
          <w:szCs w:val="18"/>
          <w:color w:val="auto"/>
        </w:rPr>
        <w:t>thirds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total voting power of all the outstanding shares of ProKidney Delaware’s capital stock entitled to vote thereon, voting together as a single class in order to alter, amend or repeal Sections 7.2,</w:t>
      </w:r>
    </w:p>
    <w:p>
      <w:pPr>
        <w:spacing w:after="0" w:line="2" w:lineRule="exact"/>
        <w:rPr>
          <w:sz w:val="20"/>
          <w:szCs w:val="20"/>
          <w:color w:val="auto"/>
        </w:rPr>
      </w:pPr>
    </w:p>
    <w:p>
      <w:pPr>
        <w:ind w:left="5" w:right="339"/>
        <w:spacing w:after="0" w:line="250" w:lineRule="auto"/>
        <w:rPr>
          <w:sz w:val="20"/>
          <w:szCs w:val="20"/>
          <w:color w:val="auto"/>
        </w:rPr>
      </w:pPr>
      <w:r>
        <w:rPr>
          <w:rFonts w:ascii="Times New Roman" w:cs="Times New Roman" w:eastAsia="Times New Roman" w:hAnsi="Times New Roman"/>
          <w:sz w:val="18"/>
          <w:szCs w:val="18"/>
          <w:color w:val="auto"/>
        </w:rPr>
        <w:t>7.3 and 7.4 of Article 7, Sections 8.1, and 8.2 of Article 8 or Article 9, 10, 11, 12 or 15 of the Proposed Charter; and (iii) at least two thirds (2/3) of the total voting power of the outstanding shares of ProKidney Delaware’s capital stock entitled to vote generally in the election of directors, voting together as a single class, in order to remove a director for cause.  </w:t>
      </w:r>
    </w:p>
    <w:p>
      <w:pPr>
        <w:spacing w:after="0" w:line="4" w:lineRule="exact"/>
        <w:rPr>
          <w:sz w:val="20"/>
          <w:szCs w:val="20"/>
          <w:color w:val="auto"/>
        </w:rPr>
      </w:pPr>
    </w:p>
    <w:p>
      <w:pPr>
        <w:ind w:left="5" w:right="719"/>
        <w:spacing w:after="0" w:line="260" w:lineRule="auto"/>
        <w:rPr>
          <w:sz w:val="20"/>
          <w:szCs w:val="20"/>
          <w:color w:val="auto"/>
        </w:rPr>
      </w:pPr>
      <w:r>
        <w:rPr>
          <w:rFonts w:ascii="Times New Roman" w:cs="Times New Roman" w:eastAsia="Times New Roman" w:hAnsi="Times New Roman"/>
          <w:sz w:val="18"/>
          <w:szCs w:val="18"/>
          <w:i w:val="1"/>
          <w:iCs w:val="1"/>
          <w:color w:val="auto"/>
        </w:rPr>
        <w:t>See Articles 7.4, 10 and 11 of the Proposed Charter.</w:t>
      </w:r>
    </w:p>
    <w:p>
      <w:pPr>
        <w:sectPr>
          <w:pgSz w:w="11900" w:h="16838" w:orient="portrait"/>
          <w:cols w:equalWidth="0" w:num="3">
            <w:col w:w="2480" w:space="480"/>
            <w:col w:w="2720" w:space="255"/>
            <w:col w:w="3084"/>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300"/>
        <w:spacing w:after="0"/>
        <w:tabs>
          <w:tab w:leader="none" w:pos="6760" w:val="left"/>
        </w:tabs>
        <w:rPr>
          <w:sz w:val="20"/>
          <w:szCs w:val="20"/>
          <w:color w:val="auto"/>
        </w:rPr>
      </w:pPr>
      <w:r>
        <w:rPr>
          <w:rFonts w:ascii="Times New Roman" w:cs="Times New Roman" w:eastAsia="Times New Roman" w:hAnsi="Times New Roman"/>
          <w:sz w:val="14"/>
          <w:szCs w:val="14"/>
          <w:b w:val="1"/>
          <w:bCs w:val="1"/>
          <w:color w:val="auto"/>
        </w:rPr>
        <w:t>Existing Organization Documents</w:t>
      </w:r>
      <w:r>
        <w:rPr>
          <w:sz w:val="20"/>
          <w:szCs w:val="20"/>
          <w:color w:val="auto"/>
        </w:rPr>
        <w:tab/>
      </w:r>
      <w:r>
        <w:rPr>
          <w:rFonts w:ascii="Times New Roman" w:cs="Times New Roman" w:eastAsia="Times New Roman" w:hAnsi="Times New Roman"/>
          <w:sz w:val="14"/>
          <w:szCs w:val="14"/>
          <w:b w:val="1"/>
          <w:bCs w:val="1"/>
          <w:color w:val="auto"/>
        </w:rPr>
        <w:t>Proposed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24765</wp:posOffset>
            </wp:positionV>
            <wp:extent cx="36518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person and diminish the amount of its</w:t>
      </w:r>
    </w:p>
    <w:p>
      <w:pPr>
        <w:spacing w:after="0" w:line="2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share capital by the amount of the</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shares so cancelled. An Ordinary</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Resolution is a resolution passed by a</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simple majority of the Members as,</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being entitled to do so, vote in person</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or, where proxies are allowed, by</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proxy at a general meeting, and</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includes a unanimous written</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resolution.</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See Article 20 of our Existing</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Organizational Documents.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will the domestication affect the ordinary shares?</w:t>
      </w:r>
    </w:p>
    <w:p>
      <w:pPr>
        <w:spacing w:after="0" w:line="121"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At the effective time of the domestication, by virtue of the domestication and without any further action on the part of any holder thereof, (i) each Class A ordinary share issued and outstanding immediately prior to the effective time of the domestication will be automatically converted into one (1) share of Class A common stock, par value $0.0001 per share, of ProKidney Delaware (the “Class A common stock”), and (ii) each Class B ordinary share issued and outstanding immediately prior to the effective time of the domestication will be automatically converted into one (1) share of Class B common stock, par value $0.0001 per share, of ProKidney Delaware (the “Class B common stock,” and together with the Class A common stock, the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Do I have appraisal rights in connection with the proposed domestication?</w:t>
      </w:r>
    </w:p>
    <w:p>
      <w:pPr>
        <w:spacing w:after="0" w:line="121" w:lineRule="exact"/>
        <w:rPr>
          <w:sz w:val="20"/>
          <w:szCs w:val="20"/>
          <w:color w:val="auto"/>
        </w:rPr>
      </w:pPr>
    </w:p>
    <w:p>
      <w:pPr>
        <w:ind w:left="300" w:right="859" w:firstLine="360"/>
        <w:spacing w:after="0" w:line="282" w:lineRule="auto"/>
        <w:rPr>
          <w:sz w:val="20"/>
          <w:szCs w:val="20"/>
          <w:color w:val="auto"/>
        </w:rPr>
      </w:pPr>
      <w:r>
        <w:rPr>
          <w:rFonts w:ascii="Times New Roman" w:cs="Times New Roman" w:eastAsia="Times New Roman" w:hAnsi="Times New Roman"/>
          <w:sz w:val="18"/>
          <w:szCs w:val="18"/>
          <w:color w:val="auto"/>
        </w:rPr>
        <w:t>No. ProKidney shareholders do not have appraisal rights in connection with the domestication under the Cayman Islands Companies Act or under the DGCL.</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the U.S. federal income tax consequences of the domestication?</w:t>
      </w:r>
    </w:p>
    <w:p>
      <w:pPr>
        <w:spacing w:after="0" w:line="119"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As discussed more fully under “</w:t>
      </w:r>
      <w:r>
        <w:rPr>
          <w:rFonts w:ascii="Times New Roman" w:cs="Times New Roman" w:eastAsia="Times New Roman" w:hAnsi="Times New Roman"/>
          <w:sz w:val="18"/>
          <w:szCs w:val="18"/>
          <w:i w:val="1"/>
          <w:iCs w:val="1"/>
          <w:color w:val="auto"/>
        </w:rPr>
        <w:t>Material U.S. Federal Income Tax Considerations</w:t>
      </w:r>
      <w:r>
        <w:rPr>
          <w:rFonts w:ascii="Times New Roman" w:cs="Times New Roman" w:eastAsia="Times New Roman" w:hAnsi="Times New Roman"/>
          <w:sz w:val="18"/>
          <w:szCs w:val="18"/>
          <w:color w:val="auto"/>
        </w:rPr>
        <w:t>” below, we believe the domestication will constitute a tax-free reorganization within the meaning of Section 368(a)(l)(F) of the Code. Assuming that the domestication so qualifies, and subject to the discussion of the “passive foreign investment company” (“PFIC”) rules below, U.S. Holders (as defined in “</w:t>
      </w:r>
      <w:r>
        <w:rPr>
          <w:rFonts w:ascii="Times New Roman" w:cs="Times New Roman" w:eastAsia="Times New Roman" w:hAnsi="Times New Roman"/>
          <w:sz w:val="18"/>
          <w:szCs w:val="18"/>
          <w:i w:val="1"/>
          <w:iCs w:val="1"/>
          <w:color w:val="auto"/>
        </w:rPr>
        <w:t>Material U.S. Federal Income Tax Considerations</w:t>
      </w:r>
      <w:r>
        <w:rPr>
          <w:rFonts w:ascii="Times New Roman" w:cs="Times New Roman" w:eastAsia="Times New Roman" w:hAnsi="Times New Roman"/>
          <w:sz w:val="18"/>
          <w:szCs w:val="18"/>
          <w:color w:val="auto"/>
        </w:rPr>
        <w:t>” below) will be subject to Section 367(b) of the Code.</w:t>
      </w:r>
    </w:p>
    <w:p>
      <w:pPr>
        <w:spacing w:after="0" w:line="77"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ProKidney does not expect that its cumulative earnings and profits will be greater than zero at the time of the domestication. As a result, as discussed in further detail under “</w:t>
      </w:r>
      <w:r>
        <w:rPr>
          <w:rFonts w:ascii="Times New Roman" w:cs="Times New Roman" w:eastAsia="Times New Roman" w:hAnsi="Times New Roman"/>
          <w:sz w:val="18"/>
          <w:szCs w:val="18"/>
          <w:i w:val="1"/>
          <w:iCs w:val="1"/>
          <w:color w:val="auto"/>
        </w:rPr>
        <w:t>Material U.S. Federal Income Tax Considerations—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Holders—Effects of Section 367 to U.S. Holders</w:t>
      </w:r>
      <w:r>
        <w:rPr>
          <w:rFonts w:ascii="Times New Roman" w:cs="Times New Roman" w:eastAsia="Times New Roman" w:hAnsi="Times New Roman"/>
          <w:sz w:val="18"/>
          <w:szCs w:val="18"/>
          <w:color w:val="auto"/>
        </w:rPr>
        <w:t>,” a U.S. Holder of ProKidney Class A ordinary shares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not have any gain or loss to recognize, provided, in the case of certain U.S. Holders whose Class A ordinary shares have a fair market value of $50,000 or more, such U.S. Holder either (i) is required to, or (ii) can file an election to, include in income the “all earnings and profits amount” (as defined in the Treasury Regulations under Section 367) attributable to its ProKidney Class A ordinary shares, which amount is expected to be zero, and provided certain other requirements are satisfied.</w:t>
      </w:r>
    </w:p>
    <w:p>
      <w:pPr>
        <w:spacing w:after="0" w:line="8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As discussed further under “</w:t>
      </w:r>
      <w:r>
        <w:rPr>
          <w:rFonts w:ascii="Times New Roman" w:cs="Times New Roman" w:eastAsia="Times New Roman" w:hAnsi="Times New Roman"/>
          <w:sz w:val="18"/>
          <w:szCs w:val="18"/>
          <w:i w:val="1"/>
          <w:iCs w:val="1"/>
          <w:color w:val="auto"/>
        </w:rPr>
        <w:t>Material U.S. Federal Income Tax Considerations</w:t>
      </w:r>
      <w:r>
        <w:rPr>
          <w:rFonts w:ascii="Times New Roman" w:cs="Times New Roman" w:eastAsia="Times New Roman" w:hAnsi="Times New Roman"/>
          <w:sz w:val="18"/>
          <w:szCs w:val="18"/>
          <w:color w:val="auto"/>
        </w:rPr>
        <w:t>” below, ProKidney believes that it is likely (and likely has been) treated as a PFIC for U.S. federal income tax purposes. Even if the domestication qualifies as a “reorganization” under Section 368(a)(1)(F) of the Code, a U.S. Holder of ProKidney Class A ordinary shares may, in certain circumstances, still recognize gain (but not loss) upon the exchange of its Class A ordinary shares for common shares of ProKidney Delaware pursuant to the domestication under the PFIC rules of the Code. In the event that ProKidney is (or in some cases has been) treated as a PFIC, notwithstanding the foregoing, proposed Treasury Regulations under Section 1291(f) of the Code (which have a retroactive effective date), if finalized in their current form, generally would require a U.S. Holder to recognize gain as a result of the domestication unless the U.S. Holder makes (or has made) certain elections (including, for example, a QEF election) discussed further under “</w:t>
      </w:r>
      <w:r>
        <w:rPr>
          <w:rFonts w:ascii="Times New Roman" w:cs="Times New Roman" w:eastAsia="Times New Roman" w:hAnsi="Times New Roman"/>
          <w:sz w:val="18"/>
          <w:szCs w:val="18"/>
          <w:i w:val="1"/>
          <w:iCs w:val="1"/>
          <w:color w:val="auto"/>
        </w:rPr>
        <w:t>Material U.S. Federal Income Tax Considerations—U.S. Holders—PFIC Considerations</w:t>
      </w:r>
      <w:r>
        <w:rPr>
          <w:rFonts w:ascii="Times New Roman" w:cs="Times New Roman" w:eastAsia="Times New Roman" w:hAnsi="Times New Roman"/>
          <w:sz w:val="18"/>
          <w:szCs w:val="18"/>
          <w:color w:val="auto"/>
        </w:rPr>
        <w:t>.” The tax on any such gain so recognized would be imposed at the rate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applicable to ordinary income and an interest charge would apply based on a complex set of rules. It is difficult to predict whether such proposed regulations will be finalized and whether, in what form, and with what effective date, other final Treasury Regulations under Section 1291(f) of the Code will be adopted. For a more complete discussion of the potential application of the PFIC rules to U.S. Holders as a result of the domestication, see “</w:t>
      </w:r>
      <w:r>
        <w:rPr>
          <w:rFonts w:ascii="Times New Roman" w:cs="Times New Roman" w:eastAsia="Times New Roman" w:hAnsi="Times New Roman"/>
          <w:sz w:val="18"/>
          <w:szCs w:val="18"/>
          <w:i w:val="1"/>
          <w:iCs w:val="1"/>
          <w:color w:val="auto"/>
        </w:rPr>
        <w:t>Material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Considerations—U.S. Holders—PFIC Considerations</w:t>
      </w:r>
      <w:r>
        <w:rPr>
          <w:rFonts w:ascii="Times New Roman" w:cs="Times New Roman" w:eastAsia="Times New Roman" w:hAnsi="Times New Roman"/>
          <w:sz w:val="18"/>
          <w:szCs w:val="18"/>
          <w:color w:val="auto"/>
        </w:rPr>
        <w:t>”. Each U.S. Holder of ProKidney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ordinary shares is urged to consult its own tax advisor concerning the application of the PFIC rules to the exchange of ProKidney Class A ordinary shares for ProKidney Delaware Class A common stock pursuant to the domestication.</w:t>
      </w:r>
    </w:p>
    <w:p>
      <w:pPr>
        <w:spacing w:after="0" w:line="82"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Additionally, the domestication may cause non-U.S. Holders (as defined in “</w:t>
      </w:r>
      <w:r>
        <w:rPr>
          <w:rFonts w:ascii="Times New Roman" w:cs="Times New Roman" w:eastAsia="Times New Roman" w:hAnsi="Times New Roman"/>
          <w:sz w:val="18"/>
          <w:szCs w:val="18"/>
          <w:i w:val="1"/>
          <w:iCs w:val="1"/>
          <w:color w:val="auto"/>
        </w:rPr>
        <w:t>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 below) to become subject to U.S. federal income withholding taxes on any dividends in respect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non-U.S. Holder’s ProKidney common stock subsequent to the domestication. ProKidney does not expect to make any dividend distributions to its shareholders in the near future.</w:t>
      </w:r>
    </w:p>
    <w:p>
      <w:pPr>
        <w:spacing w:after="0" w:line="7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tax consequences of the domestication are complex and will depend on a holder’s particular circumstances. All holders are strongly urged to consult their tax advisor for a full description and understanding of the tax consequences of the domestication, including the applicability and effect of U.S. federal, state, local and foreign income and other tax laws. For a more complete discussion of the U.S. federal income tax considerations of the domestication, see “</w:t>
      </w:r>
      <w:r>
        <w:rPr>
          <w:rFonts w:ascii="Times New Roman" w:cs="Times New Roman" w:eastAsia="Times New Roman" w:hAnsi="Times New Roman"/>
          <w:sz w:val="18"/>
          <w:szCs w:val="18"/>
          <w:i w:val="1"/>
          <w:iCs w:val="1"/>
          <w:color w:val="auto"/>
        </w:rPr>
        <w:t>Material U.S. Federal Income Tax Considerations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annual general meeting virtually?</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live audio webcast of the annual general meeting will begin promptly at 10:00 a.m., Eastern Time. Online access to the audio webcast will open 15 minutes prior to the start of the annual general meeting to allow time for you to log-in and test your device’s audio system. The annual general meeting is running the most updated version of the applicable software and plugins. You should ensure you have a strong Internet connection wherever you intend to participate virtually in the annual general meeting. You should also allow plenty of time to log in and ensure that you can hear streaming audio prior to the start of the annual general meeting.</w:t>
      </w:r>
    </w:p>
    <w:p>
      <w:pPr>
        <w:spacing w:after="0" w:line="75" w:lineRule="exact"/>
        <w:rPr>
          <w:sz w:val="20"/>
          <w:szCs w:val="20"/>
          <w:color w:val="auto"/>
        </w:rPr>
      </w:pPr>
    </w:p>
    <w:p>
      <w:pPr>
        <w:ind w:left="300" w:right="6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Log-in Instructions</w:t>
      </w:r>
      <w:r>
        <w:rPr>
          <w:rFonts w:ascii="Times New Roman" w:cs="Times New Roman" w:eastAsia="Times New Roman" w:hAnsi="Times New Roman"/>
          <w:sz w:val="18"/>
          <w:szCs w:val="18"/>
          <w:color w:val="auto"/>
        </w:rPr>
        <w:t>. To be admitted to the annual general meeting virtually, you will need to log-in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www.virtualshareholdermeeting.com/PROK2025 using the 16-digit control number found on the proxy card or voting instruction card previously mailed or made available to shareholders entitled to vote at the annual general meeting.</w:t>
      </w:r>
    </w:p>
    <w:p>
      <w:pPr>
        <w:spacing w:after="0" w:line="176" w:lineRule="exact"/>
        <w:rPr>
          <w:sz w:val="20"/>
          <w:szCs w:val="20"/>
          <w:color w:val="auto"/>
        </w:rPr>
      </w:pPr>
    </w:p>
    <w:p>
      <w:pPr>
        <w:ind w:left="300" w:right="839"/>
        <w:spacing w:after="0" w:line="286" w:lineRule="auto"/>
        <w:rPr>
          <w:sz w:val="20"/>
          <w:szCs w:val="20"/>
          <w:color w:val="auto"/>
        </w:rPr>
      </w:pPr>
      <w:r>
        <w:rPr>
          <w:rFonts w:ascii="Times New Roman" w:cs="Times New Roman" w:eastAsia="Times New Roman" w:hAnsi="Times New Roman"/>
          <w:sz w:val="18"/>
          <w:szCs w:val="18"/>
          <w:b w:val="1"/>
          <w:bCs w:val="1"/>
          <w:color w:val="auto"/>
        </w:rPr>
        <w:t>If I attend the annual general meeting virtually, will I be able to ask questions and have these questions answered during the annual general meeting?</w:t>
      </w:r>
    </w:p>
    <w:p>
      <w:pPr>
        <w:spacing w:after="0" w:line="5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Shareholders who choose to attend the annual general meeting virtually may submit questions for the annual general meeting after logging in. If such shareholders wish to submit a question, they may do so by logging into the virtual meeting platform at www.virtualshareholdermeeting.com/PROK2025, typing their question into the “Ask a Question” field, and clicking “Submit.” Please submit any questions before the start time of the meeting.</w:t>
      </w:r>
    </w:p>
    <w:p>
      <w:pPr>
        <w:spacing w:after="0" w:line="72"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Appropriate questions related to the business of the annual general meeting (the proposals being voted on) will be answered during the annual general meeting, subject to time constraints. Any such questions that cannot be answered during the annual general meeting due to time constraints will be posted and answered at https://investors.prokidney.com/ as soon as practical after the annual general meeting. Additional information regarding the ability of shareholders to ask questions during the annual general meeting, related to rules of conduct and other materials for the annual general meeting will be available at https://investors.prokidney.com/.</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happens if there are technical difficulties during the annual general meeting?</w:t>
      </w:r>
    </w:p>
    <w:p>
      <w:pPr>
        <w:spacing w:after="0" w:line="121" w:lineRule="exact"/>
        <w:rPr>
          <w:sz w:val="20"/>
          <w:szCs w:val="20"/>
          <w:color w:val="auto"/>
        </w:rPr>
      </w:pPr>
    </w:p>
    <w:p>
      <w:pPr>
        <w:ind w:left="300" w:right="659" w:firstLine="360"/>
        <w:spacing w:after="0" w:line="258" w:lineRule="auto"/>
        <w:rPr>
          <w:sz w:val="20"/>
          <w:szCs w:val="20"/>
          <w:color w:val="auto"/>
        </w:rPr>
      </w:pPr>
      <w:r>
        <w:rPr>
          <w:rFonts w:ascii="Times New Roman" w:cs="Times New Roman" w:eastAsia="Times New Roman" w:hAnsi="Times New Roman"/>
          <w:sz w:val="18"/>
          <w:szCs w:val="18"/>
          <w:color w:val="auto"/>
        </w:rPr>
        <w:t>If you encounter any difficulties accessing the annual general meeting during the check-in or meeting time, please call the technical support number that will be posted on the meeting log-in page for assistance. Technical support will be available beginning approximately 15 minutes prior to the start of the annual general meeting through its conclusion. Additional information regarding matters addressing technical and logistical issues, including technical support during the annual general meeting, will be available on the meeting website.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may vote?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Only holders of record of our Class A ordinary shares or Class B ordinary shares at the close of business on [•],</w:t>
      </w:r>
    </w:p>
    <w:p>
      <w:pPr>
        <w:spacing w:after="0" w:line="27" w:lineRule="exact"/>
        <w:rPr>
          <w:sz w:val="20"/>
          <w:szCs w:val="20"/>
          <w:color w:val="auto"/>
        </w:rPr>
      </w:pPr>
    </w:p>
    <w:p>
      <w:pPr>
        <w:ind w:left="300" w:right="759"/>
        <w:spacing w:after="0" w:line="260" w:lineRule="auto"/>
        <w:rPr>
          <w:sz w:val="20"/>
          <w:szCs w:val="20"/>
          <w:color w:val="auto"/>
        </w:rPr>
      </w:pPr>
      <w:r>
        <w:rPr>
          <w:rFonts w:ascii="Times New Roman" w:cs="Times New Roman" w:eastAsia="Times New Roman" w:hAnsi="Times New Roman"/>
          <w:sz w:val="18"/>
          <w:szCs w:val="18"/>
          <w:color w:val="auto"/>
        </w:rPr>
        <w:t>2025 will be entitled to vote at the annual general meeting. On this record date, there were [•] Class A ordinary shares and [•] Class B ordinary shares outstanding and entitled to vote.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If on [•], 2025 your ordinary shares were registered directly in your name with our transfer agent, Continental Stock Transfer &amp; Trust, then you are a shareholder of record.</w:t>
      </w:r>
    </w:p>
    <w:p>
      <w:pPr>
        <w:spacing w:after="0" w:line="5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If on [•], 2025 your ordinary shares were held, not in your name, but rather in an account at a brokerage firm, bank, dealer or other similar organization, then you are the beneficial owner of shares held in “street name” and the Notice of 2025 Annual General Meeting of Shareholders is being forwarded to you by that organization. The organization holding your account is considered to be the shareholder of record for purposes of voting at the annual general meeting. As a beneficial owner, you have the right to direct your broker or other agent regarding how to vote the shares in your account. You are also invited to attend the annual general meeting. However, since you are not the shareholder of record, you may not vote your shares at the annual general meeting unless you request and obtain a valid proxy from your broker or other agent.</w:t>
      </w:r>
    </w:p>
    <w:p>
      <w:pPr>
        <w:spacing w:after="0" w:line="8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You do not need to attend the annual general meeting to vote your shares. Shares represented by valid proxies, received in time for the annual general meeting and not revoked prior to the annual general meeting, will be voted at the annual general meeting. For instructions on how to change or revoke your proxy, see “</w:t>
      </w:r>
      <w:r>
        <w:rPr>
          <w:rFonts w:ascii="Times New Roman" w:cs="Times New Roman" w:eastAsia="Times New Roman" w:hAnsi="Times New Roman"/>
          <w:sz w:val="18"/>
          <w:szCs w:val="18"/>
          <w:i w:val="1"/>
          <w:iCs w:val="1"/>
          <w:color w:val="auto"/>
        </w:rPr>
        <w:t>May I change or revoke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my proxy?</w:t>
      </w:r>
      <w:r>
        <w:rPr>
          <w:rFonts w:ascii="Times New Roman" w:cs="Times New Roman" w:eastAsia="Times New Roman" w:hAnsi="Times New Roman"/>
          <w:sz w:val="18"/>
          <w:szCs w:val="18"/>
          <w:color w:val="auto"/>
        </w:rPr>
        <w:t>” below.</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Class A ordinary share or Class B ordinary share that you own entitles you to one vote.</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Whether you plan to attend the annual general meeting or not, we urge you to vote by proxy. All shares represented by valid proxies that we receive through this solicitation, and that are not revoked, will be voted in accordance with your instructions on the proxy card or as instructed via the Internet or telephone. You may specify whether your shares should be voted “FOR,” “AGAINST” or “ABSTAIN” with respect to each of the proposals. If you properly submit a proxy without giving specific voting instructions, your shares will be voted in accordance with the Board’s recommendations as noted below. Voting by proxy will not affect your right to attend the annual general meeting.</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your shares are registered directly in your name through our transfer agent, Continental Stock Transfer &amp;</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Trust, or you have share certificates registered in your name, you may vote:</w:t>
      </w:r>
    </w:p>
    <w:p>
      <w:pPr>
        <w:spacing w:after="0" w:line="95" w:lineRule="exact"/>
        <w:rPr>
          <w:sz w:val="20"/>
          <w:szCs w:val="20"/>
          <w:color w:val="auto"/>
        </w:rPr>
      </w:pPr>
    </w:p>
    <w:p>
      <w:pPr>
        <w:ind w:left="1000" w:right="439" w:hanging="348"/>
        <w:spacing w:after="0" w:line="28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Internet or by telephone. </w:t>
      </w:r>
      <w:r>
        <w:rPr>
          <w:rFonts w:ascii="Times New Roman" w:cs="Times New Roman" w:eastAsia="Times New Roman" w:hAnsi="Times New Roman"/>
          <w:sz w:val="18"/>
          <w:szCs w:val="18"/>
          <w:color w:val="auto"/>
        </w:rPr>
        <w:t>Follow the instructions included in the proxy card to vote over the Internet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by telephone.</w:t>
      </w:r>
    </w:p>
    <w:p>
      <w:pPr>
        <w:spacing w:after="0" w:line="46" w:lineRule="exact"/>
        <w:rPr>
          <w:rFonts w:ascii="Times New Roman" w:cs="Times New Roman" w:eastAsia="Times New Roman" w:hAnsi="Times New Roman"/>
          <w:sz w:val="18"/>
          <w:szCs w:val="18"/>
          <w:color w:val="auto"/>
        </w:rPr>
      </w:pPr>
    </w:p>
    <w:p>
      <w:pPr>
        <w:ind w:left="1000" w:right="399" w:hanging="348"/>
        <w:spacing w:after="0" w:line="26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You can also vote by mail by completing, signing, dating and returning the proxy card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instructed on the card. If you sign the proxy card but do not specify how you want your shares voted, they will be voted in accordance with the Board’s recommendations as noted below.</w:t>
      </w:r>
    </w:p>
    <w:p>
      <w:pPr>
        <w:spacing w:after="0" w:line="62" w:lineRule="exact"/>
        <w:rPr>
          <w:rFonts w:ascii="Times New Roman" w:cs="Times New Roman" w:eastAsia="Times New Roman" w:hAnsi="Times New Roman"/>
          <w:sz w:val="18"/>
          <w:szCs w:val="18"/>
          <w:color w:val="auto"/>
        </w:rPr>
      </w:pPr>
    </w:p>
    <w:p>
      <w:pPr>
        <w:ind w:left="1000" w:right="359" w:hanging="348"/>
        <w:spacing w:after="0" w:line="28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 person at the meeting. </w:t>
      </w:r>
      <w:r>
        <w:rPr>
          <w:rFonts w:ascii="Times New Roman" w:cs="Times New Roman" w:eastAsia="Times New Roman" w:hAnsi="Times New Roman"/>
          <w:sz w:val="18"/>
          <w:szCs w:val="18"/>
          <w:color w:val="auto"/>
        </w:rPr>
        <w:t>If you attend the meeting in person, you may deliver a completed proxy card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you may vote by completing a ballot, which will be available at the meeting.</w:t>
      </w:r>
    </w:p>
    <w:p>
      <w:pPr>
        <w:spacing w:after="0" w:line="47" w:lineRule="exact"/>
        <w:rPr>
          <w:sz w:val="20"/>
          <w:szCs w:val="20"/>
          <w:color w:val="auto"/>
        </w:rPr>
      </w:pPr>
    </w:p>
    <w:p>
      <w:pPr>
        <w:ind w:left="300" w:right="5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Telephone and Internet voting facilities for shareholders of record will be available 24 hours a day and will close at 11:59 p.m. Eastern Time on [•], 2025.</w:t>
      </w:r>
    </w:p>
    <w:p>
      <w:pPr>
        <w:spacing w:after="0" w:line="51"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shareholders owning shares through certain banks and brokers. If your shares are not registered in your own name and you plan to vote your shares in person at the annual general meeting, you should contact your broker or agent to obtain a legal proxy or broker’s proxy card and bring it to the annual general meeting in order to vote.</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general meeting?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annual general meeting, shareholders will be asked to vote:</w:t>
      </w:r>
    </w:p>
    <w:p>
      <w:pPr>
        <w:spacing w:after="0" w:line="117"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domestication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new charter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each of the five separate advisory charter proposals;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19" w:hanging="348"/>
        <w:spacing w:after="0" w:line="26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following three director nominees named in this proxy statement/prospectus to serve as Class III directors for three-year terms expiring at the annual general meeting in 2028 and until their successors are duly elected and qualified: Bruce Culleton, M.D., Pablo Legorreta and Uma Sinha, Ph.D. (the “election of directors proposal”);</w:t>
      </w:r>
    </w:p>
    <w:p>
      <w:pPr>
        <w:spacing w:after="0" w:line="71" w:lineRule="exact"/>
        <w:rPr>
          <w:rFonts w:ascii="Times New Roman" w:cs="Times New Roman" w:eastAsia="Times New Roman" w:hAnsi="Times New Roman"/>
          <w:sz w:val="18"/>
          <w:szCs w:val="18"/>
          <w:color w:val="auto"/>
        </w:rPr>
      </w:pPr>
    </w:p>
    <w:p>
      <w:pPr>
        <w:jc w:val="both"/>
        <w:ind w:left="1000" w:right="39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2025 (the “appointment of independent registered public accounting firm proposal”);</w:t>
      </w:r>
    </w:p>
    <w:p>
      <w:pPr>
        <w:spacing w:after="0" w:line="67" w:lineRule="exact"/>
        <w:rPr>
          <w:rFonts w:ascii="Times New Roman" w:cs="Times New Roman" w:eastAsia="Times New Roman" w:hAnsi="Times New Roman"/>
          <w:sz w:val="18"/>
          <w:szCs w:val="18"/>
          <w:color w:val="auto"/>
        </w:rPr>
      </w:pPr>
    </w:p>
    <w:p>
      <w:pPr>
        <w:ind w:left="1000" w:right="499" w:hanging="348"/>
        <w:spacing w:after="0" w:line="26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general meeting to a later date or dates, if necessary, to permit further solicitation and vote of proxies if, based upon the tabulated vote at the time of the annual general meeting, the domestication proposal and the new charter proposal would not be duly approved and adopted by our shareholders (the “adjournment proposal”); and</w:t>
      </w:r>
    </w:p>
    <w:p>
      <w:pPr>
        <w:spacing w:after="0" w:line="71" w:lineRule="exact"/>
        <w:rPr>
          <w:rFonts w:ascii="Times New Roman" w:cs="Times New Roman" w:eastAsia="Times New Roman" w:hAnsi="Times New Roman"/>
          <w:sz w:val="18"/>
          <w:szCs w:val="18"/>
          <w:color w:val="auto"/>
        </w:rPr>
      </w:pPr>
    </w:p>
    <w:p>
      <w:pPr>
        <w:ind w:left="1000" w:right="113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that is properly presented at the annual general meeting and any adjournments or postponements thereof.</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 on the proposals?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unanimously recommends that you vote as follows:</w:t>
      </w:r>
    </w:p>
    <w:p>
      <w:pPr>
        <w:spacing w:after="0" w:line="113"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domestication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new charter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five advisory charter proposals;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Class III nominees for director;</w:t>
      </w:r>
    </w:p>
    <w:p>
      <w:pPr>
        <w:spacing w:after="0" w:line="117" w:lineRule="exact"/>
        <w:rPr>
          <w:rFonts w:ascii="Times New Roman" w:cs="Times New Roman" w:eastAsia="Times New Roman" w:hAnsi="Times New Roman"/>
          <w:sz w:val="18"/>
          <w:szCs w:val="18"/>
          <w:color w:val="auto"/>
        </w:rPr>
      </w:pPr>
    </w:p>
    <w:p>
      <w:pPr>
        <w:ind w:left="1000" w:right="639" w:hanging="348"/>
        <w:spacing w:after="0" w:line="28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Ernst &amp; Young LLP as our independent registered public accounting firm for our fiscal year ending December 31, 2025; and</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If any other matter is presented at the annual general meeting, your proxy provides that your shares will be voted by the proxy holder listed in the proxy in accordance with the proxy holder’s best judgment. At the time this proxy statement/prospectus was first made available, we knew of no matters that needed to be acted on at the annual general meeting, other than those discussed in this proxy statement/prospectus.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May I change or revoke my proxy?</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you give us your proxy, you may change or revoke it at any time before the annual general meeting. You may change or revoke your proxy in any one of the following ways:</w:t>
      </w:r>
    </w:p>
    <w:p>
      <w:pPr>
        <w:spacing w:after="0" w:line="54" w:lineRule="exact"/>
        <w:rPr>
          <w:sz w:val="20"/>
          <w:szCs w:val="20"/>
          <w:color w:val="auto"/>
        </w:rPr>
      </w:pPr>
    </w:p>
    <w:p>
      <w:pPr>
        <w:ind w:left="1000" w:right="4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received a proxy card, by signing a new proxy card with a date later than your previously delivered proxy and submitting it as instructed above;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re-voting by Internet or by telephone as instructed above;</w:t>
      </w:r>
    </w:p>
    <w:p>
      <w:pPr>
        <w:spacing w:after="0" w:line="11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notifying ProKidney Corp.’s Secretary/Clerk in writing before the annual general meeting that you have revoked your proxy; or</w:t>
      </w:r>
    </w:p>
    <w:p>
      <w:pPr>
        <w:spacing w:after="0" w:line="53" w:lineRule="exact"/>
        <w:rPr>
          <w:rFonts w:ascii="Times New Roman" w:cs="Times New Roman" w:eastAsia="Times New Roman" w:hAnsi="Times New Roman"/>
          <w:sz w:val="18"/>
          <w:szCs w:val="18"/>
          <w:color w:val="auto"/>
        </w:rPr>
      </w:pPr>
    </w:p>
    <w:p>
      <w:pPr>
        <w:jc w:val="both"/>
        <w:ind w:left="1000" w:right="45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general meeting and voting at the meeting. Attending the annual general meeting will not in and of itself revoke a previously submitted proxy. You must specifically request at the annual general meeting that it be revoked.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most current vote, whether by telephone, Internet or proxy card is the one that will be counted.</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receive more than one proxy card?</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You may receive more than one proxy card if you hold our Class A or Class B ordinary shares in more than one account, which may be in registered form or held in street name. Please vote in the manner described above under “</w:t>
      </w:r>
      <w:r>
        <w:rPr>
          <w:rFonts w:ascii="Times New Roman" w:cs="Times New Roman" w:eastAsia="Times New Roman" w:hAnsi="Times New Roman"/>
          <w:sz w:val="18"/>
          <w:szCs w:val="18"/>
          <w:i w:val="1"/>
          <w:iCs w:val="1"/>
          <w:color w:val="auto"/>
        </w:rPr>
        <w:t>How do I vote?</w:t>
      </w:r>
      <w:r>
        <w:rPr>
          <w:rFonts w:ascii="Times New Roman" w:cs="Times New Roman" w:eastAsia="Times New Roman" w:hAnsi="Times New Roman"/>
          <w:sz w:val="18"/>
          <w:szCs w:val="18"/>
          <w:color w:val="auto"/>
        </w:rPr>
        <w:t>” for each account to ensure that all of your shares are voted.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vote?</w:t>
      </w:r>
    </w:p>
    <w:p>
      <w:pPr>
        <w:spacing w:after="0" w:line="121" w:lineRule="exact"/>
        <w:rPr>
          <w:sz w:val="20"/>
          <w:szCs w:val="20"/>
          <w:color w:val="auto"/>
        </w:rPr>
      </w:pPr>
    </w:p>
    <w:p>
      <w:pPr>
        <w:ind w:left="1300" w:right="1380" w:firstLine="360"/>
        <w:spacing w:after="0" w:line="252" w:lineRule="auto"/>
        <w:rPr>
          <w:sz w:val="20"/>
          <w:szCs w:val="20"/>
          <w:color w:val="auto"/>
        </w:rPr>
      </w:pPr>
      <w:r>
        <w:rPr>
          <w:rFonts w:ascii="Times New Roman" w:cs="Times New Roman" w:eastAsia="Times New Roman" w:hAnsi="Times New Roman"/>
          <w:sz w:val="18"/>
          <w:szCs w:val="18"/>
          <w:color w:val="auto"/>
        </w:rPr>
        <w:t>If your shares are registered in your name or if you have share certificates, they will not be counted if you do not vote as described above under “</w:t>
      </w:r>
      <w:r>
        <w:rPr>
          <w:rFonts w:ascii="Times New Roman" w:cs="Times New Roman" w:eastAsia="Times New Roman" w:hAnsi="Times New Roman"/>
          <w:sz w:val="18"/>
          <w:szCs w:val="18"/>
          <w:i w:val="1"/>
          <w:iCs w:val="1"/>
          <w:color w:val="auto"/>
        </w:rPr>
        <w:t>How do I vote?</w:t>
      </w:r>
      <w:r>
        <w:rPr>
          <w:rFonts w:ascii="Times New Roman" w:cs="Times New Roman" w:eastAsia="Times New Roman" w:hAnsi="Times New Roman"/>
          <w:sz w:val="18"/>
          <w:szCs w:val="18"/>
          <w:color w:val="auto"/>
        </w:rPr>
        <w:t>” If your shares are held in street name and you do not provide voting instructions to the bank, broker or other nominee that holds your shares as described above, the bank, broker or other nominee that holds your shares has the authority to vote your unvoted shares only on the ratification of the appointment of independent registered public accounting firm proposal without receiving instructions from you. Therefore, we encourage you to provide voting instructions to your bank, broker or other nominee. This ensures your shares will be voted at the annual general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 Abstentions and broker non-votes, while considered present for the purposes of establishing a quorum, will not count as votes cast and will have no effect on the outcome of the vote on any of the proposals. If a shareholder does not give the broker voting instructions, under applicable self-regulatory organization rules, its broker may not vote its shares on “non-routine” proposals, such as the domestication proposal, new charter proposal, the advisory charter proposals, the election of directors proposal and the adjournment proposal.</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 and how are votes counted?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Proposal 1: Domestication</w:t>
            </w: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special resolution, being the affirmative vote of the holders of at least two-</w:t>
            </w:r>
          </w:p>
        </w:tc>
      </w:tr>
      <w:tr>
        <w:trPr>
          <w:trHeight w:val="220"/>
        </w:trPr>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thirds of the Class A and Class B ordinary shares, voting as a single class,</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represented in person or by proxy, entitled to vote thereon, and who vote at the</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annual general meeting is required to approve the domestication proposal. You</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vote “FOR,” “AGAINST” or “ABSTAIN” on the domestication proposal.</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Brokerage firms do not have authority to vote customers’ unvoted shares held by</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firms in street name for the domestication proposal. As a result, any shares</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 voted by a customer will be treated as a broker non-vote. Abstentions and</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 non-votes, if any, will not count as a vote cast at the annual general</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meeting and will have no effect on the results of this vote, other than counting</w:t>
            </w:r>
          </w:p>
        </w:tc>
      </w:tr>
      <w:tr>
        <w:trPr>
          <w:trHeight w:val="234"/>
        </w:trPr>
        <w:tc>
          <w:tcPr>
            <w:tcW w:w="3720" w:type="dxa"/>
            <w:vAlign w:val="bottom"/>
          </w:tcPr>
          <w:p>
            <w:pPr>
              <w:spacing w:after="0"/>
              <w:rPr>
                <w:sz w:val="20"/>
                <w:szCs w:val="20"/>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towards the quorum of the meeting.</w:t>
            </w:r>
          </w:p>
        </w:tc>
      </w:tr>
      <w:tr>
        <w:trPr>
          <w:trHeight w:val="464"/>
        </w:trPr>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Proposal 2: New Charter</w:t>
            </w: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special resolution, being the affirmative vote of the holders of at least two-</w:t>
            </w:r>
          </w:p>
        </w:tc>
      </w:tr>
      <w:tr>
        <w:trPr>
          <w:trHeight w:val="220"/>
        </w:trPr>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thirds of the Class A and Class B ordinary shares, voting as a single class,</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represented in person or by proxy, entitled to vote thereon, and who vote at the</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annual general meeting is required to approve the new charter proposal. You</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vote “FOR,” “AGAINST” or “ABSTAIN” on the new charter proposal.</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Brokerage firms do not have authority to vote customers’ unvoted shares held by</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firms in street name for the new charter proposal. As a result, any shares not</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voted by a customer will be treated as a broker non-vote. Abstentions and broker</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non-votes, if any, will not count as a vote cast at the annual general meeting and</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will have no effect on the results of this vote, other than counting towards the</w:t>
            </w:r>
          </w:p>
        </w:tc>
      </w:tr>
      <w:tr>
        <w:trPr>
          <w:trHeight w:val="234"/>
        </w:trPr>
        <w:tc>
          <w:tcPr>
            <w:tcW w:w="3720" w:type="dxa"/>
            <w:vAlign w:val="bottom"/>
          </w:tcPr>
          <w:p>
            <w:pPr>
              <w:spacing w:after="0"/>
              <w:rPr>
                <w:sz w:val="20"/>
                <w:szCs w:val="20"/>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quorum of the meeting.</w:t>
            </w:r>
          </w:p>
        </w:tc>
      </w:tr>
      <w:tr>
        <w:trPr>
          <w:trHeight w:val="464"/>
        </w:trPr>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Proposal 3: Advisory Charter</w:t>
            </w: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 ordinary resolution, being a resolution passed by the holders of not less than</w:t>
            </w:r>
          </w:p>
        </w:tc>
      </w:tr>
      <w:tr>
        <w:trPr>
          <w:trHeight w:val="220"/>
        </w:trPr>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Proposals</w:t>
            </w: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simple majority of the Class A and Class B ordinary shares, voting as a single</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represented in person or by proxy and entitled to vote thereon and who</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vote at the annual general meeting is required to approve, on a non-binding and</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advisory basis, each of the advisory charter proposals. You may vote “FOR,”</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“AGAINST” or “ABSTAIN” on the domestication proposal. Brokerage firms do</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 have authority to vote customers’ unvoted shares held by the firms in street</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name for the domestication proposal. As a result, any shares not voted by a</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will be treated as a broker non-vote. Abstentions and broker non-votes,</w:t>
            </w:r>
          </w:p>
        </w:tc>
      </w:tr>
      <w:tr>
        <w:trPr>
          <w:trHeight w:val="216"/>
        </w:trPr>
        <w:tc>
          <w:tcPr>
            <w:tcW w:w="37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if any, will not count as a vote cast at the annual general meeting and will have</w:t>
            </w:r>
          </w:p>
        </w:tc>
      </w:tr>
      <w:tr>
        <w:trPr>
          <w:trHeight w:val="234"/>
        </w:trPr>
        <w:tc>
          <w:tcPr>
            <w:tcW w:w="3720" w:type="dxa"/>
            <w:vAlign w:val="bottom"/>
          </w:tcPr>
          <w:p>
            <w:pPr>
              <w:spacing w:after="0"/>
              <w:rPr>
                <w:sz w:val="20"/>
                <w:szCs w:val="20"/>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effect on the results of</w:t>
            </w:r>
          </w:p>
        </w:tc>
      </w:tr>
      <w:tr>
        <w:trPr>
          <w:trHeight w:val="486"/>
        </w:trPr>
        <w:tc>
          <w:tcPr>
            <w:tcW w:w="3720" w:type="dxa"/>
            <w:vAlign w:val="bottom"/>
          </w:tcPr>
          <w:p>
            <w:pPr>
              <w:spacing w:after="0"/>
              <w:rPr>
                <w:sz w:val="24"/>
                <w:szCs w:val="24"/>
                <w:color w:val="auto"/>
              </w:rPr>
            </w:pPr>
          </w:p>
        </w:tc>
        <w:tc>
          <w:tcPr>
            <w:tcW w:w="73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11</w:t>
            </w:r>
          </w:p>
        </w:tc>
      </w:tr>
      <w:tr>
        <w:trPr>
          <w:trHeight w:val="196"/>
        </w:trPr>
        <w:tc>
          <w:tcPr>
            <w:tcW w:w="3720" w:type="dxa"/>
            <w:vAlign w:val="bottom"/>
            <w:tcBorders>
              <w:bottom w:val="single" w:sz="8" w:color="auto"/>
            </w:tcBorders>
          </w:tcPr>
          <w:p>
            <w:pPr>
              <w:spacing w:after="0"/>
              <w:rPr>
                <w:sz w:val="17"/>
                <w:szCs w:val="17"/>
                <w:color w:val="auto"/>
              </w:rPr>
            </w:pPr>
          </w:p>
        </w:tc>
        <w:tc>
          <w:tcPr>
            <w:tcW w:w="7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240" w:type="dxa"/>
            <w:vAlign w:val="bottom"/>
          </w:tcPr>
          <w:p>
            <w:pPr>
              <w:spacing w:after="0"/>
              <w:rPr>
                <w:sz w:val="13"/>
                <w:szCs w:val="13"/>
                <w:color w:val="auto"/>
              </w:rPr>
            </w:pPr>
          </w:p>
        </w:tc>
      </w:tr>
      <w:tr>
        <w:trPr>
          <w:trHeight w:val="434"/>
        </w:trPr>
        <w:tc>
          <w:tcPr>
            <w:tcW w:w="130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this vote, other than counting towards the quorum of the meeting. We are not</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required to obtain the approval of our shareholders to individually approve each</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the advisory charter proposals. Accordingly, regardless of the outcome of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non-binding advisory vote, ProKidney intends that the Proposed Charter in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set forth on Annex B will take effect at consummation of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domestication, assuming adoption of the domestication proposal and the new</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charter proposal.</w:t>
            </w:r>
          </w:p>
        </w:tc>
      </w:tr>
      <w:tr>
        <w:trPr>
          <w:trHeight w:val="464"/>
        </w:trPr>
        <w:tc>
          <w:tcPr>
            <w:tcW w:w="130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4: Election of</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 ordinary resolution, being a resolution passed by the holders of not less than</w:t>
            </w:r>
          </w:p>
        </w:tc>
      </w:tr>
      <w:tr>
        <w:trPr>
          <w:trHeight w:val="220"/>
        </w:trPr>
        <w:tc>
          <w:tcPr>
            <w:tcW w:w="1300" w:type="dxa"/>
            <w:vAlign w:val="bottom"/>
          </w:tcPr>
          <w:p>
            <w:pPr>
              <w:spacing w:after="0"/>
              <w:rPr>
                <w:sz w:val="19"/>
                <w:szCs w:val="19"/>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simple majority of the Class A and Class B ordinary shares, voting as a single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represented in person or by proxy and entitled to vote thereon and who</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 at the annual general meeting, is required for the election of each director.</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If the number of shares voted “FOR” a director nominee exceeds the number of</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votes cast “AGAINST,” the nominee will be elected as a director. You may vote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“AGAINST” or “ABSTAIN” on each of the nominees for election as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Brokerage firms do not have authority to vote customers’ unvoted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held by the firms in street name for the election of the directors. As a</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result, any shares not voted by a customer will be treated as a broker non-vote.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Abstentions and broker non-votes, if any, will not count as a vote cast at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annual general meeting and will have no effect on the results of this vote, other</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than counting towards the quorum of the meeting.</w:t>
            </w:r>
          </w:p>
        </w:tc>
      </w:tr>
      <w:tr>
        <w:trPr>
          <w:trHeight w:val="464"/>
        </w:trPr>
        <w:tc>
          <w:tcPr>
            <w:tcW w:w="130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5: Appointment of</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 ordinary resolution, being a resolution passed by the holders of not less than</w:t>
            </w:r>
          </w:p>
        </w:tc>
      </w:tr>
      <w:tr>
        <w:trPr>
          <w:trHeight w:val="216"/>
        </w:trPr>
        <w:tc>
          <w:tcPr>
            <w:tcW w:w="130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simple majority of the Class A and Class B ordinary shares, voting as a single</w:t>
            </w:r>
          </w:p>
        </w:tc>
      </w:tr>
      <w:tr>
        <w:trPr>
          <w:trHeight w:val="220"/>
        </w:trPr>
        <w:tc>
          <w:tcPr>
            <w:tcW w:w="1300" w:type="dxa"/>
            <w:vAlign w:val="bottom"/>
          </w:tcPr>
          <w:p>
            <w:pPr>
              <w:spacing w:after="0"/>
              <w:rPr>
                <w:sz w:val="19"/>
                <w:szCs w:val="19"/>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Accounting Firm Proposal</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represented in person or by proxy and entitled to vote thereon and who</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 at the annual general meeting for this proposal is required to ratify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selection of our independent registered public accounting firm. If the number of</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voted “FOR” the ratification of the appointment of Ernst &amp; Young LLP</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 our independent registered public accounting firm exceeds the number of</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votes cast “AGAINST,” the appointment of Ernst &amp; Young LLP as our</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independent registered public accounting firm will be ratified. You may vote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“AGAINST” or “ABSTAIN.” Abstentions will have no effect on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results of this vote. Brokerage firms have authority to vote customers’ unvoted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held by the firms in street name on this proposal. Accordingly, there will</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 no broker non-votes with respect to this proposal. We are not required to</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obtain the approval of our shareholders to select our independent registered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 accounting firm. However, if our shareholders do not ratify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of Ernst &amp; Young LLP as our independent registered public</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 firm for 2025, our Audit Committee of the Board (the “Audit</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Committee”) will reconsider its selection.</w:t>
            </w:r>
          </w:p>
        </w:tc>
      </w:tr>
      <w:tr>
        <w:trPr>
          <w:trHeight w:val="464"/>
        </w:trPr>
        <w:tc>
          <w:tcPr>
            <w:tcW w:w="130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6: Adjournment</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 ordinary resolution, being the affirmative vote of the holders of a majority of</w:t>
            </w:r>
          </w:p>
        </w:tc>
      </w:tr>
      <w:tr>
        <w:trPr>
          <w:trHeight w:val="220"/>
        </w:trPr>
        <w:tc>
          <w:tcPr>
            <w:tcW w:w="1300" w:type="dxa"/>
            <w:vAlign w:val="bottom"/>
          </w:tcPr>
          <w:p>
            <w:pPr>
              <w:spacing w:after="0"/>
              <w:rPr>
                <w:sz w:val="19"/>
                <w:szCs w:val="19"/>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Class A and Class B ordinary shares, voting as a single class, represented in</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person or by proxy and entitled to vote at the annual general meeting and who</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 at the annual general meeting. The adjournment proposal is not conditioned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upon any other proposal. You may vote “FOR,” “AGAINST” or “ABSTAIN” on</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adjournment proposal. Brokerage firms do not have authority to vote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customers’ unvoted shares held by the firms in street name for the adjournment</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proposal. As a result, any shares not voted by a customer will be treated as a</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 non-vote. Abstentions and broker non-votes, if any, will not count as a</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 cast at the annual general meeting and will have no effect on the results of</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this vote, other than counting towards the quorum of the meeting.</w:t>
            </w:r>
          </w:p>
        </w:tc>
      </w:tr>
      <w:tr>
        <w:trPr>
          <w:trHeight w:val="486"/>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12</w:t>
            </w: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72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general meeting?</w:t>
      </w:r>
    </w:p>
    <w:p>
      <w:pPr>
        <w:spacing w:after="0" w:line="121" w:lineRule="exact"/>
        <w:rPr>
          <w:sz w:val="20"/>
          <w:szCs w:val="20"/>
          <w:color w:val="auto"/>
        </w:rPr>
      </w:pPr>
    </w:p>
    <w:p>
      <w:pPr>
        <w:ind w:left="300" w:right="319" w:firstLine="360"/>
        <w:spacing w:after="0" w:line="281" w:lineRule="auto"/>
        <w:rPr>
          <w:sz w:val="20"/>
          <w:szCs w:val="20"/>
          <w:color w:val="auto"/>
        </w:rPr>
      </w:pPr>
      <w:r>
        <w:rPr>
          <w:rFonts w:ascii="Times New Roman" w:cs="Times New Roman" w:eastAsia="Times New Roman" w:hAnsi="Times New Roman"/>
          <w:sz w:val="17"/>
          <w:szCs w:val="17"/>
          <w:color w:val="auto"/>
        </w:rPr>
        <w:t>The preliminary voting results will be announced at the annual general meeting, and we will publish preliminary, or final results if available, in a Current Report on Form 8-K within four business days of the annual general meeting. If final results are unavailable at the time we file the Form 8-K, then we will file an amended report on Form 8-K to disclose the final voting results within four business days after the final voting results are known.</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the costs of soliciting these proxies?</w:t>
      </w:r>
    </w:p>
    <w:p>
      <w:pPr>
        <w:spacing w:after="0" w:line="121" w:lineRule="exact"/>
        <w:rPr>
          <w:sz w:val="20"/>
          <w:szCs w:val="20"/>
          <w:color w:val="auto"/>
        </w:rPr>
      </w:pPr>
    </w:p>
    <w:p>
      <w:pPr>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constitutes a quorum for the annual general meeting?</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presence, in person or by proxy, of the holders of a majority of the issued and outstanding ordinary shares entitled to vote at the annual general meeting is necessary to constitute a quorum at the annual general meeting. Votes of shareholders of record who are present at the annual general meeting in person or by proxy, abstentions, and broker non-votes are counted for purposes of determining whether a quorum exists.</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We are pleased to offer two options for our 2025 annual general meeting: (1) viewing a live Webcast at www.virtualshareholdermeeting.com/PROK2025 or (2) attending in person. The annual general meeting will be held at 10:00 a.m., Eastern Time on [•], 2025 at 399 Boylston Street, Ste. 350, Boston, MA 02116. When you arrive at the meeting, signs will direct you to the appropriate meeting rooms. If you choose to view the Webcast, go to www.virtualshareholdermeeting.com/PROK2025 shortly before the meeting time, and follow the instructions for attending the Webcast. If you miss the annual general meeting, you can view a replay of the Webcast at www.proxyvote.com until [•], 2025. You need not attend the annual general meeting in order to vote.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Householding of Annual Disclosure Documents</w:t>
      </w:r>
    </w:p>
    <w:p>
      <w:pPr>
        <w:spacing w:after="0" w:line="121" w:lineRule="exact"/>
        <w:rPr>
          <w:sz w:val="20"/>
          <w:szCs w:val="20"/>
          <w:color w:val="auto"/>
        </w:rPr>
      </w:pPr>
    </w:p>
    <w:p>
      <w:pPr>
        <w:ind w:left="300" w:right="559" w:firstLine="360"/>
        <w:spacing w:after="0" w:line="256" w:lineRule="auto"/>
        <w:rPr>
          <w:sz w:val="20"/>
          <w:szCs w:val="20"/>
          <w:color w:val="auto"/>
        </w:rPr>
      </w:pPr>
      <w:r>
        <w:rPr>
          <w:rFonts w:ascii="Times New Roman" w:cs="Times New Roman" w:eastAsia="Times New Roman" w:hAnsi="Times New Roman"/>
          <w:sz w:val="18"/>
          <w:szCs w:val="18"/>
          <w:color w:val="auto"/>
        </w:rPr>
        <w:t>Some brokers or other nominee record holders may be sending you a single set of our proxy materials if multiple ProKidney’s shareholders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Shareholders who participate in householding will continue to have access to and utilize separate proxy voting instructions.</w:t>
      </w:r>
    </w:p>
    <w:p>
      <w:pPr>
        <w:spacing w:after="0" w:line="7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will promptly deliver a separate copy of our proxy materials to you if you write or call our corporate secretary at: 2000 Frontis Plaza Blvd, Suite 250, Winston-Salem, North Carolina 27103 or (336) 999-7019. If you want to receive your own set of our proxy materials in the future or, if you share an address with another shareholder and together both of you would like to receive only a single set of proxy materials, you should contact your broker or other nominee record holder directly or you may contact us at the above address and phone number.</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Electronic Delivery of Future Company Shareholder Communications</w:t>
      </w:r>
    </w:p>
    <w:p>
      <w:pPr>
        <w:spacing w:after="0" w:line="121"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Most shareholders can elect to view or receive copies of future proxy materials over the Internet instead of receiving paper copies in the mail.</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can choose this option and save us the cost of producing and mailing these documents by:</w:t>
      </w:r>
    </w:p>
    <w:p>
      <w:pPr>
        <w:spacing w:after="0" w:line="117"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instructions provided on your proxy card;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instructions provided when you vote over the Internet;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going to www.proxyvote.com and following the instructions provided.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56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3405" cy="78562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SUMMARY OF THE PROXY STATEMENT/PROSPECTUS</w:t>
      </w:r>
    </w:p>
    <w:p>
      <w:pPr>
        <w:spacing w:after="0" w:line="119" w:lineRule="exact"/>
        <w:rPr>
          <w:sz w:val="20"/>
          <w:szCs w:val="20"/>
          <w:color w:val="auto"/>
        </w:rPr>
      </w:pPr>
    </w:p>
    <w:p>
      <w:pPr>
        <w:ind w:left="320" w:right="3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proxy statement/prospectus and does not contain all of the information that is important to you. To better understand the proposals to be submitted for a vote at the annual general meeting, including the domestication, you should read this entire document carefully. This proxy statement/prospectus also includes forward-looking statements that involve risks and uncertainties. See “Special Note Regarding Forward-Looking Statements.”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ind w:left="320" w:right="339" w:firstLine="360"/>
        <w:spacing w:after="0" w:line="255" w:lineRule="auto"/>
        <w:rPr>
          <w:sz w:val="20"/>
          <w:szCs w:val="20"/>
          <w:color w:val="auto"/>
        </w:rPr>
      </w:pPr>
      <w:r>
        <w:rPr>
          <w:rFonts w:ascii="Times New Roman" w:cs="Times New Roman" w:eastAsia="Times New Roman" w:hAnsi="Times New Roman"/>
          <w:sz w:val="18"/>
          <w:szCs w:val="18"/>
          <w:color w:val="auto"/>
        </w:rPr>
        <w:t>Prior to July 11, 2022 (the “Closing Date”), we were a blank check company registered under the laws of the Cayman Islands and formed for the purpose of effecting a merger, share exchange, asset acquisition, share purchase, reorganization or similar business combination with one or more businesses. On July 11, 2022, we completed the business combination (the “Business Combination”) pursuant to the Business Combination Agreement dated January 18, 2022 (the “Business Combination Agreement”), that we entered into with PKLP. Upon the completion of the Business Combination, we changed our name to “ProKidney Corp.” and the business of PKLP became our business.</w:t>
      </w:r>
    </w:p>
    <w:p>
      <w:pPr>
        <w:spacing w:after="0" w:line="81" w:lineRule="exact"/>
        <w:rPr>
          <w:sz w:val="20"/>
          <w:szCs w:val="20"/>
          <w:color w:val="auto"/>
        </w:rPr>
      </w:pPr>
    </w:p>
    <w:p>
      <w:pPr>
        <w:ind w:left="320" w:right="339" w:firstLine="360"/>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with a transformative proprietary cell therapy platform that has the potential to treat multiple chronic kidney diseases using cells isolated from the patient intended for treatment. Our approach seeks to redefine the treatment of chronic kidney disease (“CKD”), shifting the emphasis away from management of kidney failure to the preservation of kidney function. Our lead product candidate, rilparencel, is designed to preserve kidney function in a CKD patient’s diseased kidneys. Rilparencel is a product that includes autologous Selected Renal Cells (“SRC”) prepared from a patient’s own (autologous) kidney cells. The SRC are formulated rilparencel for reinjection into the patient’s kidneys using a minimally invasive outpatient procedure that is repeatable, if necessary. Because rilparencel is a personalized product composed of cells prepared from a patient’s own kidney, there is no need for treatment with immunosuppressive therapies that are required during a patient’s lifetime when a patient receives a kidney transplant from another, allogeneic donor.</w:t>
      </w:r>
    </w:p>
    <w:p>
      <w:pPr>
        <w:spacing w:after="0" w:line="86" w:lineRule="exact"/>
        <w:rPr>
          <w:sz w:val="20"/>
          <w:szCs w:val="20"/>
          <w:color w:val="auto"/>
        </w:rPr>
      </w:pPr>
    </w:p>
    <w:p>
      <w:pPr>
        <w:ind w:left="320" w:right="299" w:firstLine="360"/>
        <w:spacing w:after="0" w:line="255" w:lineRule="auto"/>
        <w:rPr>
          <w:sz w:val="20"/>
          <w:szCs w:val="20"/>
          <w:color w:val="auto"/>
        </w:rPr>
      </w:pPr>
      <w:r>
        <w:rPr>
          <w:rFonts w:ascii="Times New Roman" w:cs="Times New Roman" w:eastAsia="Times New Roman" w:hAnsi="Times New Roman"/>
          <w:sz w:val="18"/>
          <w:szCs w:val="18"/>
          <w:color w:val="auto"/>
        </w:rPr>
        <w:t>We are currently conducting a Phase 3 clinical study and an ongoing Phase 2 clinical study for rilparencel in subjects with moderate to severe CKD and diabetes. Rilparencel has received regenerative medicine advanced therapy (“RMAT”) designation from the United States Food and Drug Administration (the “FDA”). We also completed a Phase 1 clinical trial for rilparencel in subjects with CKD due to congenital anomalies of the kidney and urinary tract for which the last subject visit occurred in January 2023 and the clinical study report was submitted to the FDA in December 2023. Rilparencel has, to date, been generally well tolerated by subjects with moderate to severe CKD in Phase 1 and 2 clinical testing.</w:t>
      </w:r>
    </w:p>
    <w:p>
      <w:pPr>
        <w:spacing w:after="0" w:line="81" w:lineRule="exact"/>
        <w:rPr>
          <w:sz w:val="20"/>
          <w:szCs w:val="20"/>
          <w:color w:val="auto"/>
        </w:rPr>
      </w:pPr>
    </w:p>
    <w:p>
      <w:pPr>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Our patented technology includes multiple breakthroughs in the manufacturing and medical delivery of cellular therapy products. Our technology works by expanding and selecting kidney cells of a patient in an attempt to preserve kidney function that is being lost due to chronic diseases. Our process begins when a small piece or biopsy of a patient’s diseased kidney is sent to our manufacturing facility. We are able to process cells taken from the biopsy and select specific cells with a reparative capacity. These SRC are formulated into a personalized product for reinjection into the damaged kidney(s). To date, clinical studies suggest that rilparencel has the capacity to, for a time, positively impact kidney function as reflected by stabilizing the estimated glomerular filtration rate (“eGFR”) or attenuating the rate of eGFR decline in patients with CKD and diabetes.</w:t>
      </w:r>
    </w:p>
    <w:p>
      <w:pPr>
        <w:spacing w:after="0" w:line="84" w:lineRule="exact"/>
        <w:rPr>
          <w:sz w:val="20"/>
          <w:szCs w:val="20"/>
          <w:color w:val="auto"/>
        </w:rPr>
      </w:pPr>
    </w:p>
    <w:p>
      <w:pPr>
        <w:ind w:left="320" w:right="459" w:firstLine="360"/>
        <w:spacing w:after="0" w:line="255" w:lineRule="auto"/>
        <w:rPr>
          <w:sz w:val="20"/>
          <w:szCs w:val="20"/>
          <w:color w:val="auto"/>
        </w:rPr>
      </w:pPr>
      <w:r>
        <w:rPr>
          <w:rFonts w:ascii="Times New Roman" w:cs="Times New Roman" w:eastAsia="Times New Roman" w:hAnsi="Times New Roman"/>
          <w:sz w:val="18"/>
          <w:szCs w:val="18"/>
          <w:color w:val="auto"/>
        </w:rPr>
        <w:t>We are initially pursuing the development of rilparencel in the United States for use in patients with moderate to severe CKD and type 2 diabetes. We estimate that approximately 36 million - 37 million adults, representing approximately 14% of the U.S. adult population, currently suffer from CKD. Chronic kidney disease is segmented into five CKD stages, from mild (CKD stage 1) to severe (CKD stage 5 or kidney failure). With respect to those patients with stage 3b or 4 CKD and diabetes, we estimate that approximately 1.2 million to 1.8 million patients could be eligible for treatment with rilparencel in the United States. The Phase 3 study includes other countries in North America, Latin America, and Asia Pacific.</w:t>
      </w:r>
    </w:p>
    <w:p>
      <w:pPr>
        <w:spacing w:after="0" w:line="81" w:lineRule="exact"/>
        <w:rPr>
          <w:sz w:val="20"/>
          <w:szCs w:val="20"/>
          <w:color w:val="auto"/>
        </w:rPr>
      </w:pPr>
    </w:p>
    <w:p>
      <w:pPr>
        <w:ind w:left="320" w:right="319" w:firstLine="360"/>
        <w:spacing w:after="0" w:line="281" w:lineRule="auto"/>
        <w:rPr>
          <w:sz w:val="20"/>
          <w:szCs w:val="20"/>
          <w:color w:val="auto"/>
        </w:rPr>
      </w:pPr>
      <w:r>
        <w:rPr>
          <w:rFonts w:ascii="Times New Roman" w:cs="Times New Roman" w:eastAsia="Times New Roman" w:hAnsi="Times New Roman"/>
          <w:sz w:val="17"/>
          <w:szCs w:val="17"/>
          <w:color w:val="auto"/>
        </w:rPr>
        <w:t>We currently operate a manufacturing facility that has been designed to comply with FDA and European Medicines Agency quality standards and to produce rilparencel treatments from biopsied material. Our manufacturing site, based in Winston-Salem, North Carolina, in the United States, has a potential capacity sufficient to supply our Phase 3 study as well as a potential commercial launch, should rilparencel receive regulatory approval.</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93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3405" cy="799338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459" w:firstLine="360"/>
        <w:spacing w:after="0" w:line="261" w:lineRule="auto"/>
        <w:rPr>
          <w:sz w:val="20"/>
          <w:szCs w:val="20"/>
          <w:color w:val="auto"/>
        </w:rPr>
      </w:pPr>
      <w:r>
        <w:rPr>
          <w:rFonts w:ascii="Times New Roman" w:cs="Times New Roman" w:eastAsia="Times New Roman" w:hAnsi="Times New Roman"/>
          <w:sz w:val="18"/>
          <w:szCs w:val="18"/>
          <w:color w:val="auto"/>
        </w:rPr>
        <w:t>The principal executive office of ProKidney is located at 2000 Frontis Plaza Blvd., Ste 250, Winston-Salem, NC 27103, and ProKidney’s telephone number is (336) 999-7019. Additional information about ProKidney and its subsidiaries is included in documents incorporated by reference into this proxy statement/prospectus. See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More Information and Incorporation by Reference</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Proposals to be put to the Annual Meeting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proposals to be put to the annual general meeting.</w:t>
      </w: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Domestication Proposal</w:t>
      </w:r>
    </w:p>
    <w:p>
      <w:pPr>
        <w:spacing w:after="0" w:line="119" w:lineRule="exact"/>
        <w:rPr>
          <w:sz w:val="20"/>
          <w:szCs w:val="20"/>
          <w:color w:val="auto"/>
        </w:rPr>
      </w:pPr>
    </w:p>
    <w:p>
      <w:pPr>
        <w:ind w:left="320" w:right="359" w:firstLine="360"/>
        <w:spacing w:after="0" w:line="254" w:lineRule="auto"/>
        <w:rPr>
          <w:sz w:val="20"/>
          <w:szCs w:val="20"/>
          <w:color w:val="auto"/>
        </w:rPr>
      </w:pPr>
      <w:r>
        <w:rPr>
          <w:rFonts w:ascii="Times New Roman" w:cs="Times New Roman" w:eastAsia="Times New Roman" w:hAnsi="Times New Roman"/>
          <w:sz w:val="18"/>
          <w:szCs w:val="18"/>
          <w:color w:val="auto"/>
        </w:rPr>
        <w:t>ProKidney is asking its shareholders to approve the domestication proposal. The Board has unanimously approved a change of ProKidney’s jurisdiction of incorporation from the Cayman Islands to the State of Delaware by deregistering as an exempted company in the Cayman Islands and continuing and domesticating as a corporation incorporated under the laws of the State of Delaware. To effect the domestication, upon approval of the domestication proposal and the new charter proposal, ProKidney will file an application of deregistration with the Cayman Islands Registrar of Companies, together with the necessary accompanying documents and fees, and will file the Proposed Charter and a Certificate of Corporate Domestication with the Secretary of State of the State of Delaware, pursuant to which ProKidney will be domesticated and continue as a Delaware corporation.</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 2025, there are [•] ordinary shares outstanding, comprised of [•] Class A ordinary shares and</w:t>
      </w:r>
    </w:p>
    <w:p>
      <w:pPr>
        <w:spacing w:after="0" w:line="27" w:lineRule="exact"/>
        <w:rPr>
          <w:sz w:val="20"/>
          <w:szCs w:val="20"/>
          <w:color w:val="auto"/>
        </w:rPr>
      </w:pPr>
    </w:p>
    <w:p>
      <w:pPr>
        <w:ind w:left="320" w:right="539" w:hanging="10"/>
        <w:spacing w:after="0" w:line="271" w:lineRule="auto"/>
        <w:tabs>
          <w:tab w:leader="none" w:pos="54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ordinary shares. At the effective time of the domestication, by virtue of the domestication and without any further action on the part of any holder thereof, (i) each Class A ordinary share issued and outstanding immediately prior to the effective time of the domestication will be automatically converted into one (1) share of Class A common stock, and (ii) each Class B ordinary share issued and outstanding immediately prior to the effective time of the domestication will be automatically converted into one (1) share of Class B common stock.</w:t>
      </w:r>
    </w:p>
    <w:p>
      <w:pPr>
        <w:spacing w:after="0" w:line="66" w:lineRule="exact"/>
        <w:rPr>
          <w:sz w:val="20"/>
          <w:szCs w:val="20"/>
          <w:color w:val="auto"/>
        </w:rPr>
      </w:pPr>
    </w:p>
    <w:p>
      <w:pPr>
        <w:ind w:left="320" w:right="319" w:firstLine="360"/>
        <w:spacing w:after="0" w:line="253" w:lineRule="auto"/>
        <w:rPr>
          <w:sz w:val="20"/>
          <w:szCs w:val="20"/>
          <w:color w:val="auto"/>
        </w:rPr>
      </w:pPr>
      <w:r>
        <w:rPr>
          <w:rFonts w:ascii="Times New Roman" w:cs="Times New Roman" w:eastAsia="Times New Roman" w:hAnsi="Times New Roman"/>
          <w:sz w:val="18"/>
          <w:szCs w:val="18"/>
          <w:color w:val="auto"/>
        </w:rPr>
        <w:t>The domestication proposal together with the new charter proposal, if approved, will approve a change of ProKidney’s jurisdiction of incorporation from the Cayman Islands to the State of Delaware. Accordingly, while ProKidney is currently governed by the Cayman Islands Companies Act, upon domestication, ProKidney Delaware will be governed by the DGCL. Accordingly, we urge shareholders to carefully consult the information set out below under “</w:t>
      </w:r>
      <w:r>
        <w:rPr>
          <w:rFonts w:ascii="Times New Roman" w:cs="Times New Roman" w:eastAsia="Times New Roman" w:hAnsi="Times New Roman"/>
          <w:sz w:val="18"/>
          <w:szCs w:val="18"/>
          <w:i w:val="1"/>
          <w:iCs w:val="1"/>
          <w:color w:val="auto"/>
        </w:rPr>
        <w:t>Comparison of Corporate Governance and Shareholder Rights</w:t>
      </w:r>
      <w:r>
        <w:rPr>
          <w:rFonts w:ascii="Times New Roman" w:cs="Times New Roman" w:eastAsia="Times New Roman" w:hAnsi="Times New Roman"/>
          <w:sz w:val="18"/>
          <w:szCs w:val="18"/>
          <w:color w:val="auto"/>
        </w:rPr>
        <w:t>.” Additionally, we note that in connection with the domestication proposal, ProKidney is requesting its shareholders to approve (i) the new charter proposal (discussed below) (with the approval of the domestication proposal being conditioned upon the new charter proposal also being approved) and (ii) the five non-binding, advisory charter proposals (discussed below) (with the approval of the domestication proposal or the new charter proposal not being conditioned upon any of the non-binding, advisory charter proposals being approved). </w:t>
      </w:r>
    </w:p>
    <w:p>
      <w:pPr>
        <w:spacing w:after="0" w:line="84" w:lineRule="exact"/>
        <w:rPr>
          <w:sz w:val="20"/>
          <w:szCs w:val="20"/>
          <w:color w:val="auto"/>
        </w:rPr>
      </w:pPr>
    </w:p>
    <w:p>
      <w:pPr>
        <w:ind w:left="320" w:right="599" w:firstLine="360"/>
        <w:spacing w:after="0" w:line="261" w:lineRule="auto"/>
        <w:rPr>
          <w:sz w:val="20"/>
          <w:szCs w:val="20"/>
          <w:color w:val="auto"/>
        </w:rPr>
      </w:pPr>
      <w:r>
        <w:rPr>
          <w:rFonts w:ascii="Times New Roman" w:cs="Times New Roman" w:eastAsia="Times New Roman" w:hAnsi="Times New Roman"/>
          <w:sz w:val="18"/>
          <w:szCs w:val="18"/>
          <w:color w:val="auto"/>
        </w:rPr>
        <w:t>We urge shareholders to carefully consult the section entitled “</w:t>
      </w:r>
      <w:r>
        <w:rPr>
          <w:rFonts w:ascii="Times New Roman" w:cs="Times New Roman" w:eastAsia="Times New Roman" w:hAnsi="Times New Roman"/>
          <w:sz w:val="18"/>
          <w:szCs w:val="18"/>
          <w:i w:val="1"/>
          <w:iCs w:val="1"/>
          <w:color w:val="auto"/>
        </w:rPr>
        <w:t>Proposal No. 3 Advisory Charter Proposals</w:t>
      </w:r>
      <w:r>
        <w:rPr>
          <w:rFonts w:ascii="Times New Roman" w:cs="Times New Roman" w:eastAsia="Times New Roman" w:hAnsi="Times New Roman"/>
          <w:sz w:val="18"/>
          <w:szCs w:val="18"/>
          <w:color w:val="auto"/>
        </w:rPr>
        <w:t>” (including the chart of material differences included therein) and the Proposed Organizational Documents of ProKidney Delaware, attached hereto as Annexes B and C. For additional information, see “</w:t>
      </w:r>
      <w:r>
        <w:rPr>
          <w:rFonts w:ascii="Times New Roman" w:cs="Times New Roman" w:eastAsia="Times New Roman" w:hAnsi="Times New Roman"/>
          <w:sz w:val="18"/>
          <w:szCs w:val="18"/>
          <w:i w:val="1"/>
          <w:iCs w:val="1"/>
          <w:color w:val="auto"/>
        </w:rPr>
        <w:t>Proposal No.1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Domestication Proposal</w:t>
      </w:r>
      <w:r>
        <w:rPr>
          <w:rFonts w:ascii="Times New Roman" w:cs="Times New Roman" w:eastAsia="Times New Roman" w:hAnsi="Times New Roman"/>
          <w:sz w:val="18"/>
          <w:szCs w:val="18"/>
          <w:color w:val="auto"/>
        </w:rPr>
        <w:t>” section of this proxy statement/prospectus.</w:t>
      </w:r>
    </w:p>
    <w:p>
      <w:pPr>
        <w:spacing w:after="0" w:line="74" w:lineRule="exact"/>
        <w:rPr>
          <w:sz w:val="20"/>
          <w:szCs w:val="20"/>
          <w:color w:val="auto"/>
        </w:rPr>
      </w:pPr>
    </w:p>
    <w:p>
      <w:pPr>
        <w:ind w:left="320" w:right="319" w:firstLine="360"/>
        <w:spacing w:after="0" w:line="252" w:lineRule="auto"/>
        <w:rPr>
          <w:sz w:val="20"/>
          <w:szCs w:val="20"/>
          <w:color w:val="auto"/>
        </w:rPr>
      </w:pPr>
      <w:r>
        <w:rPr>
          <w:rFonts w:ascii="Times New Roman" w:cs="Times New Roman" w:eastAsia="Times New Roman" w:hAnsi="Times New Roman"/>
          <w:sz w:val="18"/>
          <w:szCs w:val="18"/>
          <w:color w:val="auto"/>
        </w:rPr>
        <w:t>We conduct our operating business indirectly through PKLP, a limited partnership organized under the laws of Ireland of which we are a limited partner, and its subsidiaries. Certain Restructuring transactions are also intended to occur around the time of the domestication as follows: (i) prior to the domestication, PKLP will contribute substantially all of its assets to a newly formed subsidiary, ProKidney Holdings, and PKLP will then make a liquidating distribution of its limited liability company interests in ProKidney Holdings to its partners, including the Company, (ii) assuming the domestication proposal and the new charter proposal are approved, the domestication will be consummated, and (iii) following the domestication, ProKidney-KY, will undergo a series of transactions to move its assets to Delaware, which is expected to be structured in the form of a reregistration of ProKidney-KY to a Cayman Islands limited liability company and then the domestication of such Cayman Islands limited liability company to Delaware as a limited liability company expected to be named ProKidney IPCo, LLC. As a result of the consummation of the domestication and the other transactions involved in the Restructuring, ProKidney Delaware and the other former limited partners of PKLP will be members of ProKidney Holdings, and ProKidney Holdings will own all of the subsidiaries that conduct our business, including ProKidney IPCo. ProKidney is not required to and is not seeking approval of the Restructuring, other than approval of the domestication proposal and approval of the new charter proposal.</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81222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3405" cy="812228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The New Charter Proposal</w:t>
      </w:r>
    </w:p>
    <w:p>
      <w:pPr>
        <w:spacing w:after="0" w:line="119" w:lineRule="exact"/>
        <w:rPr>
          <w:sz w:val="20"/>
          <w:szCs w:val="20"/>
          <w:color w:val="auto"/>
        </w:rPr>
      </w:pPr>
    </w:p>
    <w:p>
      <w:pPr>
        <w:ind w:left="1320" w:right="1420" w:firstLine="360"/>
        <w:spacing w:after="0" w:line="258" w:lineRule="auto"/>
        <w:rPr>
          <w:sz w:val="20"/>
          <w:szCs w:val="20"/>
          <w:color w:val="auto"/>
        </w:rPr>
      </w:pPr>
      <w:r>
        <w:rPr>
          <w:rFonts w:ascii="Times New Roman" w:cs="Times New Roman" w:eastAsia="Times New Roman" w:hAnsi="Times New Roman"/>
          <w:sz w:val="18"/>
          <w:szCs w:val="18"/>
          <w:color w:val="auto"/>
        </w:rPr>
        <w:t>ProKidney is asking its shareholders to approve the new charter proposal, in connection with and conditioned on the domestication proposal. If the domestication proposal is approved and the new charter proposal is approved, ProKidney will domesticate to the State of Delaware and in connection therewith alter its Existing Organizational Documents under the Cayman Islands Companies Act by replacing in full with the Proposed Charter and Proposed Bylaws of ProKidney Delaware, in each case, under the DGCL.</w:t>
      </w:r>
    </w:p>
    <w:p>
      <w:pPr>
        <w:spacing w:after="0" w:line="75" w:lineRule="exact"/>
        <w:rPr>
          <w:sz w:val="20"/>
          <w:szCs w:val="20"/>
          <w:color w:val="auto"/>
        </w:rPr>
      </w:pPr>
    </w:p>
    <w:p>
      <w:pPr>
        <w:ind w:left="1320" w:right="1460" w:firstLine="360"/>
        <w:spacing w:after="0" w:line="255" w:lineRule="auto"/>
        <w:rPr>
          <w:sz w:val="20"/>
          <w:szCs w:val="20"/>
          <w:color w:val="auto"/>
        </w:rPr>
      </w:pPr>
      <w:r>
        <w:rPr>
          <w:rFonts w:ascii="Times New Roman" w:cs="Times New Roman" w:eastAsia="Times New Roman" w:hAnsi="Times New Roman"/>
          <w:sz w:val="18"/>
          <w:szCs w:val="18"/>
          <w:color w:val="auto"/>
        </w:rPr>
        <w:t>The Proposed Organizational Documents differ in certain material respects from the Existing Organizational Documents, and we urge shareholders to carefully consult the information set out in the Section “</w:t>
      </w:r>
      <w:r>
        <w:rPr>
          <w:rFonts w:ascii="Times New Roman" w:cs="Times New Roman" w:eastAsia="Times New Roman" w:hAnsi="Times New Roman"/>
          <w:sz w:val="18"/>
          <w:szCs w:val="18"/>
          <w:i w:val="1"/>
          <w:iCs w:val="1"/>
          <w:color w:val="auto"/>
        </w:rPr>
        <w:t>Proposal No.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Advisory Charter Proposals</w:t>
      </w:r>
      <w:r>
        <w:rPr>
          <w:rFonts w:ascii="Times New Roman" w:cs="Times New Roman" w:eastAsia="Times New Roman" w:hAnsi="Times New Roman"/>
          <w:sz w:val="18"/>
          <w:szCs w:val="18"/>
          <w:color w:val="auto"/>
        </w:rPr>
        <w:t>” (including the chart of material differences included therein) and the full text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Proposed Charter of ProKidney Delaware, attached hereto as Annex B. Approvals of both the domestication proposal and the new charter proposal are required to effect the domestication, and the approval of the new charter proposal is conditioned upon the domestication proposal also being approved. If the domestication is not effected, then there will be no changes to the Existing Organizational Documents.</w:t>
      </w:r>
    </w:p>
    <w:p>
      <w:pPr>
        <w:spacing w:after="0" w:line="10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The Advisory Charter Proposals</w:t>
      </w:r>
    </w:p>
    <w:p>
      <w:pPr>
        <w:spacing w:after="0" w:line="119" w:lineRule="exact"/>
        <w:rPr>
          <w:sz w:val="20"/>
          <w:szCs w:val="20"/>
          <w:color w:val="auto"/>
        </w:rPr>
      </w:pPr>
    </w:p>
    <w:p>
      <w:pPr>
        <w:ind w:left="1320" w:right="1280" w:firstLine="360"/>
        <w:spacing w:after="0" w:line="256" w:lineRule="auto"/>
        <w:rPr>
          <w:sz w:val="20"/>
          <w:szCs w:val="20"/>
          <w:color w:val="auto"/>
        </w:rPr>
      </w:pPr>
      <w:r>
        <w:rPr>
          <w:rFonts w:ascii="Times New Roman" w:cs="Times New Roman" w:eastAsia="Times New Roman" w:hAnsi="Times New Roman"/>
          <w:sz w:val="18"/>
          <w:szCs w:val="18"/>
          <w:color w:val="auto"/>
        </w:rPr>
        <w:t>If the domestication proposal and the new charter proposal are approved and the domestication is to be effected, ProKidney will domesticate to the State of Delaware and in connection therewith alter its Existing Organizational Documents under the Cayman Islands Companies Act by replacing in full with the Proposed Charter and Proposed Bylaws of ProKidney Delaware, in each case, under the DGCL. The approval of the domestication proposal or the new charter proposal is not conditioned upon any of the five non-binding, advisory charter proposals being approved.</w:t>
      </w:r>
    </w:p>
    <w:p>
      <w:pPr>
        <w:spacing w:after="0" w:line="79" w:lineRule="exact"/>
        <w:rPr>
          <w:sz w:val="20"/>
          <w:szCs w:val="20"/>
          <w:color w:val="auto"/>
        </w:rPr>
      </w:pPr>
    </w:p>
    <w:p>
      <w:pPr>
        <w:ind w:left="1320" w:right="1320" w:firstLine="360"/>
        <w:spacing w:after="0" w:line="261" w:lineRule="auto"/>
        <w:rPr>
          <w:sz w:val="20"/>
          <w:szCs w:val="20"/>
          <w:color w:val="auto"/>
        </w:rPr>
      </w:pPr>
      <w:r>
        <w:rPr>
          <w:rFonts w:ascii="Times New Roman" w:cs="Times New Roman" w:eastAsia="Times New Roman" w:hAnsi="Times New Roman"/>
          <w:sz w:val="18"/>
          <w:szCs w:val="18"/>
          <w:color w:val="auto"/>
        </w:rPr>
        <w:t>The Proposed Charter differs in certain material respects from the Existing Organizational Documents, and we urge shareholders to carefully consult the information set out in “</w:t>
      </w:r>
      <w:r>
        <w:rPr>
          <w:rFonts w:ascii="Times New Roman" w:cs="Times New Roman" w:eastAsia="Times New Roman" w:hAnsi="Times New Roman"/>
          <w:sz w:val="18"/>
          <w:szCs w:val="18"/>
          <w:i w:val="1"/>
          <w:iCs w:val="1"/>
          <w:color w:val="auto"/>
        </w:rPr>
        <w:t>Proposal No. 3 Advisory Charter Proposals</w:t>
      </w:r>
      <w:r>
        <w:rPr>
          <w:rFonts w:ascii="Times New Roman" w:cs="Times New Roman" w:eastAsia="Times New Roman" w:hAnsi="Times New Roman"/>
          <w:sz w:val="18"/>
          <w:szCs w:val="18"/>
          <w:color w:val="auto"/>
        </w:rPr>
        <w:t>” (including the chart of material differences included therein) and the full text of the Proposed Organizational Charter of ProKidney Delaware, attached hereto as Annex B.</w:t>
      </w:r>
    </w:p>
    <w:p>
      <w:pPr>
        <w:spacing w:after="0" w:line="72" w:lineRule="exact"/>
        <w:rPr>
          <w:sz w:val="20"/>
          <w:szCs w:val="20"/>
          <w:color w:val="auto"/>
        </w:rPr>
      </w:pPr>
    </w:p>
    <w:p>
      <w:pPr>
        <w:ind w:left="1320" w:right="1360" w:firstLine="360"/>
        <w:spacing w:after="0" w:line="261" w:lineRule="auto"/>
        <w:rPr>
          <w:sz w:val="20"/>
          <w:szCs w:val="20"/>
          <w:color w:val="auto"/>
        </w:rPr>
      </w:pPr>
      <w:r>
        <w:rPr>
          <w:rFonts w:ascii="Times New Roman" w:cs="Times New Roman" w:eastAsia="Times New Roman" w:hAnsi="Times New Roman"/>
          <w:sz w:val="18"/>
          <w:szCs w:val="18"/>
          <w:color w:val="auto"/>
        </w:rPr>
        <w:t>ProKidney’s shareholders are asked to consider and vote upon and to approve five non-binding, advisory proposals in connection with the new charter proposal. A brief summary of each of the advisory charter proposals is set forth below. These summaries are qualified in their entirety by reference to the complete text of the Proposed Charter of ProKidney Delaware.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8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Existing Organization Documents</w:t>
            </w:r>
          </w:p>
        </w:tc>
        <w:tc>
          <w:tcPr>
            <w:tcW w:w="292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Proposed Charter</w:t>
            </w:r>
          </w:p>
        </w:tc>
        <w:tc>
          <w:tcPr>
            <w:tcW w:w="1040" w:type="dxa"/>
            <w:vAlign w:val="bottom"/>
          </w:tcPr>
          <w:p>
            <w:pPr>
              <w:spacing w:after="0"/>
              <w:rPr>
                <w:sz w:val="16"/>
                <w:szCs w:val="16"/>
                <w:color w:val="auto"/>
              </w:rPr>
            </w:pPr>
          </w:p>
        </w:tc>
      </w:tr>
      <w:tr>
        <w:trPr>
          <w:trHeight w:val="205"/>
        </w:trPr>
        <w:tc>
          <w:tcPr>
            <w:tcW w:w="1080" w:type="dxa"/>
            <w:vAlign w:val="bottom"/>
          </w:tcPr>
          <w:p>
            <w:pPr>
              <w:spacing w:after="0"/>
              <w:rPr>
                <w:sz w:val="17"/>
                <w:szCs w:val="17"/>
                <w:color w:val="auto"/>
              </w:rPr>
            </w:pPr>
          </w:p>
        </w:tc>
        <w:tc>
          <w:tcPr>
            <w:tcW w:w="31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b w:val="1"/>
                <w:bCs w:val="1"/>
                <w:color w:val="auto"/>
              </w:rPr>
              <w:t>Exclusive Forum</w:t>
            </w:r>
          </w:p>
        </w:tc>
        <w:tc>
          <w:tcPr>
            <w:tcW w:w="26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The Existing Organizational</w:t>
            </w:r>
          </w:p>
        </w:tc>
        <w:tc>
          <w:tcPr>
            <w:tcW w:w="220" w:type="dxa"/>
            <w:vAlign w:val="bottom"/>
          </w:tcPr>
          <w:p>
            <w:pPr>
              <w:spacing w:after="0"/>
              <w:rPr>
                <w:sz w:val="17"/>
                <w:szCs w:val="17"/>
                <w:color w:val="auto"/>
              </w:rPr>
            </w:pPr>
          </w:p>
        </w:tc>
        <w:tc>
          <w:tcPr>
            <w:tcW w:w="26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The Proposed Charter adopts the</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4"/>
        </w:trPr>
        <w:tc>
          <w:tcPr>
            <w:tcW w:w="1080" w:type="dxa"/>
            <w:vAlign w:val="bottom"/>
          </w:tcPr>
          <w:p>
            <w:pPr>
              <w:spacing w:after="0"/>
              <w:rPr>
                <w:sz w:val="18"/>
                <w:szCs w:val="18"/>
                <w:color w:val="auto"/>
              </w:rPr>
            </w:pPr>
          </w:p>
        </w:tc>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Documents do not contain a</w:t>
            </w: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and federal courts in the State</w:t>
            </w:r>
          </w:p>
        </w:tc>
        <w:tc>
          <w:tcPr>
            <w:tcW w:w="1040" w:type="dxa"/>
            <w:vAlign w:val="bottom"/>
          </w:tcPr>
          <w:p>
            <w:pPr>
              <w:spacing w:after="0"/>
              <w:rPr>
                <w:sz w:val="18"/>
                <w:szCs w:val="18"/>
                <w:color w:val="auto"/>
              </w:rPr>
            </w:pPr>
          </w:p>
        </w:tc>
      </w:tr>
      <w:tr>
        <w:trPr>
          <w:trHeight w:val="218"/>
        </w:trPr>
        <w:tc>
          <w:tcPr>
            <w:tcW w:w="1080" w:type="dxa"/>
            <w:vAlign w:val="bottom"/>
          </w:tcPr>
          <w:p>
            <w:pPr>
              <w:spacing w:after="0"/>
              <w:rPr>
                <w:sz w:val="18"/>
                <w:szCs w:val="18"/>
                <w:color w:val="auto"/>
              </w:rPr>
            </w:pPr>
          </w:p>
        </w:tc>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(Advisory charter proposal A)</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adopting an exclusive</w:t>
            </w: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Delaware as the exclusive forum</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forum for certain shareholder</w:t>
            </w: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certain stockholder litigation.</w:t>
            </w:r>
          </w:p>
        </w:tc>
        <w:tc>
          <w:tcPr>
            <w:tcW w:w="1040" w:type="dxa"/>
            <w:vAlign w:val="bottom"/>
          </w:tcPr>
          <w:p>
            <w:pPr>
              <w:spacing w:after="0"/>
              <w:rPr>
                <w:sz w:val="18"/>
                <w:szCs w:val="18"/>
                <w:color w:val="auto"/>
              </w:rPr>
            </w:pPr>
          </w:p>
        </w:tc>
      </w:tr>
      <w:tr>
        <w:trPr>
          <w:trHeight w:val="214"/>
        </w:trPr>
        <w:tc>
          <w:tcPr>
            <w:tcW w:w="10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litigation.</w:t>
            </w: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See Article 12 of the Proposed</w:t>
            </w:r>
          </w:p>
        </w:tc>
        <w:tc>
          <w:tcPr>
            <w:tcW w:w="1040" w:type="dxa"/>
            <w:vAlign w:val="bottom"/>
          </w:tcPr>
          <w:p>
            <w:pPr>
              <w:spacing w:after="0"/>
              <w:rPr>
                <w:sz w:val="18"/>
                <w:szCs w:val="18"/>
                <w:color w:val="auto"/>
              </w:rPr>
            </w:pPr>
          </w:p>
        </w:tc>
      </w:tr>
      <w:tr>
        <w:trPr>
          <w:trHeight w:val="236"/>
        </w:trPr>
        <w:tc>
          <w:tcPr>
            <w:tcW w:w="10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Charter.</w:t>
            </w:r>
          </w:p>
        </w:tc>
        <w:tc>
          <w:tcPr>
            <w:tcW w:w="1040" w:type="dxa"/>
            <w:vAlign w:val="bottom"/>
          </w:tcPr>
          <w:p>
            <w:pPr>
              <w:spacing w:after="0"/>
              <w:rPr>
                <w:sz w:val="20"/>
                <w:szCs w:val="20"/>
                <w:color w:val="auto"/>
              </w:rPr>
            </w:pPr>
          </w:p>
        </w:tc>
      </w:tr>
      <w:tr>
        <w:trPr>
          <w:trHeight w:val="410"/>
        </w:trPr>
        <w:tc>
          <w:tcPr>
            <w:tcW w:w="1080" w:type="dxa"/>
            <w:vAlign w:val="bottom"/>
          </w:tcPr>
          <w:p>
            <w:pPr>
              <w:spacing w:after="0"/>
              <w:rPr>
                <w:sz w:val="24"/>
                <w:szCs w:val="24"/>
                <w:color w:val="auto"/>
              </w:rPr>
            </w:pPr>
          </w:p>
        </w:tc>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Waiver of Corporate</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While the Existing Organizational</w:t>
            </w: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Proposed Charter, the</w:t>
            </w:r>
          </w:p>
        </w:tc>
        <w:tc>
          <w:tcPr>
            <w:tcW w:w="1040" w:type="dxa"/>
            <w:vAlign w:val="bottom"/>
          </w:tcPr>
          <w:p>
            <w:pPr>
              <w:spacing w:after="0"/>
              <w:rPr>
                <w:sz w:val="24"/>
                <w:szCs w:val="24"/>
                <w:color w:val="auto"/>
              </w:rPr>
            </w:pPr>
          </w:p>
        </w:tc>
      </w:tr>
      <w:tr>
        <w:trPr>
          <w:trHeight w:val="220"/>
        </w:trPr>
        <w:tc>
          <w:tcPr>
            <w:tcW w:w="108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Opportunities</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Documents do provide an explicit</w:t>
            </w: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 renounces any interest</w:t>
            </w:r>
          </w:p>
        </w:tc>
        <w:tc>
          <w:tcPr>
            <w:tcW w:w="1040" w:type="dxa"/>
            <w:vAlign w:val="bottom"/>
          </w:tcPr>
          <w:p>
            <w:pPr>
              <w:spacing w:after="0"/>
              <w:rPr>
                <w:sz w:val="19"/>
                <w:szCs w:val="19"/>
                <w:color w:val="auto"/>
              </w:rPr>
            </w:pPr>
          </w:p>
        </w:tc>
      </w:tr>
      <w:tr>
        <w:trPr>
          <w:trHeight w:val="214"/>
        </w:trPr>
        <w:tc>
          <w:tcPr>
            <w:tcW w:w="1080" w:type="dxa"/>
            <w:vAlign w:val="bottom"/>
          </w:tcPr>
          <w:p>
            <w:pPr>
              <w:spacing w:after="0"/>
              <w:rPr>
                <w:sz w:val="18"/>
                <w:szCs w:val="18"/>
                <w:color w:val="auto"/>
              </w:rPr>
            </w:pPr>
          </w:p>
        </w:tc>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waiver of corporate opportunities for</w:t>
            </w: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expectancy of ProKidney</w:t>
            </w:r>
          </w:p>
        </w:tc>
        <w:tc>
          <w:tcPr>
            <w:tcW w:w="1040" w:type="dxa"/>
            <w:vAlign w:val="bottom"/>
          </w:tcPr>
          <w:p>
            <w:pPr>
              <w:spacing w:after="0"/>
              <w:rPr>
                <w:sz w:val="18"/>
                <w:szCs w:val="18"/>
                <w:color w:val="auto"/>
              </w:rPr>
            </w:pPr>
          </w:p>
        </w:tc>
      </w:tr>
      <w:tr>
        <w:trPr>
          <w:trHeight w:val="218"/>
        </w:trPr>
        <w:tc>
          <w:tcPr>
            <w:tcW w:w="1080" w:type="dxa"/>
            <w:vAlign w:val="bottom"/>
          </w:tcPr>
          <w:p>
            <w:pPr>
              <w:spacing w:after="0"/>
              <w:rPr>
                <w:sz w:val="18"/>
                <w:szCs w:val="18"/>
                <w:color w:val="auto"/>
              </w:rPr>
            </w:pPr>
          </w:p>
        </w:tc>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(Advisory charter proposal A)</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they do not provide an</w:t>
            </w: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in, or in being offered an</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explicit waiver of corporate</w:t>
            </w: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opportunity to participate in, certain</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opportunities for ProKidney or its</w:t>
            </w: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opportunities, subject to</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employees.</w:t>
            </w: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exceptions.</w:t>
            </w:r>
          </w:p>
        </w:tc>
        <w:tc>
          <w:tcPr>
            <w:tcW w:w="1040" w:type="dxa"/>
            <w:vAlign w:val="bottom"/>
          </w:tcPr>
          <w:p>
            <w:pPr>
              <w:spacing w:after="0"/>
              <w:rPr>
                <w:sz w:val="18"/>
                <w:szCs w:val="18"/>
                <w:color w:val="auto"/>
              </w:rPr>
            </w:pPr>
          </w:p>
        </w:tc>
      </w:tr>
      <w:tr>
        <w:trPr>
          <w:trHeight w:val="214"/>
        </w:trPr>
        <w:tc>
          <w:tcPr>
            <w:tcW w:w="10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See Article 15 of the Proposed</w:t>
            </w:r>
          </w:p>
        </w:tc>
        <w:tc>
          <w:tcPr>
            <w:tcW w:w="1040" w:type="dxa"/>
            <w:vAlign w:val="bottom"/>
          </w:tcPr>
          <w:p>
            <w:pPr>
              <w:spacing w:after="0"/>
              <w:rPr>
                <w:sz w:val="18"/>
                <w:szCs w:val="18"/>
                <w:color w:val="auto"/>
              </w:rPr>
            </w:pPr>
          </w:p>
        </w:tc>
      </w:tr>
      <w:tr>
        <w:trPr>
          <w:trHeight w:val="236"/>
        </w:trPr>
        <w:tc>
          <w:tcPr>
            <w:tcW w:w="10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Charter.</w:t>
            </w:r>
          </w:p>
        </w:tc>
        <w:tc>
          <w:tcPr>
            <w:tcW w:w="1040" w:type="dxa"/>
            <w:vAlign w:val="bottom"/>
          </w:tcPr>
          <w:p>
            <w:pPr>
              <w:spacing w:after="0"/>
              <w:rPr>
                <w:sz w:val="20"/>
                <w:szCs w:val="20"/>
                <w:color w:val="auto"/>
              </w:rPr>
            </w:pPr>
          </w:p>
        </w:tc>
      </w:tr>
      <w:tr>
        <w:trPr>
          <w:trHeight w:val="414"/>
        </w:trPr>
        <w:tc>
          <w:tcPr>
            <w:tcW w:w="1080" w:type="dxa"/>
            <w:vAlign w:val="bottom"/>
          </w:tcPr>
          <w:p>
            <w:pPr>
              <w:spacing w:after="0"/>
              <w:rPr>
                <w:sz w:val="24"/>
                <w:szCs w:val="24"/>
                <w:color w:val="auto"/>
              </w:rPr>
            </w:pPr>
          </w:p>
        </w:tc>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Section 242(b)(2) of the DGCL</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Existing Organizational</w:t>
            </w: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Proposed Charter provides that,</w:t>
            </w:r>
          </w:p>
        </w:tc>
        <w:tc>
          <w:tcPr>
            <w:tcW w:w="1040" w:type="dxa"/>
            <w:vAlign w:val="bottom"/>
          </w:tcPr>
          <w:p>
            <w:pPr>
              <w:spacing w:after="0"/>
              <w:rPr>
                <w:sz w:val="24"/>
                <w:szCs w:val="24"/>
                <w:color w:val="auto"/>
              </w:rPr>
            </w:pPr>
          </w:p>
        </w:tc>
      </w:tr>
      <w:tr>
        <w:trPr>
          <w:trHeight w:val="214"/>
        </w:trPr>
        <w:tc>
          <w:tcPr>
            <w:tcW w:w="1080" w:type="dxa"/>
            <w:vAlign w:val="bottom"/>
          </w:tcPr>
          <w:p>
            <w:pPr>
              <w:spacing w:after="0"/>
              <w:rPr>
                <w:sz w:val="18"/>
                <w:szCs w:val="18"/>
                <w:color w:val="auto"/>
              </w:rPr>
            </w:pPr>
          </w:p>
        </w:tc>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Documents provide that</w:t>
            </w: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subject to the rights of the holders of</w:t>
            </w:r>
          </w:p>
        </w:tc>
        <w:tc>
          <w:tcPr>
            <w:tcW w:w="1040" w:type="dxa"/>
            <w:vAlign w:val="bottom"/>
          </w:tcPr>
          <w:p>
            <w:pPr>
              <w:spacing w:after="0"/>
              <w:rPr>
                <w:sz w:val="18"/>
                <w:szCs w:val="18"/>
                <w:color w:val="auto"/>
              </w:rPr>
            </w:pPr>
          </w:p>
        </w:tc>
      </w:tr>
      <w:tr>
        <w:trPr>
          <w:trHeight w:val="218"/>
        </w:trPr>
        <w:tc>
          <w:tcPr>
            <w:tcW w:w="1080" w:type="dxa"/>
            <w:vAlign w:val="bottom"/>
          </w:tcPr>
          <w:p>
            <w:pPr>
              <w:spacing w:after="0"/>
              <w:rPr>
                <w:sz w:val="18"/>
                <w:szCs w:val="18"/>
                <w:color w:val="auto"/>
              </w:rPr>
            </w:pPr>
          </w:p>
        </w:tc>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(Advisory charter proposal B)</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 ProKidney may increase its share</w:t>
            </w: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one or more series of preferred</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by an ordinary</w:t>
            </w: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then outstanding,</w:t>
            </w:r>
          </w:p>
        </w:tc>
        <w:tc>
          <w:tcPr>
            <w:tcW w:w="1040" w:type="dxa"/>
            <w:vAlign w:val="bottom"/>
          </w:tcPr>
          <w:p>
            <w:pPr>
              <w:spacing w:after="0"/>
              <w:rPr>
                <w:sz w:val="20"/>
                <w:szCs w:val="20"/>
                <w:color w:val="auto"/>
              </w:rPr>
            </w:pPr>
          </w:p>
        </w:tc>
      </w:tr>
      <w:tr>
        <w:trPr>
          <w:trHeight w:val="267"/>
        </w:trPr>
        <w:tc>
          <w:tcPr>
            <w:tcW w:w="1080" w:type="dxa"/>
            <w:vAlign w:val="bottom"/>
          </w:tcPr>
          <w:p>
            <w:pPr>
              <w:spacing w:after="0"/>
              <w:rPr>
                <w:sz w:val="23"/>
                <w:szCs w:val="23"/>
                <w:color w:val="auto"/>
              </w:rPr>
            </w:pPr>
          </w:p>
        </w:tc>
        <w:tc>
          <w:tcPr>
            <w:tcW w:w="310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Pr>
          <w:p>
            <w:pPr>
              <w:spacing w:after="0"/>
              <w:rPr>
                <w:sz w:val="23"/>
                <w:szCs w:val="23"/>
                <w:color w:val="auto"/>
              </w:rPr>
            </w:pPr>
          </w:p>
        </w:tc>
      </w:tr>
      <w:tr>
        <w:trPr>
          <w:trHeight w:val="429"/>
        </w:trPr>
        <w:tc>
          <w:tcPr>
            <w:tcW w:w="10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24" w:name="page25"/>
    <w:bookmarkEnd w:id="2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7019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3405" cy="770191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right"/>
        <w:ind w:right="1079"/>
        <w:spacing w:after="0"/>
        <w:tabs>
          <w:tab w:leader="none" w:pos="1080" w:val="left"/>
        </w:tabs>
        <w:rPr>
          <w:sz w:val="20"/>
          <w:szCs w:val="20"/>
          <w:color w:val="auto"/>
        </w:rPr>
      </w:pPr>
      <w:r>
        <w:rPr>
          <w:rFonts w:ascii="Times New Roman" w:cs="Times New Roman" w:eastAsia="Times New Roman" w:hAnsi="Times New Roman"/>
          <w:sz w:val="14"/>
          <w:szCs w:val="14"/>
          <w:b w:val="1"/>
          <w:bCs w:val="1"/>
          <w:color w:val="auto"/>
        </w:rPr>
        <w:t>Existing Organization Documents</w:t>
      </w:r>
      <w:r>
        <w:rPr>
          <w:sz w:val="20"/>
          <w:szCs w:val="20"/>
          <w:color w:val="auto"/>
        </w:rPr>
        <w:tab/>
      </w:r>
      <w:r>
        <w:rPr>
          <w:rFonts w:ascii="Times New Roman" w:cs="Times New Roman" w:eastAsia="Times New Roman" w:hAnsi="Times New Roman"/>
          <w:sz w:val="14"/>
          <w:szCs w:val="14"/>
          <w:b w:val="1"/>
          <w:bCs w:val="1"/>
          <w:color w:val="auto"/>
        </w:rPr>
        <w:t>Proposed Charter</w:t>
      </w:r>
    </w:p>
    <w:p>
      <w:pPr>
        <w:sectPr>
          <w:pgSz w:w="11900" w:h="16838" w:orient="portrait"/>
          <w:cols w:equalWidth="0" w:num="1">
            <w:col w:w="9019"/>
          </w:cols>
          <w:pgMar w:left="1440" w:top="263" w:right="1440" w:bottom="1440" w:gutter="0" w:footer="0" w:header="0"/>
        </w:sectPr>
      </w:pPr>
    </w:p>
    <w:p>
      <w:pPr>
        <w:spacing w:after="0" w:line="2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2860" w:type="dxa"/>
            <w:vAlign w:val="bottom"/>
          </w:tcPr>
          <w:p>
            <w:pPr>
              <w:spacing w:after="0"/>
              <w:rPr>
                <w:sz w:val="17"/>
                <w:szCs w:val="17"/>
                <w:color w:val="auto"/>
              </w:rPr>
            </w:pPr>
          </w:p>
        </w:tc>
        <w:tc>
          <w:tcPr>
            <w:tcW w:w="26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resolution, being a resolution passed</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by the holders of not less than a</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simple majority of the Class A and</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 voting as a</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w w:val="99"/>
              </w:rPr>
              <w:t>single class, represented in person or</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w w:val="99"/>
              </w:rPr>
              <w:t>by proxy and entitled to vote thereon</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w w:val="99"/>
              </w:rPr>
              <w:t>and who vote at the general meeting,</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or by unanimous written resolution</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and (ii) ProKidney may reduce its</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 by a special resolution,</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being the affirmative vote of the</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holders of at least two-thirds of the</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w w:val="99"/>
              </w:rPr>
              <w:t>Class A and Class B ordinary shares,</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voting as a single class, represented</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in person or by proxy and entitled to</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vote at the general meeting and who</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vote at the general meeting, or by</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unanimous written resolution.</w:t>
            </w:r>
          </w:p>
        </w:tc>
      </w:tr>
      <w:tr>
        <w:trPr>
          <w:trHeight w:val="214"/>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See Articles 20.1 and 20.3 of the</w:t>
            </w:r>
          </w:p>
        </w:tc>
      </w:tr>
      <w:tr>
        <w:trPr>
          <w:trHeight w:val="236"/>
        </w:trPr>
        <w:tc>
          <w:tcPr>
            <w:tcW w:w="286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Existing Organizational Documents.</w:t>
            </w:r>
          </w:p>
        </w:tc>
      </w:tr>
      <w:tr>
        <w:trPr>
          <w:trHeight w:val="414"/>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Action by Written Consent</w:t>
            </w: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The Existing Organizational</w:t>
            </w:r>
          </w:p>
        </w:tc>
      </w:tr>
      <w:tr>
        <w:trPr>
          <w:trHeight w:val="21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Documents provide that a resolution</w:t>
            </w:r>
          </w:p>
        </w:tc>
      </w:tr>
      <w:tr>
        <w:trPr>
          <w:trHeight w:val="218"/>
        </w:trPr>
        <w:tc>
          <w:tcPr>
            <w:tcW w:w="2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(Advisory charter proposal C)</w:t>
            </w: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in writing signed by all the</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entitled to vote at a</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w w:val="99"/>
              </w:rPr>
              <w:t>general meeting shall be as valid and</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effective as if the same had been</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passed at a duly convened and held</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w:t>
            </w:r>
          </w:p>
        </w:tc>
      </w:tr>
      <w:tr>
        <w:trPr>
          <w:trHeight w:val="214"/>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See Article 24.3 of the Existing</w:t>
            </w:r>
          </w:p>
        </w:tc>
      </w:tr>
      <w:tr>
        <w:trPr>
          <w:trHeight w:val="236"/>
        </w:trPr>
        <w:tc>
          <w:tcPr>
            <w:tcW w:w="286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Organizational Documents.</w:t>
            </w:r>
          </w:p>
        </w:tc>
      </w:tr>
    </w:tbl>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299"/>
        <w:spacing w:after="0" w:line="251" w:lineRule="auto"/>
        <w:rPr>
          <w:sz w:val="20"/>
          <w:szCs w:val="20"/>
          <w:color w:val="auto"/>
        </w:rPr>
      </w:pPr>
      <w:r>
        <w:rPr>
          <w:rFonts w:ascii="Times New Roman" w:cs="Times New Roman" w:eastAsia="Times New Roman" w:hAnsi="Times New Roman"/>
          <w:sz w:val="18"/>
          <w:szCs w:val="18"/>
          <w:color w:val="auto"/>
        </w:rPr>
        <w:t>the number of authorized shares of any of the common stock, Class A common stock, Class B common stock or the preferred stock may be increased or decreased, in each case by the affirmative vote of the holders of a majority of the total voting power of the outstanding shares of capital stock of ProKidney Delaware entitled to vote thereon, voting together as a single class, irrespective of the provisions of Section 242(b)(2) of the DGCL, and no vote of the holders of any class of the common stock, Class A common stock, Class B common stock or the preferred stock voting separately as a class will be required therefor.  </w:t>
      </w:r>
    </w:p>
    <w:p>
      <w:pPr>
        <w:spacing w:after="0" w:line="9" w:lineRule="exact"/>
        <w:rPr>
          <w:sz w:val="20"/>
          <w:szCs w:val="20"/>
          <w:color w:val="auto"/>
        </w:rPr>
      </w:pPr>
    </w:p>
    <w:p>
      <w:pPr>
        <w:ind w:right="719"/>
        <w:spacing w:after="0" w:line="260" w:lineRule="auto"/>
        <w:rPr>
          <w:sz w:val="20"/>
          <w:szCs w:val="20"/>
          <w:color w:val="auto"/>
        </w:rPr>
      </w:pPr>
      <w:r>
        <w:rPr>
          <w:rFonts w:ascii="Times New Roman" w:cs="Times New Roman" w:eastAsia="Times New Roman" w:hAnsi="Times New Roman"/>
          <w:sz w:val="18"/>
          <w:szCs w:val="18"/>
          <w:i w:val="1"/>
          <w:iCs w:val="1"/>
          <w:color w:val="auto"/>
        </w:rPr>
        <w:t>See Article 4.2 of the Proposed Charter.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Charter provides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rights in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instances of the holders of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common stock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one or more series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any action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permitted to be taken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ProKidney Delaware’s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must be effected by a duly called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or special meeting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may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effected by consent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719"/>
        <w:spacing w:after="0" w:line="260" w:lineRule="auto"/>
        <w:rPr>
          <w:sz w:val="20"/>
          <w:szCs w:val="20"/>
          <w:color w:val="auto"/>
        </w:rPr>
      </w:pPr>
      <w:r>
        <w:rPr>
          <w:rFonts w:ascii="Times New Roman" w:cs="Times New Roman" w:eastAsia="Times New Roman" w:hAnsi="Times New Roman"/>
          <w:sz w:val="18"/>
          <w:szCs w:val="18"/>
          <w:i w:val="1"/>
          <w:iCs w:val="1"/>
          <w:color w:val="auto"/>
        </w:rPr>
        <w:t>See Article 8.1 of the Proposed Charter.</w:t>
      </w:r>
    </w:p>
    <w:p>
      <w:pPr>
        <w:spacing w:after="0" w:line="177" w:lineRule="exact"/>
        <w:rPr>
          <w:sz w:val="20"/>
          <w:szCs w:val="20"/>
          <w:color w:val="auto"/>
        </w:rPr>
      </w:pPr>
    </w:p>
    <w:p>
      <w:pPr>
        <w:sectPr>
          <w:pgSz w:w="11900" w:h="16838" w:orient="portrait"/>
          <w:cols w:equalWidth="0" w:num="2">
            <w:col w:w="5840" w:space="220"/>
            <w:col w:w="2959"/>
          </w:cols>
          <w:pgMar w:left="1440" w:top="263" w:right="1440" w:bottom="1440" w:gutter="0" w:footer="0" w:header="0"/>
          <w:type w:val="continuous"/>
        </w:sectPr>
      </w:pPr>
    </w:p>
    <w:p>
      <w:pPr>
        <w:ind w:left="320"/>
        <w:spacing w:after="0"/>
        <w:tabs>
          <w:tab w:leader="none" w:pos="3160" w:val="left"/>
        </w:tabs>
        <w:rPr>
          <w:sz w:val="20"/>
          <w:szCs w:val="20"/>
          <w:color w:val="auto"/>
        </w:rPr>
      </w:pPr>
      <w:r>
        <w:rPr>
          <w:rFonts w:ascii="Times New Roman" w:cs="Times New Roman" w:eastAsia="Times New Roman" w:hAnsi="Times New Roman"/>
          <w:sz w:val="18"/>
          <w:szCs w:val="18"/>
          <w:b w:val="1"/>
          <w:bCs w:val="1"/>
          <w:color w:val="auto"/>
        </w:rPr>
        <w:t>Authorized Share Capital</w:t>
      </w:r>
      <w:r>
        <w:rPr>
          <w:sz w:val="20"/>
          <w:szCs w:val="20"/>
          <w:color w:val="auto"/>
        </w:rPr>
        <w:tab/>
      </w:r>
      <w:r>
        <w:rPr>
          <w:rFonts w:ascii="Times New Roman" w:cs="Times New Roman" w:eastAsia="Times New Roman" w:hAnsi="Times New Roman"/>
          <w:sz w:val="18"/>
          <w:szCs w:val="18"/>
          <w:color w:val="auto"/>
        </w:rPr>
        <w:t>The share capital under the Existing</w:t>
      </w:r>
    </w:p>
    <w:p>
      <w:pPr>
        <w:spacing w:after="0" w:line="31" w:lineRule="exact"/>
        <w:rPr>
          <w:sz w:val="20"/>
          <w:szCs w:val="20"/>
          <w:color w:val="auto"/>
        </w:rPr>
      </w:pPr>
    </w:p>
    <w:p>
      <w:pPr>
        <w:ind w:left="320"/>
        <w:spacing w:after="0"/>
        <w:tabs>
          <w:tab w:leader="none" w:pos="31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Organizational Documents is</w:t>
      </w:r>
    </w:p>
    <w:p>
      <w:pPr>
        <w:spacing w:after="0" w:line="9" w:lineRule="exact"/>
        <w:rPr>
          <w:sz w:val="20"/>
          <w:szCs w:val="20"/>
          <w:color w:val="auto"/>
        </w:rPr>
      </w:pPr>
    </w:p>
    <w:p>
      <w:pPr>
        <w:ind w:left="320"/>
        <w:spacing w:after="0"/>
        <w:tabs>
          <w:tab w:leader="none" w:pos="3160" w:val="left"/>
        </w:tabs>
        <w:rPr>
          <w:sz w:val="20"/>
          <w:szCs w:val="20"/>
          <w:color w:val="auto"/>
        </w:rPr>
      </w:pPr>
      <w:r>
        <w:rPr>
          <w:rFonts w:ascii="Times New Roman" w:cs="Times New Roman" w:eastAsia="Times New Roman" w:hAnsi="Times New Roman"/>
          <w:sz w:val="18"/>
          <w:szCs w:val="18"/>
          <w:i w:val="1"/>
          <w:iCs w:val="1"/>
          <w:color w:val="auto"/>
        </w:rPr>
        <w:t>(Advisory charter proposal D)</w:t>
      </w:r>
      <w:r>
        <w:rPr>
          <w:sz w:val="20"/>
          <w:szCs w:val="20"/>
          <w:color w:val="auto"/>
        </w:rPr>
        <w:tab/>
      </w:r>
      <w:r>
        <w:rPr>
          <w:rFonts w:ascii="Times New Roman" w:cs="Times New Roman" w:eastAsia="Times New Roman" w:hAnsi="Times New Roman"/>
          <w:sz w:val="18"/>
          <w:szCs w:val="18"/>
          <w:color w:val="auto"/>
        </w:rPr>
        <w:t>US$100,500 divided into</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7"/>
          <w:szCs w:val="17"/>
          <w:color w:val="auto"/>
        </w:rPr>
        <w:t>500,000,000 Class A ordinary shares</w:t>
      </w:r>
    </w:p>
    <w:p>
      <w:pPr>
        <w:spacing w:after="0" w:line="2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of a par value of US$0.0001 each,</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500,000,000 Class B ordinary shares</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of a par value of US$0.0001 each</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and 5,000,000 preference shares of a</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par value of US$0.0001 each.</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i w:val="1"/>
          <w:iCs w:val="1"/>
          <w:color w:val="auto"/>
        </w:rPr>
        <w:t>See paragraph 5 of the Existing</w:t>
      </w:r>
    </w:p>
    <w:p>
      <w:pPr>
        <w:spacing w:after="0" w:line="20" w:lineRule="exact"/>
        <w:rPr>
          <w:sz w:val="20"/>
          <w:szCs w:val="20"/>
          <w:color w:val="auto"/>
        </w:rPr>
      </w:pPr>
      <w:r>
        <w:rPr>
          <w:sz w:val="20"/>
          <w:szCs w:val="20"/>
          <w:color w:val="auto"/>
        </w:rPr>
        <w:br w:type="column"/>
      </w:r>
    </w:p>
    <w:p>
      <w:pPr>
        <w:ind w:right="299"/>
        <w:spacing w:after="0" w:line="254" w:lineRule="auto"/>
        <w:rPr>
          <w:sz w:val="20"/>
          <w:szCs w:val="20"/>
          <w:color w:val="auto"/>
        </w:rPr>
      </w:pPr>
      <w:r>
        <w:rPr>
          <w:rFonts w:ascii="Times New Roman" w:cs="Times New Roman" w:eastAsia="Times New Roman" w:hAnsi="Times New Roman"/>
          <w:sz w:val="18"/>
          <w:szCs w:val="18"/>
          <w:color w:val="auto"/>
        </w:rPr>
        <w:t>The Proposed Charter authorizes 1,250,000,000 shares of ProKidney Delaware consisting of 700,000,000 shares of Class A common stock, par value $0.0001 per share,</w:t>
      </w:r>
    </w:p>
    <w:p>
      <w:pPr>
        <w:spacing w:after="0" w:line="3" w:lineRule="exact"/>
        <w:rPr>
          <w:sz w:val="20"/>
          <w:szCs w:val="20"/>
          <w:color w:val="auto"/>
        </w:rPr>
      </w:pPr>
    </w:p>
    <w:p>
      <w:pPr>
        <w:ind w:right="759"/>
        <w:spacing w:after="0" w:line="250" w:lineRule="auto"/>
        <w:rPr>
          <w:sz w:val="20"/>
          <w:szCs w:val="20"/>
          <w:color w:val="auto"/>
        </w:rPr>
      </w:pPr>
      <w:r>
        <w:rPr>
          <w:rFonts w:ascii="Times New Roman" w:cs="Times New Roman" w:eastAsia="Times New Roman" w:hAnsi="Times New Roman"/>
          <w:sz w:val="18"/>
          <w:szCs w:val="18"/>
          <w:color w:val="auto"/>
        </w:rPr>
        <w:t>500,000,000 shares of Class B common stock, par value $0.0001 per share, and</w:t>
      </w:r>
    </w:p>
    <w:p>
      <w:pPr>
        <w:spacing w:after="0" w:line="1" w:lineRule="exact"/>
        <w:rPr>
          <w:sz w:val="20"/>
          <w:szCs w:val="20"/>
          <w:color w:val="auto"/>
        </w:rPr>
      </w:pPr>
    </w:p>
    <w:p>
      <w:pPr>
        <w:ind w:right="279"/>
        <w:spacing w:after="0" w:line="260" w:lineRule="auto"/>
        <w:rPr>
          <w:sz w:val="20"/>
          <w:szCs w:val="20"/>
          <w:color w:val="auto"/>
        </w:rPr>
      </w:pPr>
      <w:r>
        <w:rPr>
          <w:rFonts w:ascii="Times New Roman" w:cs="Times New Roman" w:eastAsia="Times New Roman" w:hAnsi="Times New Roman"/>
          <w:sz w:val="18"/>
          <w:szCs w:val="18"/>
          <w:color w:val="auto"/>
        </w:rPr>
        <w:t>50,000,000 shares of preferred stock, par value $0.0001 per share.  </w:t>
      </w:r>
    </w:p>
    <w:p>
      <w:pPr>
        <w:spacing w:after="0" w:line="200" w:lineRule="exact"/>
        <w:rPr>
          <w:sz w:val="20"/>
          <w:szCs w:val="20"/>
          <w:color w:val="auto"/>
        </w:rPr>
      </w:pPr>
    </w:p>
    <w:p>
      <w:pPr>
        <w:ind w:right="719"/>
        <w:spacing w:after="0" w:line="260" w:lineRule="auto"/>
        <w:rPr>
          <w:sz w:val="20"/>
          <w:szCs w:val="20"/>
          <w:color w:val="auto"/>
        </w:rPr>
      </w:pPr>
      <w:r>
        <w:rPr>
          <w:rFonts w:ascii="Times New Roman" w:cs="Times New Roman" w:eastAsia="Times New Roman" w:hAnsi="Times New Roman"/>
          <w:sz w:val="18"/>
          <w:szCs w:val="18"/>
          <w:i w:val="1"/>
          <w:iCs w:val="1"/>
          <w:color w:val="auto"/>
        </w:rPr>
        <w:t>See Article 4.1 of the Proposed Charter.</w:t>
      </w:r>
    </w:p>
    <w:p>
      <w:pPr>
        <w:spacing w:after="0" w:line="200" w:lineRule="exact"/>
        <w:rPr>
          <w:sz w:val="20"/>
          <w:szCs w:val="20"/>
          <w:color w:val="auto"/>
        </w:rPr>
      </w:pPr>
    </w:p>
    <w:p>
      <w:pPr>
        <w:sectPr>
          <w:pgSz w:w="11900" w:h="16838" w:orient="portrait"/>
          <w:cols w:equalWidth="0" w:num="2">
            <w:col w:w="5840" w:space="220"/>
            <w:col w:w="2959"/>
          </w:cols>
          <w:pgMar w:left="1440" w:top="263" w:right="1440" w:bottom="1440" w:gutter="0" w:footer="0" w:header="0"/>
          <w:type w:val="continuous"/>
        </w:sect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5" w:name="page26"/>
    <w:bookmarkEnd w:id="2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701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3405" cy="770191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right"/>
        <w:ind w:right="1079"/>
        <w:spacing w:after="0"/>
        <w:tabs>
          <w:tab w:leader="none" w:pos="1080" w:val="left"/>
        </w:tabs>
        <w:rPr>
          <w:sz w:val="20"/>
          <w:szCs w:val="20"/>
          <w:color w:val="auto"/>
        </w:rPr>
      </w:pPr>
      <w:r>
        <w:rPr>
          <w:rFonts w:ascii="Times New Roman" w:cs="Times New Roman" w:eastAsia="Times New Roman" w:hAnsi="Times New Roman"/>
          <w:sz w:val="14"/>
          <w:szCs w:val="14"/>
          <w:b w:val="1"/>
          <w:bCs w:val="1"/>
          <w:color w:val="auto"/>
        </w:rPr>
        <w:t>Existing Organization Documents</w:t>
      </w:r>
      <w:r>
        <w:rPr>
          <w:sz w:val="20"/>
          <w:szCs w:val="20"/>
          <w:color w:val="auto"/>
        </w:rPr>
        <w:tab/>
      </w:r>
      <w:r>
        <w:rPr>
          <w:rFonts w:ascii="Times New Roman" w:cs="Times New Roman" w:eastAsia="Times New Roman" w:hAnsi="Times New Roman"/>
          <w:sz w:val="14"/>
          <w:szCs w:val="14"/>
          <w:b w:val="1"/>
          <w:bCs w:val="1"/>
          <w:color w:val="auto"/>
        </w:rPr>
        <w:t>Proposed Charter</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7"/>
          <w:szCs w:val="17"/>
          <w:b w:val="1"/>
          <w:bCs w:val="1"/>
          <w:color w:val="auto"/>
        </w:rPr>
        <w:t>Adoption of Supermajority Vote Requirement to Amend the Proposed Governing Documents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(Advisory charter proposal 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Organizational Documents.</w:t>
      </w:r>
    </w:p>
    <w:p>
      <w:pPr>
        <w:spacing w:after="0" w:line="2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Existing Organizational Documents provide that amendments to change ProKidney’s name, alter or add to the Articles (as defined therein), alter or add to the Memorandum (as defined therein) with respect to any objects, powers or other matters specified therein or to reduce its share capital or any capital redemption reserve fund may be made by a Special Resolution (as defined under the Cayman Islands Companies Act), being the affirmative vote of holders of a majority of at least two-thirds of such members as, being entitled to do so, vote in person or, where proxies are allowed, by proxy at a general meeting.  There are certain matters that require only an Ordinary Resolution (as defined therein), including increasing the share capital, consolidating and dividing all or any part of the share capital into larger amounts than the existing shares, converting all or any of the Company’s paid-up shares into stock, and reconverting that stock into paid-up shares of any denomination, by subdividing the Company’s existing shares or any of them dividing the whole or any part of its share capital into shares of smaller amount than is fixed by the Memorandum (as defined therein) or into shares without par value, and cancelling any shares that at the date of the passing of the Ordinary Resolution have not been taken or agreed to be taken by any person and diminish the amount of its share capital by the amount of the shares so cancelled. An Ordinary Resolution is a resolution passed by a simple majority of the Members as, being entitled to do so, vote in person or, where proxies are allowed, by proxy at a general meeting, and includes a unanimous written resolution.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Charter requires</w:t>
      </w:r>
    </w:p>
    <w:p>
      <w:pPr>
        <w:spacing w:after="0" w:line="27" w:lineRule="exact"/>
        <w:rPr>
          <w:sz w:val="20"/>
          <w:szCs w:val="20"/>
          <w:color w:val="auto"/>
        </w:rPr>
      </w:pPr>
    </w:p>
    <w:p>
      <w:pPr>
        <w:ind w:right="359" w:firstLine="1"/>
        <w:spacing w:after="0" w:line="250" w:lineRule="auto"/>
        <w:tabs>
          <w:tab w:leader="none" w:pos="2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the affirmative vote of the holders of at least two thirds (2/3) of the total voting power of all the then-outstanding shares of ProKidney Delaware’s capital stock entitled to vote thereon, and voting together as a single class or</w:t>
      </w:r>
    </w:p>
    <w:p>
      <w:pPr>
        <w:spacing w:after="0" w:line="2" w:lineRule="exact"/>
        <w:rPr>
          <w:rFonts w:ascii="Times New Roman" w:cs="Times New Roman" w:eastAsia="Times New Roman" w:hAnsi="Times New Roman"/>
          <w:sz w:val="18"/>
          <w:szCs w:val="18"/>
          <w:color w:val="auto"/>
        </w:rPr>
      </w:pPr>
    </w:p>
    <w:p>
      <w:pPr>
        <w:ind w:right="319" w:firstLine="1"/>
        <w:spacing w:after="0" w:line="250"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 majority of the Board, to make, adopt, alter, amend, change, add to, rescind or repeal, in whole or in part, the Proposed Bylaws; (ii) at least two thirds (2/3) of the total voting power of all the outstanding shares of ProKidney Delaware’s capital stock entitled to vote thereon, voting together as a single class in order to alter, amend or repeal Sections 7.2, 7.3 and 7.4 of Article 7, Sections 8.1, and 8.2 of Article 8 or Article 9, 10, 11, 12 or 15 of the Proposed Charter; and (iii)</w:t>
      </w:r>
    </w:p>
    <w:p>
      <w:pPr>
        <w:spacing w:after="0" w:line="5" w:lineRule="exact"/>
        <w:rPr>
          <w:sz w:val="20"/>
          <w:szCs w:val="20"/>
          <w:color w:val="auto"/>
        </w:rPr>
      </w:pPr>
    </w:p>
    <w:p>
      <w:pPr>
        <w:ind w:right="319"/>
        <w:spacing w:after="0" w:line="238" w:lineRule="auto"/>
        <w:rPr>
          <w:sz w:val="20"/>
          <w:szCs w:val="20"/>
          <w:color w:val="auto"/>
        </w:rPr>
      </w:pPr>
      <w:r>
        <w:rPr>
          <w:rFonts w:ascii="Times New Roman" w:cs="Times New Roman" w:eastAsia="Times New Roman" w:hAnsi="Times New Roman"/>
          <w:sz w:val="18"/>
          <w:szCs w:val="18"/>
          <w:color w:val="auto"/>
        </w:rPr>
        <w:t>at least two thirds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total voting power of the outstanding shares of ProKidney Delaware’s capital stock entitled to vote generally in the election of directors, voting together as a single class, in order to remove a director for cause.  </w:t>
      </w:r>
    </w:p>
    <w:p>
      <w:pPr>
        <w:spacing w:after="0" w:line="1" w:lineRule="exact"/>
        <w:rPr>
          <w:sz w:val="20"/>
          <w:szCs w:val="20"/>
          <w:color w:val="auto"/>
        </w:rPr>
      </w:pPr>
    </w:p>
    <w:p>
      <w:pPr>
        <w:ind w:right="579"/>
        <w:spacing w:after="0" w:line="260" w:lineRule="auto"/>
        <w:rPr>
          <w:sz w:val="20"/>
          <w:szCs w:val="20"/>
          <w:color w:val="auto"/>
        </w:rPr>
      </w:pPr>
      <w:r>
        <w:rPr>
          <w:rFonts w:ascii="Times New Roman" w:cs="Times New Roman" w:eastAsia="Times New Roman" w:hAnsi="Times New Roman"/>
          <w:sz w:val="18"/>
          <w:szCs w:val="18"/>
          <w:i w:val="1"/>
          <w:iCs w:val="1"/>
          <w:color w:val="auto"/>
        </w:rPr>
        <w:t>See Articles 7.4, 10 and 11 of the Proposed Charter.</w:t>
      </w:r>
    </w:p>
    <w:p>
      <w:pPr>
        <w:spacing w:after="0" w:line="4036" w:lineRule="exact"/>
        <w:rPr>
          <w:sz w:val="20"/>
          <w:szCs w:val="20"/>
          <w:color w:val="auto"/>
        </w:rPr>
      </w:pPr>
    </w:p>
    <w:p>
      <w:pPr>
        <w:sectPr>
          <w:pgSz w:w="11900" w:h="16838" w:orient="portrait"/>
          <w:cols w:equalWidth="0" w:num="3">
            <w:col w:w="2800" w:space="380"/>
            <w:col w:w="2660" w:space="220"/>
            <w:col w:w="2959"/>
          </w:cols>
          <w:pgMar w:left="1440" w:top="263" w:right="1440" w:bottom="1440" w:gutter="0" w:footer="0" w:header="0"/>
          <w:type w:val="continuous"/>
        </w:sect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6" w:name="page27"/>
    <w:bookmarkEnd w:id="2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404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3405" cy="840486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3480"/>
        <w:spacing w:after="0"/>
        <w:tabs>
          <w:tab w:leader="none" w:pos="6820" w:val="left"/>
        </w:tabs>
        <w:rPr>
          <w:sz w:val="20"/>
          <w:szCs w:val="20"/>
          <w:color w:val="auto"/>
        </w:rPr>
      </w:pPr>
      <w:r>
        <w:rPr>
          <w:rFonts w:ascii="Times New Roman" w:cs="Times New Roman" w:eastAsia="Times New Roman" w:hAnsi="Times New Roman"/>
          <w:sz w:val="14"/>
          <w:szCs w:val="14"/>
          <w:b w:val="1"/>
          <w:bCs w:val="1"/>
          <w:color w:val="auto"/>
        </w:rPr>
        <w:t>Existing Organization Documents</w:t>
      </w:r>
      <w:r>
        <w:rPr>
          <w:sz w:val="20"/>
          <w:szCs w:val="20"/>
          <w:color w:val="auto"/>
        </w:rPr>
        <w:tab/>
      </w:r>
      <w:r>
        <w:rPr>
          <w:rFonts w:ascii="Times New Roman" w:cs="Times New Roman" w:eastAsia="Times New Roman" w:hAnsi="Times New Roman"/>
          <w:sz w:val="14"/>
          <w:szCs w:val="14"/>
          <w:b w:val="1"/>
          <w:bCs w:val="1"/>
          <w:color w:val="auto"/>
        </w:rPr>
        <w:t>Proposed Charter</w:t>
      </w:r>
    </w:p>
    <w:p>
      <w:pPr>
        <w:spacing w:after="0" w:line="3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i w:val="1"/>
          <w:iCs w:val="1"/>
          <w:color w:val="auto"/>
        </w:rPr>
        <w:t>See Article 20 of our Existing</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i w:val="1"/>
          <w:iCs w:val="1"/>
          <w:color w:val="auto"/>
        </w:rPr>
        <w:t>Organizational Documents.</w:t>
      </w:r>
    </w:p>
    <w:p>
      <w:pPr>
        <w:spacing w:after="0" w:line="3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Election of Directors Proposal</w:t>
      </w:r>
    </w:p>
    <w:p>
      <w:pPr>
        <w:spacing w:after="0" w:line="119" w:lineRule="exact"/>
        <w:rPr>
          <w:sz w:val="20"/>
          <w:szCs w:val="20"/>
          <w:color w:val="auto"/>
        </w:rPr>
      </w:pPr>
    </w:p>
    <w:p>
      <w:pPr>
        <w:ind w:left="320" w:right="459" w:firstLine="360"/>
        <w:spacing w:after="0" w:line="261" w:lineRule="auto"/>
        <w:rPr>
          <w:sz w:val="20"/>
          <w:szCs w:val="20"/>
          <w:color w:val="auto"/>
        </w:rPr>
      </w:pPr>
      <w:r>
        <w:rPr>
          <w:rFonts w:ascii="Times New Roman" w:cs="Times New Roman" w:eastAsia="Times New Roman" w:hAnsi="Times New Roman"/>
          <w:sz w:val="18"/>
          <w:szCs w:val="18"/>
          <w:color w:val="auto"/>
        </w:rPr>
        <w:t>ProKidney’s shareholders are asked to elect the following three director nominees named in this proxy statement/prospectus to serve as Class III directors for three-year terms expiring at the annual meeting in 2028 and until their successors are duly elected and qualified: Bruce Culleton, M.D., Pablo Legorreta and Uma Sinha, Ph.D. For additional information, see “</w:t>
      </w: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section of this proxy statement/prospectus.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Appointment of Independent Registered Public Accounting Firm Proposal</w:t>
      </w:r>
    </w:p>
    <w:p>
      <w:pPr>
        <w:spacing w:after="0" w:line="119" w:lineRule="exact"/>
        <w:rPr>
          <w:sz w:val="20"/>
          <w:szCs w:val="20"/>
          <w:color w:val="auto"/>
        </w:rPr>
      </w:pPr>
    </w:p>
    <w:p>
      <w:pPr>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ProKidney’s shareholders are also asked to approve, by ordinary resolution, a proposal to ratify the appointment of Ernst and Young as the Company’s independent registered public accounting firm for the Company’s fiscal year ending December 31, 2025. For additional information, see “</w:t>
      </w:r>
      <w:r>
        <w:rPr>
          <w:rFonts w:ascii="Times New Roman" w:cs="Times New Roman" w:eastAsia="Times New Roman" w:hAnsi="Times New Roman"/>
          <w:sz w:val="18"/>
          <w:szCs w:val="18"/>
          <w:i w:val="1"/>
          <w:iCs w:val="1"/>
          <w:color w:val="auto"/>
        </w:rPr>
        <w:t>Proposal No. 5 Ratification of Selection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Independent Registered Public Accounting Firm</w:t>
      </w:r>
      <w:r>
        <w:rPr>
          <w:rFonts w:ascii="Times New Roman" w:cs="Times New Roman" w:eastAsia="Times New Roman" w:hAnsi="Times New Roman"/>
          <w:sz w:val="18"/>
          <w:szCs w:val="18"/>
          <w:color w:val="auto"/>
        </w:rPr>
        <w:t>” section of this proxy statement/prospectus.</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Adjournment Proposal</w:t>
      </w:r>
    </w:p>
    <w:p>
      <w:pPr>
        <w:spacing w:after="0" w:line="119" w:lineRule="exact"/>
        <w:rPr>
          <w:sz w:val="20"/>
          <w:szCs w:val="20"/>
          <w:color w:val="auto"/>
        </w:rPr>
      </w:pPr>
    </w:p>
    <w:p>
      <w:pPr>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If based on the tabulated vote, there are not sufficient votes at the time of the annual general meeting to approve the preceding proposals, the Board may submit a proposal to adjourn the annual general meeting to a later date or dates, if necessary, to permit further solicitation of proxies. For additional information, see “</w:t>
      </w:r>
      <w:r>
        <w:rPr>
          <w:rFonts w:ascii="Times New Roman" w:cs="Times New Roman" w:eastAsia="Times New Roman" w:hAnsi="Times New Roman"/>
          <w:sz w:val="18"/>
          <w:szCs w:val="18"/>
          <w:i w:val="1"/>
          <w:iCs w:val="1"/>
          <w:color w:val="auto"/>
        </w:rPr>
        <w:t>Proposal No. 6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 section of this proxy statement/prospectus.</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Date, Time and Place of Annual Meeting of ProKidney’s Shareholders</w:t>
      </w:r>
    </w:p>
    <w:p>
      <w:pPr>
        <w:spacing w:after="0" w:line="121" w:lineRule="exact"/>
        <w:rPr>
          <w:sz w:val="20"/>
          <w:szCs w:val="20"/>
          <w:color w:val="auto"/>
        </w:rPr>
      </w:pPr>
    </w:p>
    <w:p>
      <w:pPr>
        <w:ind w:left="320" w:right="339" w:firstLine="360"/>
        <w:spacing w:after="0" w:line="261" w:lineRule="auto"/>
        <w:rPr>
          <w:sz w:val="20"/>
          <w:szCs w:val="20"/>
          <w:color w:val="auto"/>
        </w:rPr>
      </w:pPr>
      <w:r>
        <w:rPr>
          <w:rFonts w:ascii="Times New Roman" w:cs="Times New Roman" w:eastAsia="Times New Roman" w:hAnsi="Times New Roman"/>
          <w:sz w:val="18"/>
          <w:szCs w:val="18"/>
          <w:color w:val="auto"/>
        </w:rPr>
        <w:t>The annual general meeting will be held on [•], 2025 at 10:00 a.m., Eastern Time, physically at 399 Boylston Street, Ste. 350, Boston, MA 02116 and virtually via live webcast at www.virtualshareholdermeeting.com/PROK2025 or at such other time, on such other date and at such other place to which the meeting may be adjourned or postponed.</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121" w:lineRule="exact"/>
        <w:rPr>
          <w:sz w:val="20"/>
          <w:szCs w:val="20"/>
          <w:color w:val="auto"/>
        </w:rPr>
      </w:pPr>
    </w:p>
    <w:p>
      <w:pPr>
        <w:ind w:left="320" w:right="399" w:firstLine="360"/>
        <w:spacing w:after="0" w:line="258" w:lineRule="auto"/>
        <w:rPr>
          <w:sz w:val="20"/>
          <w:szCs w:val="20"/>
          <w:color w:val="auto"/>
        </w:rPr>
      </w:pPr>
      <w:r>
        <w:rPr>
          <w:rFonts w:ascii="Times New Roman" w:cs="Times New Roman" w:eastAsia="Times New Roman" w:hAnsi="Times New Roman"/>
          <w:sz w:val="18"/>
          <w:szCs w:val="18"/>
          <w:color w:val="auto"/>
        </w:rPr>
        <w:t>Shareholders will be entitled to vote or direct votes to be cast at the annual general meeting if they owned ordinary shares at the close of business on [•], 2025, which is the record date for the annual general meeting. Shareholders will have one vote for each ordinary share owned at the close of business on the record date. If your shares are held in “street name” or are in a margin or similar account, you should contact your broker to ensure that votes related to the shares you beneficially own are properly counted.</w:t>
      </w:r>
    </w:p>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Quorum and Vote of ProKidney Shareholders</w:t>
      </w:r>
    </w:p>
    <w:p>
      <w:pPr>
        <w:spacing w:after="0" w:line="121" w:lineRule="exact"/>
        <w:rPr>
          <w:sz w:val="20"/>
          <w:szCs w:val="20"/>
          <w:color w:val="auto"/>
        </w:rPr>
      </w:pPr>
    </w:p>
    <w:p>
      <w:pPr>
        <w:ind w:left="320" w:right="299" w:firstLine="360"/>
        <w:spacing w:after="0" w:line="258" w:lineRule="auto"/>
        <w:rPr>
          <w:sz w:val="20"/>
          <w:szCs w:val="20"/>
          <w:color w:val="auto"/>
        </w:rPr>
      </w:pPr>
      <w:r>
        <w:rPr>
          <w:rFonts w:ascii="Times New Roman" w:cs="Times New Roman" w:eastAsia="Times New Roman" w:hAnsi="Times New Roman"/>
          <w:sz w:val="18"/>
          <w:szCs w:val="18"/>
          <w:color w:val="auto"/>
        </w:rPr>
        <w:t>A quorum of ProKidney shareholders is necessary to hold a valid meeting. A quorum will be present at the annual general meeting if one or more shareholders holding at least a majority of the paid-up voting share capital entitled to vote are present in person or by proxy. Abstentions and broker non-votes, while considered present for the purposes of establishing a quorum, will not count as a vote cast at the annual general meeting. As of the record date for the annual general meeting, [•] ordinary shares would be required to achieve a quorum.</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proposals presented at the annual general meeting require the following votes:</w:t>
      </w:r>
    </w:p>
    <w:p>
      <w:pPr>
        <w:spacing w:after="0" w:line="117" w:lineRule="exact"/>
        <w:rPr>
          <w:sz w:val="20"/>
          <w:szCs w:val="20"/>
          <w:color w:val="auto"/>
        </w:rPr>
      </w:pPr>
    </w:p>
    <w:p>
      <w:pPr>
        <w:ind w:left="1020" w:right="539" w:hanging="350"/>
        <w:spacing w:after="0" w:line="258"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Domestication proposal: The approval of the domestication proposal requires a special resolution under the Cayman Islands Companies Act and the Existing Organizational Documents, being the affirmative vote of the holders of at least two-thirds of the Class A and Class B ordinary shares, voting as a single class, represented in person or by proxy and entitled to vote thereon, who vote at the annual general meeting.</w:t>
      </w:r>
    </w:p>
    <w:p>
      <w:pPr>
        <w:spacing w:after="0" w:line="75" w:lineRule="exact"/>
        <w:rPr>
          <w:rFonts w:ascii="Times New Roman" w:cs="Times New Roman" w:eastAsia="Times New Roman" w:hAnsi="Times New Roman"/>
          <w:sz w:val="18"/>
          <w:szCs w:val="18"/>
          <w:color w:val="auto"/>
        </w:rPr>
      </w:pPr>
    </w:p>
    <w:p>
      <w:pPr>
        <w:ind w:left="1020" w:right="599" w:hanging="350"/>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charter proposal: The approval of the new charter proposal requires a special resolution under the Cayman Islands Companies Act, being the affirmative vote of the holders of at least two-thirds of the Class A and Class B ordinary shares, voting as a single class, represented in person or by proxy and entitled to vote thereon, who vote at the annual general meeting.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619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3405" cy="806196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379" w:hanging="350"/>
        <w:spacing w:after="0" w:line="258"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proposals: The separate approval of each of the advisory charter proposals by non-binding, advisory ordinary resolution under the Cayman Islands Companies Act requires an affirmative vote for the proposal by the holders of not less than a simple majority of the Class A and Class B ordinary shares, voting as a single class, represented in person or by proxy and entitled to vote thereon and who vote at the annual general meeting.</w:t>
      </w:r>
    </w:p>
    <w:p>
      <w:pPr>
        <w:spacing w:after="0" w:line="75" w:lineRule="exact"/>
        <w:rPr>
          <w:rFonts w:ascii="Times New Roman" w:cs="Times New Roman" w:eastAsia="Times New Roman" w:hAnsi="Times New Roman"/>
          <w:sz w:val="18"/>
          <w:szCs w:val="18"/>
          <w:color w:val="auto"/>
        </w:rPr>
      </w:pPr>
    </w:p>
    <w:p>
      <w:pPr>
        <w:ind w:left="1020" w:right="399" w:hanging="350"/>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Election of each Director requires an ordinary resolution under the Cayman Islands Companies Act, being the affirmative vote for each director by the holders of not less than a simple majority of the Class A and Class B ordinary shares, voting as a single class, represented in person or by proxy and entitled to vote thereon and who vote at the annual general meeting.</w:t>
      </w:r>
    </w:p>
    <w:p>
      <w:pPr>
        <w:spacing w:after="0" w:line="71" w:lineRule="exact"/>
        <w:rPr>
          <w:rFonts w:ascii="Times New Roman" w:cs="Times New Roman" w:eastAsia="Times New Roman" w:hAnsi="Times New Roman"/>
          <w:sz w:val="18"/>
          <w:szCs w:val="18"/>
          <w:color w:val="auto"/>
        </w:rPr>
      </w:pPr>
    </w:p>
    <w:p>
      <w:pPr>
        <w:ind w:left="1020" w:right="339" w:hanging="350"/>
        <w:spacing w:after="0" w:line="258"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independent registered public accounting firm proposal: The approval of the appointment of independent registered public accounting firm proposal requires an ordinary resolution under the Cayman Islands Companies Act, being the affirmative vote for the proposal by the holders of not less than a simple majority of the Class A and Class B ordinary shares, voting as a single class, represented in person or by proxy and entitled to vote thereon and who vote at the annual general meeting.</w:t>
      </w:r>
    </w:p>
    <w:p>
      <w:pPr>
        <w:spacing w:after="0" w:line="75" w:lineRule="exact"/>
        <w:rPr>
          <w:rFonts w:ascii="Times New Roman" w:cs="Times New Roman" w:eastAsia="Times New Roman" w:hAnsi="Times New Roman"/>
          <w:sz w:val="18"/>
          <w:szCs w:val="18"/>
          <w:color w:val="auto"/>
        </w:rPr>
      </w:pPr>
    </w:p>
    <w:p>
      <w:pPr>
        <w:ind w:left="1020" w:right="479" w:hanging="350"/>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Adjournment proposal: The approval of the adjournment proposal requires an ordinary resolution under the Cayman Islands Companies Act, being the affirmative vote for the proposal by the holders of a majority of the Class A and Class B ordinary shares, voting as a single class, represented in person or by proxy and entitled to vote thereon and who vote at the annual general meeting.</w:t>
      </w:r>
    </w:p>
    <w:p>
      <w:pPr>
        <w:spacing w:after="0" w:line="72" w:lineRule="exact"/>
        <w:rPr>
          <w:sz w:val="20"/>
          <w:szCs w:val="20"/>
          <w:color w:val="auto"/>
        </w:rPr>
      </w:pPr>
    </w:p>
    <w:p>
      <w:pPr>
        <w:ind w:left="320" w:right="359" w:firstLine="360"/>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will not count as a vote cast at the annual general meeting.</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320" w:right="519" w:firstLine="360"/>
        <w:spacing w:after="0" w:line="282" w:lineRule="auto"/>
        <w:rPr>
          <w:sz w:val="20"/>
          <w:szCs w:val="20"/>
          <w:color w:val="auto"/>
        </w:rPr>
      </w:pPr>
      <w:r>
        <w:rPr>
          <w:rFonts w:ascii="Times New Roman" w:cs="Times New Roman" w:eastAsia="Times New Roman" w:hAnsi="Times New Roman"/>
          <w:sz w:val="18"/>
          <w:szCs w:val="18"/>
          <w:color w:val="auto"/>
        </w:rPr>
        <w:t>ProKidney shareholders do not have appraisal rights in connection with the domestication under the Cayman Islands Companies Act or under the DGCL.</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Proxies may be solicited by mail, telephone or in person. If a shareholder grants a proxy, it may still vote its shares in person if it revokes its proxy before the annual general meeting. A shareholder also may change its vote by submitting a later-dated proxy as described in the section entitled “</w:t>
      </w:r>
      <w:r>
        <w:rPr>
          <w:rFonts w:ascii="Times New Roman" w:cs="Times New Roman" w:eastAsia="Times New Roman" w:hAnsi="Times New Roman"/>
          <w:sz w:val="18"/>
          <w:szCs w:val="18"/>
          <w:i w:val="1"/>
          <w:iCs w:val="1"/>
          <w:color w:val="auto"/>
        </w:rPr>
        <w:t>Important Information About the Annual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Voting and the Domestication Proposal—May I change or revoke my proxy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Recommendation to Shareholders</w:t>
      </w:r>
    </w:p>
    <w:p>
      <w:pPr>
        <w:spacing w:after="0" w:line="121" w:lineRule="exact"/>
        <w:rPr>
          <w:sz w:val="20"/>
          <w:szCs w:val="20"/>
          <w:color w:val="auto"/>
        </w:rPr>
      </w:pPr>
    </w:p>
    <w:p>
      <w:pPr>
        <w:ind w:left="320" w:right="379" w:firstLine="360"/>
        <w:spacing w:after="0" w:line="255" w:lineRule="auto"/>
        <w:rPr>
          <w:sz w:val="20"/>
          <w:szCs w:val="20"/>
          <w:color w:val="auto"/>
        </w:rPr>
      </w:pPr>
      <w:r>
        <w:rPr>
          <w:rFonts w:ascii="Times New Roman" w:cs="Times New Roman" w:eastAsia="Times New Roman" w:hAnsi="Times New Roman"/>
          <w:sz w:val="18"/>
          <w:szCs w:val="18"/>
          <w:color w:val="auto"/>
        </w:rPr>
        <w:t>Each of (i) the full Board of ProKidney and (ii) the directors of the Board who do not own Class B ordinary shares believe that the domestication proposal and the other proposals to be presented at the annual general meeting are in the best interest of the Company and unanimously recommend that its shareholders vote “FOR” the approval of the domestication proposal, “FOR” the approval of the new charter proposals, “FOR” each of the separate advisory charter proposals, “FOR” the election of each director nominee, “FOR” the appointment of independent registered public accounting firm proposal and “FOR” the adjournment proposal, in each case, if presented to the annual general meeting.</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Domestication</w:t>
      </w:r>
    </w:p>
    <w:p>
      <w:pPr>
        <w:spacing w:after="0" w:line="121"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ProKidney’s Class B shareholders, including certain of our directors and officers, may have potential interests in and arising from the domestication that are different from or in addition to the interests of ProKidney’s public shareholders because they are parties to the Tax Receivable Agreement (as defined below), which was entered into in connection with our business combination. ProKidney Delaware’s payment obligations under the Tax Receivable Agreement to Class B stockholders could have been greater or lesser than what they might have been had ProKidney determined to migrate to a jurisdiction other than the United States. The amount and timing of any payments under the Tax Receivable Agreement are highly speculative and are dependent on a number of factors outside ProKidney Delaware’s control. Because ProKidney Holdings does not expect to generate significant operating revenues in the near future, if at all, payments made by ProKidney Delaware to Class B stockholders under the Tax Receivable Agreement in the near future, if any, are not expected to be material. See the section entitled “</w:t>
      </w:r>
      <w:r>
        <w:rPr>
          <w:rFonts w:ascii="Times New Roman" w:cs="Times New Roman" w:eastAsia="Times New Roman" w:hAnsi="Times New Roman"/>
          <w:sz w:val="18"/>
          <w:szCs w:val="18"/>
          <w:i w:val="1"/>
          <w:iCs w:val="1"/>
          <w:color w:val="auto"/>
        </w:rPr>
        <w:t>Interests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Persons in the Domestication</w:t>
      </w:r>
      <w:r>
        <w:rPr>
          <w:rFonts w:ascii="Times New Roman" w:cs="Times New Roman" w:eastAsia="Times New Roman" w:hAnsi="Times New Roman"/>
          <w:sz w:val="18"/>
          <w:szCs w:val="18"/>
          <w:color w:val="auto"/>
        </w:rPr>
        <w:t>” for a further discussion of these considerations.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64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3405" cy="816483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ind w:left="320" w:right="779" w:firstLine="360"/>
        <w:spacing w:after="0" w:line="282" w:lineRule="auto"/>
        <w:rPr>
          <w:sz w:val="20"/>
          <w:szCs w:val="20"/>
          <w:color w:val="auto"/>
        </w:rPr>
      </w:pPr>
      <w:r>
        <w:rPr>
          <w:rFonts w:ascii="Times New Roman" w:cs="Times New Roman" w:eastAsia="Times New Roman" w:hAnsi="Times New Roman"/>
          <w:sz w:val="18"/>
          <w:szCs w:val="18"/>
          <w:color w:val="auto"/>
        </w:rPr>
        <w:t>For a discussion summarizing the U.S. federal income tax considerations of the domestication, please see “</w:t>
      </w:r>
      <w:r>
        <w:rPr>
          <w:rFonts w:ascii="Times New Roman" w:cs="Times New Roman" w:eastAsia="Times New Roman" w:hAnsi="Times New Roman"/>
          <w:sz w:val="18"/>
          <w:szCs w:val="18"/>
          <w:i w:val="1"/>
          <w:iCs w:val="1"/>
          <w:color w:val="auto"/>
        </w:rPr>
        <w:t>Material U.S. Federal Income Tax Considerations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Anticipated Accounting Treatment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Domestication</w:t>
      </w:r>
    </w:p>
    <w:p>
      <w:pPr>
        <w:spacing w:after="0" w:line="119" w:lineRule="exact"/>
        <w:rPr>
          <w:sz w:val="20"/>
          <w:szCs w:val="20"/>
          <w:color w:val="auto"/>
        </w:rPr>
      </w:pPr>
    </w:p>
    <w:p>
      <w:pPr>
        <w:ind w:left="320" w:right="379" w:firstLine="360"/>
        <w:spacing w:after="0" w:line="261" w:lineRule="auto"/>
        <w:rPr>
          <w:sz w:val="20"/>
          <w:szCs w:val="20"/>
          <w:color w:val="auto"/>
        </w:rPr>
      </w:pPr>
      <w:r>
        <w:rPr>
          <w:rFonts w:ascii="Times New Roman" w:cs="Times New Roman" w:eastAsia="Times New Roman" w:hAnsi="Times New Roman"/>
          <w:sz w:val="18"/>
          <w:szCs w:val="18"/>
          <w:color w:val="auto"/>
        </w:rPr>
        <w:t>We do not believe there will be a material accounting effect or change in the carrying amount of the consolidated assets and liabilities of ProKidney as a result of domestication. The business, capitalization, assets and liabilities and financial statements of ProKidney Delaware immediately following the domestication will be the same as those of ProKidney immediately prior to the domestication.</w:t>
      </w:r>
    </w:p>
    <w:p>
      <w:pPr>
        <w:spacing w:after="0" w:line="2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Comparison of Corporate Governance and Shareholder Rights</w:t>
      </w:r>
    </w:p>
    <w:p>
      <w:pPr>
        <w:spacing w:after="0" w:line="121" w:lineRule="exact"/>
        <w:rPr>
          <w:sz w:val="20"/>
          <w:szCs w:val="20"/>
          <w:color w:val="auto"/>
        </w:rPr>
      </w:pPr>
    </w:p>
    <w:p>
      <w:pPr>
        <w:ind w:left="320" w:right="339" w:firstLine="360"/>
        <w:spacing w:after="0" w:line="254" w:lineRule="auto"/>
        <w:rPr>
          <w:sz w:val="20"/>
          <w:szCs w:val="20"/>
          <w:color w:val="auto"/>
        </w:rPr>
      </w:pPr>
      <w:r>
        <w:rPr>
          <w:rFonts w:ascii="Times New Roman" w:cs="Times New Roman" w:eastAsia="Times New Roman" w:hAnsi="Times New Roman"/>
          <w:sz w:val="18"/>
          <w:szCs w:val="18"/>
          <w:color w:val="auto"/>
        </w:rPr>
        <w:t>The domestication will change ProKidney’s jurisdiction of incorporation from the Cayman Islands to Delaware and, as a result, ProKidney’s Existing Organizational Documents will be altered and replaced in full with the Proposed Organizational Documents, and ProKidney Delaware will be governed by the DGCL rather than Cayman Islands Companies Act. There are differences between Cayman Islands corporate law, which currently governs ProKidney, and Delaware corporate law, which will govern ProKidney Delaware following the effectiveness of the domestication. Additionally, there are differences between the Proposed Organization Documents of ProKidney Delaware and the Existing Organizational Documents of ProKidney. For a summary of the material differences among the rights of holders of common stock and holders of ordinary shares, see “</w:t>
      </w:r>
      <w:r>
        <w:rPr>
          <w:rFonts w:ascii="Times New Roman" w:cs="Times New Roman" w:eastAsia="Times New Roman" w:hAnsi="Times New Roman"/>
          <w:sz w:val="18"/>
          <w:szCs w:val="18"/>
          <w:i w:val="1"/>
          <w:iCs w:val="1"/>
          <w:color w:val="auto"/>
        </w:rPr>
        <w:t>Comparison of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Governance and Shareholder Rights</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320" w:right="379" w:firstLine="360"/>
        <w:spacing w:after="0" w:line="282" w:lineRule="auto"/>
        <w:rPr>
          <w:sz w:val="20"/>
          <w:szCs w:val="20"/>
          <w:color w:val="auto"/>
        </w:rPr>
      </w:pPr>
      <w:r>
        <w:rPr>
          <w:rFonts w:ascii="Times New Roman" w:cs="Times New Roman" w:eastAsia="Times New Roman" w:hAnsi="Times New Roman"/>
          <w:sz w:val="18"/>
          <w:szCs w:val="18"/>
          <w:color w:val="auto"/>
        </w:rPr>
        <w:t>The domestication is not subject to any additional federal or state regulatory requirements or approvals, except for filings with the Cayman Islands and the State of Delaware necessary to effectuate the domestication.</w:t>
      </w:r>
    </w:p>
    <w:p>
      <w:pPr>
        <w:spacing w:after="0" w:line="2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20" w:right="419" w:firstLine="360"/>
        <w:spacing w:after="0" w:line="312" w:lineRule="auto"/>
        <w:rPr>
          <w:sz w:val="20"/>
          <w:szCs w:val="20"/>
          <w:color w:val="auto"/>
        </w:rPr>
      </w:pPr>
      <w:r>
        <w:rPr>
          <w:rFonts w:ascii="Times New Roman" w:cs="Times New Roman" w:eastAsia="Times New Roman" w:hAnsi="Times New Roman"/>
          <w:sz w:val="17"/>
          <w:szCs w:val="17"/>
          <w:color w:val="auto"/>
        </w:rPr>
        <w:t>In evaluating the proposals to be presented at the annual general meeting, a shareholder should carefully read this proxy statement/prospectus and especially consider the factors discussed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p>
    <w:p>
      <w:pPr>
        <w:spacing w:after="0" w:line="2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Sources of Industry and Market Data</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 information has been sourced from a third party, the source of such information has been identified.</w:t>
      </w:r>
    </w:p>
    <w:p>
      <w:pPr>
        <w:spacing w:after="0" w:line="3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320" w:right="339" w:firstLine="360"/>
        <w:spacing w:after="0" w:line="254" w:lineRule="auto"/>
        <w:rPr>
          <w:sz w:val="20"/>
          <w:szCs w:val="20"/>
          <w:color w:val="auto"/>
        </w:rPr>
      </w:pPr>
      <w:r>
        <w:rPr>
          <w:rFonts w:ascii="Times New Roman" w:cs="Times New Roman" w:eastAsia="Times New Roman" w:hAnsi="Times New Roman"/>
          <w:sz w:val="18"/>
          <w:szCs w:val="18"/>
          <w:color w:val="auto"/>
        </w:rPr>
        <w:t>ProKidney is an “emerging growth company,” as defined in Section 2(a)(19) of the Securities Act, as modified by the Jumpstart Our Business Startups Act of 2012, as amended (the “JOBS Act”), and it may take advantage of certain exemptions from various reporting requirements that are applicable to other companies that are not emerging growth companies, including, but not limited to, not being required to comply with the auditor attestation requirements of Section 404 of the Sarbanes-Oxley Act of 2002, as amended (“SOX”),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84" w:lineRule="exact"/>
        <w:rPr>
          <w:sz w:val="20"/>
          <w:szCs w:val="20"/>
          <w:color w:val="auto"/>
        </w:rPr>
      </w:pPr>
    </w:p>
    <w:p>
      <w:pPr>
        <w:ind w:left="320" w:right="319" w:firstLine="360"/>
        <w:spacing w:after="0" w:line="255"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ProKidney has elected to take advantage of the benefits of this extended transition period. This may make comparison of ProKidney’s financial statements with certain other public companies difficult or impossible because of the potential differences in accounting standards used.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386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3405" cy="38614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39" w:firstLine="360"/>
        <w:spacing w:after="0" w:line="255" w:lineRule="auto"/>
        <w:rPr>
          <w:sz w:val="20"/>
          <w:szCs w:val="20"/>
          <w:color w:val="auto"/>
        </w:rPr>
      </w:pPr>
      <w:r>
        <w:rPr>
          <w:rFonts w:ascii="Times New Roman" w:cs="Times New Roman" w:eastAsia="Times New Roman" w:hAnsi="Times New Roman"/>
          <w:sz w:val="18"/>
          <w:szCs w:val="18"/>
          <w:color w:val="auto"/>
        </w:rPr>
        <w:t>ProKidney will remain an emerging growth company until the earlier of (1) the last day of the fiscal year (a) following the fifth anniversary of the completion of the first sale of its securities pursuant to a registration statement that has been declared effective, (b) in which it has total annual gross revenue of at least $1.235 billion (as adjusted for inflation pursuant to SEC rules from time to time), or (c) in which it is deemed to be a large accelerated filer, which means the market value of its Class A ordinary shares that are held by non-affiliates exceeds $700 million as of the prior June 30th, and (2) the date on which it has issued more than $1.00 billion in non-convertible debt during the prior three-year period.</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TICKER SYMBOL AND DIVIDEND INFORMATION</w:t>
      </w:r>
    </w:p>
    <w:p>
      <w:pPr>
        <w:spacing w:after="0" w:line="3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ProKidney Ordinary Shares</w:t>
      </w:r>
    </w:p>
    <w:p>
      <w:pPr>
        <w:spacing w:after="0" w:line="121" w:lineRule="exact"/>
        <w:rPr>
          <w:sz w:val="20"/>
          <w:szCs w:val="20"/>
          <w:color w:val="auto"/>
        </w:rPr>
      </w:pPr>
    </w:p>
    <w:p>
      <w:pPr>
        <w:ind w:left="320" w:right="339" w:firstLine="360"/>
        <w:spacing w:after="0" w:line="266" w:lineRule="auto"/>
        <w:rPr>
          <w:sz w:val="20"/>
          <w:szCs w:val="20"/>
          <w:color w:val="auto"/>
        </w:rPr>
      </w:pPr>
      <w:r>
        <w:rPr>
          <w:rFonts w:ascii="Times New Roman" w:cs="Times New Roman" w:eastAsia="Times New Roman" w:hAnsi="Times New Roman"/>
          <w:sz w:val="18"/>
          <w:szCs w:val="18"/>
          <w:color w:val="auto"/>
        </w:rPr>
        <w:t>ProKidney’s Class A ordinary shares are currently listed on Nasdaq under the symbol “PROK”. ProKidney Delaware’s Class A common stock will continue to trade under the same symbol following the domestication. There is no public market for our Class B ordinary shares.</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left="320" w:right="419" w:firstLine="360"/>
        <w:spacing w:after="0" w:line="282" w:lineRule="auto"/>
        <w:rPr>
          <w:sz w:val="20"/>
          <w:szCs w:val="20"/>
          <w:color w:val="auto"/>
        </w:rPr>
      </w:pPr>
      <w:r>
        <w:rPr>
          <w:rFonts w:ascii="Times New Roman" w:cs="Times New Roman" w:eastAsia="Times New Roman" w:hAnsi="Times New Roman"/>
          <w:sz w:val="18"/>
          <w:szCs w:val="18"/>
          <w:color w:val="auto"/>
        </w:rPr>
        <w:t>As of [•], 2025, there were [•] holders of record of our Class A ordinary shares and [•] holders of record of our Class B ordinary shares.</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cash dividends have ever been declared or paid on the common equity to date by the Company.</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should carefully consider the following risk factors, together with all of the other information included and incorporated by reference in this proxy statement/prospectus, before they decide whether to vote or instruct their vote to be cast to approve the proposals described in this proxy statement/prospectus. These risks could have a material adverse effect on the business, results of operations or financial condition of ProKidney Delaware and could adversely affect the trading price of its common stock.</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Your rights as a shareholder will change as a result of the domestication.</w:t>
      </w:r>
    </w:p>
    <w:p>
      <w:pPr>
        <w:spacing w:after="0" w:line="121"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Currently, your rights as a shareholder of ProKidney arise under the laws of the Cayman Islands, as well as the Existing Organizational Documents. At the effective time of the domestication, your rights as a shareholder of ProKidney Delaware will arise under Delaware law, as well as the Proposed Organizational Documents. The Proposed Organizational Documents and Delaware law contain provisions that differ in certain material respects from those in our Existing Organizational Documents and Cayman Islands law and, therefore, some of your rights as a shareholder will change. For a description of your rights following the domestication and how they may differ from your current rights, please see the section entitled “</w:t>
      </w:r>
      <w:r>
        <w:rPr>
          <w:rFonts w:ascii="Times New Roman" w:cs="Times New Roman" w:eastAsia="Times New Roman" w:hAnsi="Times New Roman"/>
          <w:sz w:val="17"/>
          <w:szCs w:val="17"/>
          <w:i w:val="1"/>
          <w:iCs w:val="1"/>
          <w:color w:val="auto"/>
        </w:rPr>
        <w:t>Comparison of Corporate Governance and Shareholder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Rights.</w:t>
      </w:r>
      <w:r>
        <w:rPr>
          <w:rFonts w:ascii="Times New Roman" w:cs="Times New Roman" w:eastAsia="Times New Roman" w:hAnsi="Times New Roman"/>
          <w:sz w:val="17"/>
          <w:szCs w:val="17"/>
          <w:color w:val="auto"/>
        </w:rPr>
        <w:t>” We also urge shareholders to carefully consult the information set forth in the section entitled “</w:t>
      </w:r>
      <w:r>
        <w:rPr>
          <w:rFonts w:ascii="Times New Roman" w:cs="Times New Roman" w:eastAsia="Times New Roman" w:hAnsi="Times New Roman"/>
          <w:sz w:val="17"/>
          <w:szCs w:val="17"/>
          <w:i w:val="1"/>
          <w:iCs w:val="1"/>
          <w:color w:val="auto"/>
        </w:rPr>
        <w:t>Proposal No. 3 Advisory Charter Proposals</w:t>
      </w:r>
      <w:r>
        <w:rPr>
          <w:rFonts w:ascii="Times New Roman" w:cs="Times New Roman" w:eastAsia="Times New Roman" w:hAnsi="Times New Roman"/>
          <w:sz w:val="17"/>
          <w:szCs w:val="17"/>
          <w:color w:val="auto"/>
        </w:rPr>
        <w:t>,” the Existing Organizational Documents of ProKidney, attached hereto as Annex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Proposed Organizational Documents of ProKidney Delaware, attached hereto as Annexes B and C.</w:t>
      </w:r>
    </w:p>
    <w:p>
      <w:pPr>
        <w:spacing w:after="0" w:line="173" w:lineRule="exact"/>
        <w:rPr>
          <w:sz w:val="20"/>
          <w:szCs w:val="20"/>
          <w:color w:val="auto"/>
        </w:rPr>
      </w:pPr>
    </w:p>
    <w:p>
      <w:pPr>
        <w:ind w:left="300" w:right="9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domesticate to the U.S. and such domestication may result in disruptions to our business or otherwise materially harm our results of operations or financial condition.</w:t>
      </w:r>
    </w:p>
    <w:p>
      <w:pPr>
        <w:spacing w:after="0" w:line="51" w:lineRule="exact"/>
        <w:rPr>
          <w:sz w:val="20"/>
          <w:szCs w:val="20"/>
          <w:color w:val="auto"/>
        </w:rPr>
      </w:pPr>
    </w:p>
    <w:p>
      <w:pPr>
        <w:ind w:left="300" w:right="439" w:firstLine="360"/>
        <w:spacing w:after="0" w:line="253" w:lineRule="auto"/>
        <w:rPr>
          <w:sz w:val="20"/>
          <w:szCs w:val="20"/>
          <w:color w:val="auto"/>
        </w:rPr>
      </w:pPr>
      <w:r>
        <w:rPr>
          <w:rFonts w:ascii="Times New Roman" w:cs="Times New Roman" w:eastAsia="Times New Roman" w:hAnsi="Times New Roman"/>
          <w:sz w:val="18"/>
          <w:szCs w:val="18"/>
          <w:color w:val="auto"/>
        </w:rPr>
        <w:t>We are incorporated in the Cayman Islands, while our principal offices, management and board members are located in the United States. If the domestication proposal and new charter proposal are approved, we will begin proceedings in the Cayman Islands to domesticate to the State of Delaware in the United States, while maintaining our Nasdaq listing. Such domestication may require a significant amount of time, cost and focus from management and other employees, which may divert attention from our research and clinical activities. If any domestication activities we undertake in the future fail to achieve some or all of the expected benefits therefrom, our business, results of operations and financial condition could be materially and adversely affected. In addition, the domestication of the company is subject to all corporate approvals, including an approval of our shareholders pursuant to this proxy statement/prospectus, and such domestication may result in certain shareholders recognizing taxable income in the jurisdiction in which such shareholders are tax residents or in, in certain cases, in which their members or partners are resident. Shareholders may be subject to withholding taxes or other taxes with respect to their ownership of the company after the domestication. If the plan to domesticate the company is adopted and executed, we do not intend to make any cash distributions to shareholders to pay such taxes.</w:t>
      </w:r>
    </w:p>
    <w:p>
      <w:pPr>
        <w:spacing w:after="0" w:line="183" w:lineRule="exact"/>
        <w:rPr>
          <w:sz w:val="20"/>
          <w:szCs w:val="20"/>
          <w:color w:val="auto"/>
        </w:rPr>
      </w:pPr>
    </w:p>
    <w:p>
      <w:pPr>
        <w:ind w:left="300" w:right="6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Proposed Organizational Documents and under Delaware law could make an acquisition of us more difficult and limit attempts by our shareholders to replace or remove our current management.</w:t>
      </w:r>
    </w:p>
    <w:p>
      <w:pPr>
        <w:spacing w:after="0" w:line="67"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Both the Existing Organizational Documents and Proposed Organizational Documents contain anti-takeover provisions that may have the effect of delaying or preventing a change in control or changes in our management. The Proposed Organizational Documents, which will be effective at the effective time of the domestication, include the following anti-takeover provisions:</w:t>
      </w:r>
    </w:p>
    <w:p>
      <w:pPr>
        <w:spacing w:after="0" w:line="72"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issue one or more series of preferred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classified board dividing into three classes of directors with staggered three-year terms;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shareholders to act without a meeting of our shareholders, subject to certain exceptions;</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regarding how shareholders may present proposals to nominate directors for election at shareholder meetings;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directors, and not shareholders, to fill vacancies on the Board.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759" w:firstLine="360"/>
        <w:spacing w:after="0" w:line="284" w:lineRule="auto"/>
        <w:rPr>
          <w:sz w:val="20"/>
          <w:szCs w:val="20"/>
          <w:color w:val="auto"/>
        </w:rPr>
      </w:pPr>
      <w:r>
        <w:rPr>
          <w:rFonts w:ascii="Times New Roman" w:cs="Times New Roman" w:eastAsia="Times New Roman" w:hAnsi="Times New Roman"/>
          <w:sz w:val="18"/>
          <w:szCs w:val="18"/>
          <w:color w:val="auto"/>
        </w:rPr>
        <w:t>For a comparison of how these provisions may differ from your current rights, please see “</w:t>
      </w:r>
      <w:r>
        <w:rPr>
          <w:rFonts w:ascii="Times New Roman" w:cs="Times New Roman" w:eastAsia="Times New Roman" w:hAnsi="Times New Roman"/>
          <w:sz w:val="18"/>
          <w:szCs w:val="18"/>
          <w:i w:val="1"/>
          <w:iCs w:val="1"/>
          <w:color w:val="auto"/>
        </w:rPr>
        <w:t>Comparison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Governance and Shareholder Rights.”</w:t>
      </w:r>
    </w:p>
    <w:p>
      <w:pPr>
        <w:spacing w:after="0" w:line="52" w:lineRule="exact"/>
        <w:rPr>
          <w:sz w:val="20"/>
          <w:szCs w:val="20"/>
          <w:color w:val="auto"/>
        </w:rPr>
      </w:pPr>
    </w:p>
    <w:p>
      <w:pPr>
        <w:ind w:left="300" w:right="339" w:firstLine="360"/>
        <w:spacing w:after="0" w:line="274" w:lineRule="auto"/>
        <w:rPr>
          <w:sz w:val="20"/>
          <w:szCs w:val="20"/>
          <w:color w:val="auto"/>
        </w:rPr>
      </w:pPr>
      <w:r>
        <w:rPr>
          <w:rFonts w:ascii="Times New Roman" w:cs="Times New Roman" w:eastAsia="Times New Roman" w:hAnsi="Times New Roman"/>
          <w:sz w:val="17"/>
          <w:szCs w:val="17"/>
          <w:color w:val="auto"/>
        </w:rPr>
        <w:t>These provisions may frustrate or prevent any attempts by our shareholders to replace or remove our current management by making it more difficult for shareholders to replace members of ProKidney Delaware’s board of directors, which is responsible for appointing the members of our management, and may discourage, delay or prevent a transaction involving a change in control of ProKidney Delaware that is in the best interest of our minority shareholders. Even in the absence of a takeover attempt, the existence of these provisions may adversely affect the prevailing market price of our common stock if shareholders view them as discouraging future takeover attempts.</w:t>
      </w:r>
    </w:p>
    <w:p>
      <w:pPr>
        <w:spacing w:after="0" w:line="6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In addition, following the domestication, we will be subject to provisions of Delaware law, including Section 203 of the DGCL, which prohibits “business combinations” (as such term is defined in Section 203 of the DGCL) by a corporation or certain of its subsidiaries with an “interested stockholder” (as such term is defined in Section 203 of the DGCL) for a period of three years after the person or entity becomes an interested stockholder, subject to certain exceptions therein. Given existing commercial relationships as disclosed in “</w:t>
      </w:r>
      <w:r>
        <w:rPr>
          <w:rFonts w:ascii="Times New Roman" w:cs="Times New Roman" w:eastAsia="Times New Roman" w:hAnsi="Times New Roman"/>
          <w:sz w:val="18"/>
          <w:szCs w:val="18"/>
          <w:i w:val="1"/>
          <w:iCs w:val="1"/>
          <w:color w:val="auto"/>
        </w:rPr>
        <w:t>Certain Relationships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Related Person Transactions</w:t>
      </w:r>
      <w:r>
        <w:rPr>
          <w:rFonts w:ascii="Times New Roman" w:cs="Times New Roman" w:eastAsia="Times New Roman" w:hAnsi="Times New Roman"/>
          <w:sz w:val="18"/>
          <w:szCs w:val="18"/>
          <w:color w:val="auto"/>
        </w:rPr>
        <w:t>”, in connection with the domestication, the Board intends to adopt a resolution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approving as an “interested stockholder” one or more existing stockholders, together with their affiliates or associates, effective upon the effective time of the domestication for purposes of Section 203 of the DGCL.</w:t>
      </w:r>
    </w:p>
    <w:p>
      <w:pPr>
        <w:spacing w:after="0" w:line="188"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The Proposed Organizational Documents designate the Court of Chancery of the State of Delaware (or, if and only if the Court of Chancery of the State of Delaware lacks subject matter jurisdiction, any state court located within the State of Delaware), as the sole and exclusive forum for certain types of actions and proceedings that may be initiated by our shareholders, which could discourage lawsuits against us and our directors and officers.</w:t>
      </w:r>
    </w:p>
    <w:p>
      <w:pPr>
        <w:spacing w:after="0" w:line="57"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Proposed Charter, which would become effective at effectiveness of the domestication, provides that unless ProKidney Delaware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be the sole and exclusive forum for certain disputes, including: (A) any derivative action or proceeding brought on behalf of ProKidney Delaware; (B) any action or proceeding (including any class action) asserting a claim of breach of a fiduciary duty owed by any current or former director, officer or other employee of ProKidney Delaware to ProKidney Delaware or its stockholders; (C) any action or proceeding (including any class action) asserting a claim against ProKidney Delaware or any current or former director, officer or other employee of ProKidney Delaware arising out of or pursuant to any provision of the DGCL or the Proposed Organizational Documents (as each may be amended from time to time); (D) any action or proceeding (including any class action) to interpret, apply, enforce or determine the validity of the Proposed Organizational Documents (including any right, obligation or remedy thereunder); (E) any action or proceeding as to which the DGCL confers jurisdiction to the Court of Chancery of the State of Delaware; and/or (F) any action or claim against ProKidney Delaware or any current or former director, officer or other employee of ProKidney Delaware governed by the internal affairs doctrine or an “internal corporate claim” as defined in Section 115 of the DGCL, in each case, subject to said court having personal jurisdiction over the indispensable parties named as defendants therein. This exclusive forum provision may limit the ability of our shareholders to bring a claim in a judicial forum that such shareholders find favorable for disputes with us or our directors or officers, which may discourage such lawsuits against us and our directors and officers.</w:t>
      </w:r>
    </w:p>
    <w:p>
      <w:pPr>
        <w:spacing w:after="0" w:line="185" w:lineRule="exact"/>
        <w:rPr>
          <w:sz w:val="20"/>
          <w:szCs w:val="20"/>
          <w:color w:val="auto"/>
        </w:rPr>
      </w:pPr>
    </w:p>
    <w:p>
      <w:pPr>
        <w:ind w:left="300" w:right="5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the domestication qualifies as a reorganization under Section 368(a) of the Internal Revenue Code, a U.S. Holder may still recognize gain or other income with respect to their shares at the effective time of the domestication and may cause non-U.S. Holders to become subject to U.S. federal income withholding tax after the domestication.</w:t>
      </w:r>
    </w:p>
    <w:p>
      <w:pPr>
        <w:spacing w:after="0" w:line="7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U.S. Holders are subject to Section 367 of the Code, which, depending on certain ownership thresholds, require (or permit pursuant to an election) the recognition of the “all earnings and profits amount” (as defined in the Treasury regulations) attributable to the ProKidney Class A ordinary shares held directly by such holder. ProKidney does not expect that its cumulative earnings and profits will be greater than zero at the time of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domestication. As a result, as discussed in further detail under “</w:t>
      </w:r>
      <w:r>
        <w:rPr>
          <w:rFonts w:ascii="Times New Roman" w:cs="Times New Roman" w:eastAsia="Times New Roman" w:hAnsi="Times New Roman"/>
          <w:sz w:val="18"/>
          <w:szCs w:val="18"/>
          <w:i w:val="1"/>
          <w:iCs w:val="1"/>
          <w:color w:val="auto"/>
        </w:rPr>
        <w:t>Material U.S. Federal Income Tax Considerations—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Holders—Effects of Section 367 to U.S. Holders</w:t>
      </w:r>
      <w:r>
        <w:rPr>
          <w:rFonts w:ascii="Times New Roman" w:cs="Times New Roman" w:eastAsia="Times New Roman" w:hAnsi="Times New Roman"/>
          <w:sz w:val="18"/>
          <w:szCs w:val="18"/>
          <w:color w:val="auto"/>
        </w:rPr>
        <w:t>,” and subject to the discussion below concerning PFICs, a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ProKidney Class A ordinary shares will generally not have any gain or loss to recognize, provided, in the case of certain U.S. Holders whose Class A ordinary shares have a fair market value of $50,000 or more, such U.S. Holder either (i) is required to, or (ii) can file an election to, include in income the “all earnings and profits amount” attributable to its ProKidney Class A ordinary shares, which amount is expected to be zero, and provided certain other requirements are satisfied.</w:t>
      </w:r>
    </w:p>
    <w:p>
      <w:pPr>
        <w:spacing w:after="0" w:line="75"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Additionally, the domestication may cause non-U.S. Holders (as defined in “</w:t>
      </w:r>
      <w:r>
        <w:rPr>
          <w:rFonts w:ascii="Times New Roman" w:cs="Times New Roman" w:eastAsia="Times New Roman" w:hAnsi="Times New Roman"/>
          <w:sz w:val="18"/>
          <w:szCs w:val="18"/>
          <w:i w:val="1"/>
          <w:iCs w:val="1"/>
          <w:color w:val="auto"/>
        </w:rPr>
        <w:t>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below</w:t>
      </w:r>
      <w:r>
        <w:rPr>
          <w:rFonts w:ascii="Times New Roman" w:cs="Times New Roman" w:eastAsia="Times New Roman" w:hAnsi="Times New Roman"/>
          <w:sz w:val="18"/>
          <w:szCs w:val="18"/>
          <w:color w:val="auto"/>
        </w:rPr>
        <w:t>) to become subject to U.S. federal income withholding taxes on any dividends in respect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non-U.S. Holder’s ProKidney Class A common stock subsequent to the domestication. ProKidney does not expect to make any dividend distributions to its shareholders in the near future.</w:t>
      </w:r>
    </w:p>
    <w:p>
      <w:pPr>
        <w:spacing w:after="0" w:line="70" w:lineRule="exact"/>
        <w:rPr>
          <w:sz w:val="20"/>
          <w:szCs w:val="20"/>
          <w:color w:val="auto"/>
        </w:rPr>
      </w:pPr>
    </w:p>
    <w:p>
      <w:pPr>
        <w:ind w:left="300" w:right="5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YOU SHOULD CONSULT YOUR TAX ADVISORS WITH RESPECT TO THE APPLICATION OF U.S. FEDERAL TAX LAWS TO YOUR PARTICULAR SITUATION, AS WELL AS ANY TAX CONSEQUENCES ARISING UNDER THE LAWS OF ANY STATE, LOCAL OR NON-U.S. JURISDICTION.</w:t>
      </w:r>
    </w:p>
    <w:p>
      <w:pPr>
        <w:spacing w:after="0" w:line="176"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which could result in adverse United States federal income tax consequences to U.S. investors.</w:t>
      </w:r>
    </w:p>
    <w:p>
      <w:pPr>
        <w:spacing w:after="0" w:line="49"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As discussed further under “</w:t>
      </w:r>
      <w:r>
        <w:rPr>
          <w:rFonts w:ascii="Times New Roman" w:cs="Times New Roman" w:eastAsia="Times New Roman" w:hAnsi="Times New Roman"/>
          <w:sz w:val="18"/>
          <w:szCs w:val="18"/>
          <w:i w:val="1"/>
          <w:iCs w:val="1"/>
          <w:color w:val="auto"/>
        </w:rPr>
        <w:t>Material U.S. Federal Income Tax Considerations</w:t>
      </w:r>
      <w:r>
        <w:rPr>
          <w:rFonts w:ascii="Times New Roman" w:cs="Times New Roman" w:eastAsia="Times New Roman" w:hAnsi="Times New Roman"/>
          <w:sz w:val="18"/>
          <w:szCs w:val="18"/>
          <w:color w:val="auto"/>
        </w:rPr>
        <w:t>” below, ProKidney believes that it is likely (and likely has been) a PFIC for U.S. federal income tax purposes. In the event that ProKidney is (or in some cases has been) treated as a PFIC, notwithstanding the foregoing, proposed Treasury Regulations under Section 1291(f) of the Code (which have a retroactive effective date), if finalized in their current form, generally would require a U.S. Holder to recognize gain as a result of the exchange of ProKidney Class A ordinary shares for the Class A common stock of the Delaware corporation pursuant to the domestication unless the U.S. Holder makes (or has made) certain elections (including, for example, a QEF election) discussed further under “</w:t>
      </w:r>
      <w:r>
        <w:rPr>
          <w:rFonts w:ascii="Times New Roman" w:cs="Times New Roman" w:eastAsia="Times New Roman" w:hAnsi="Times New Roman"/>
          <w:sz w:val="18"/>
          <w:szCs w:val="18"/>
          <w:i w:val="1"/>
          <w:iCs w:val="1"/>
          <w:color w:val="auto"/>
        </w:rPr>
        <w:t>Material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Considerations—U.S. Holders—Effects of Section 367 on U.S. Holders.</w:t>
      </w:r>
      <w:r>
        <w:rPr>
          <w:rFonts w:ascii="Times New Roman" w:cs="Times New Roman" w:eastAsia="Times New Roman" w:hAnsi="Times New Roman"/>
          <w:sz w:val="18"/>
          <w:szCs w:val="18"/>
          <w:color w:val="auto"/>
        </w:rPr>
        <w:t>” The tax on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would be imposed at the rate applicable to ordinary income and an interest charge would apply based on a complex set of rules. It is difficult to predict whether such proposed regulations will be finalized and whether, in what form, and with what effective date, other final Treasury Regulations under Section 1291(f) of the Code will be adopted. Each U.S. Holder of ProKidney Class A ordinary shares is urged to consult its own tax advisor concerning the application of the PFIC rules to the exchange of ProKidney Class A ordinary shares for ProKidney common stock pursuant to the domestication. For a more detailed explanation of the tax consequences of PFIC classification to U.S. Holders, see the section of this proxy statement/prospectus captioned “</w:t>
      </w:r>
      <w:r>
        <w:rPr>
          <w:rFonts w:ascii="Times New Roman" w:cs="Times New Roman" w:eastAsia="Times New Roman" w:hAnsi="Times New Roman"/>
          <w:sz w:val="18"/>
          <w:szCs w:val="18"/>
          <w:i w:val="1"/>
          <w:iCs w:val="1"/>
          <w:color w:val="auto"/>
        </w:rPr>
        <w:t>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Considerations—U.S. Holders—PFIC Considerations.”</w:t>
      </w:r>
    </w:p>
    <w:p>
      <w:pPr>
        <w:spacing w:after="0" w:line="193" w:lineRule="exact"/>
        <w:rPr>
          <w:sz w:val="20"/>
          <w:szCs w:val="20"/>
          <w:color w:val="auto"/>
        </w:rPr>
      </w:pPr>
    </w:p>
    <w:p>
      <w:pPr>
        <w:ind w:left="30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Class B shareholders, including certain of our directors and officers, may have potential interests in the domestication different from or in addition to the interests of our public shareholders, and such interests may have influenced their decisions to approve the domestication and recommend that our shareholders approve the domestication proposal.</w:t>
      </w:r>
    </w:p>
    <w:p>
      <w:pPr>
        <w:spacing w:after="0" w:line="72"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ProKidney’s Class B shareholders, including certain of our directors and officers, may have potential interests in and arising from the domestication that are different from or in addition to the interests of ProKidney’s public shareholders because they are parties to the Tax Receivable Agreement. Pursuant to the Tax Receivable Agreement, among other things, ProKidney is required to pay holders of common units of PKLP and ProKidney Class B ordinary shares 85% of certain tax savings recognized by ProKidney, if any, as a result of the increases in tax basis attributable to exchanges by such holders of common units of PKLP and the Class B ordinary shares for the Class A ordinary shares or, subject to certain restrictions, cash, pursuant to the Exchange Agreement and certain other tax attributes of PKLP and tax benefits related to entering into the Tax Receivable Agreement. After the domestication and the related Restructuring, ProKidney Delaware will succeed to the aforementioned obligations of ProKidney under the Tax Receivable Agreement to pay holders of common units of ProKidney Holdings and Class B common stock of ProKidney Delaware 85% of certain tax savings recognized by ProKidney Delaware, if any, pursuant to the Tax Receivable Agreement attributable to exchanges of common units of ProKidney Holdings for Class A common stock of ProKidney Delaware.</w:t>
      </w:r>
    </w:p>
    <w:p>
      <w:pPr>
        <w:spacing w:after="0" w:line="79" w:lineRule="exact"/>
        <w:rPr>
          <w:sz w:val="20"/>
          <w:szCs w:val="20"/>
          <w:color w:val="auto"/>
        </w:rPr>
      </w:pPr>
    </w:p>
    <w:p>
      <w:pPr>
        <w:ind w:left="300" w:right="559" w:firstLine="360"/>
        <w:spacing w:after="0" w:line="312" w:lineRule="auto"/>
        <w:rPr>
          <w:sz w:val="20"/>
          <w:szCs w:val="20"/>
          <w:color w:val="auto"/>
        </w:rPr>
      </w:pPr>
      <w:r>
        <w:rPr>
          <w:rFonts w:ascii="Times New Roman" w:cs="Times New Roman" w:eastAsia="Times New Roman" w:hAnsi="Times New Roman"/>
          <w:sz w:val="17"/>
          <w:szCs w:val="17"/>
          <w:color w:val="auto"/>
        </w:rPr>
        <w:t>These payment obligations under the Tax Receivable Agreement could have been greater or lesser than what they might have been had ProKidney determined to migrate to a jurisdiction other than the United States. The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amount and timing of any payments under the Tax Receivable Agreement are highly speculative and remain dependent upon a number of factors, including the timing of exchanges, the market price of the Class A common stock at the time of the exchange, the extent to which such exchanges are taxable and the amount and timing of the recognition of ProKidney Holdings’ income. Many of the factors that will determine the amount of payments that ProKidney Delaware will make under the Tax Receivable Agreement remain outside of ProKidney Delaware’s control. Because ProKidney Holdings does not expect to generate significant operating revenues in the near future, if at all, ProKidney Delaware’s payment obligations under the Tax Receivable Agreement in the near future, if any, are not expected to be material.</w:t>
      </w:r>
    </w:p>
    <w:p>
      <w:pPr>
        <w:spacing w:after="0" w:line="350" w:lineRule="exact"/>
        <w:rPr>
          <w:sz w:val="20"/>
          <w:szCs w:val="20"/>
          <w:color w:val="auto"/>
        </w:rPr>
      </w:pPr>
    </w:p>
    <w:p>
      <w:pPr>
        <w:ind w:left="300" w:right="10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transaction costs in connection with the completion of the domestication and related transactions, some of which will be incurred whether or not the domestication is completed.</w:t>
      </w:r>
    </w:p>
    <w:p>
      <w:pPr>
        <w:spacing w:after="0" w:line="51"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We expect to incur significant transaction costs in connection with the domestication and related transactions. Our Board may decide to defer or abandon the domestication at any time prior to the completion of the domestication. The substantial majority of these costs will be incurred regardless of whether the domestication is completed and prior to your vote to adopt the domestication resolution at the annual general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DOMESTICATION</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In considering the recommendation of the Board with respect to the domestication proposal and the new charter proposal, you should be aware that ProKidney’s Class B shareholders, including certain of our directors and officers, may have potential interests in and arising from the domestication that are different from or in addition to the interests of ProKidney’s public shareholders because they are parties to the Tax Receivable Agreement. Under the Tax Receivable Agreement, ProKidney is required to pay holders of common units of PKLP and ProKidney Class B ordinary shares 85% of certain tax savings recognized by ProKidney, if any, as a result of the increases in tax basis attributable to exchanges by such holders of common units of PKLP and ProKidney’s Class B ordinary shares for Class A ordinary shares or, subject to certain restrictions, cash, pursuant to the Exchange Agreement and certain other tax attributes of PKLP and tax benefits related to entering into the Tax Receivable Agreement. After the domestication and the related Restructuring, ProKidney Delaware will succeed to the aforementioned obligations of ProKidney under the Tax Receivable Agreement to pay holders of common units of ProKidney Holdings and Class B common stock of ProKidney Delaware 85% of certain tax savings recognized by ProKidney Delaware, if any, pursuant to the Tax Receivable Agreement attributable to exchanges of common units of ProKidney Holdings for Class A common stock of ProKidney Delaware.</w:t>
      </w:r>
    </w:p>
    <w:p>
      <w:pPr>
        <w:spacing w:after="0" w:line="8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These payment obligations under the Tax Receivable Agreement could have been greater or lesser than what they might have been had ProKidney determined to migrate to a jurisdiction other than the United States. The amount and timing of any payments under the Tax Receivable Agreement remains highly speculative and dependent upon a number of factors, including the timing of exchanges, the market price of the Class A ordinary share at the time of the exchange, the extent to which such exchanges are taxable and the amount and timing of the recognition of ProKidney Holdings’ income. Many of the factors that will determine the amount of payments that ProKidney Delaware will make under the Tax Receivable Agreement remain outside of ProKidney Delaware’s control. Because ProKidney Holdings does not expect to generate significant operating revenues in the near future, if at all, ProKidney Delaware’s payment obligations under the Tax Receivable Agreement in the near future, if any, are not expected to be material.</w:t>
      </w:r>
    </w:p>
    <w:p>
      <w:pPr>
        <w:spacing w:after="0" w:line="82"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THE BOARD WAS AWARE OF THESE INTERESTS AND CONSIDERED THEM, AMONG OTHER MATTERS, IN REACHING THE DETERMINATION THAT THE DOMESTICATION PROPOSAL AND THE NEW CHARTER PROPOSAL ARE FAIR, ADVISABLE AND IN THE BEST INTERESTS OF PROKIDNEY AND ITS SHAREHOLDERS AND IN MAKING THEIR RECOMMENDATIONS REGARDING APPROVAL OF THE DOMESTICATION PROPOSAL AND THE NEW CHARTER PROPOSAL. IN ADDITION TO THE DOMESTICATION PROPOSAL BEING APPROVED BY THE FULL BOARD, THE DIRECTORS OF THE BOARD WHO DO NOT OWN CLASS B ORDINARY SHARES ALSO APPROVED THE DOMESTICATION PROPOSAL.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DOMESTICATION PROPOSAL</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459" w:firstLine="360"/>
        <w:spacing w:after="0" w:line="252" w:lineRule="auto"/>
        <w:rPr>
          <w:sz w:val="20"/>
          <w:szCs w:val="20"/>
          <w:color w:val="auto"/>
        </w:rPr>
      </w:pPr>
      <w:r>
        <w:rPr>
          <w:rFonts w:ascii="Times New Roman" w:cs="Times New Roman" w:eastAsia="Times New Roman" w:hAnsi="Times New Roman"/>
          <w:sz w:val="18"/>
          <w:szCs w:val="18"/>
          <w:color w:val="auto"/>
        </w:rPr>
        <w:t>As discussed in this proxy statement/prospectus, we are asking our shareholders to approve the domestication proposal. Each of (i) the full Board of ProKidney and (ii) the directors of the Board who do not own Class B ordinary shares unanimously approved and recommended that shareholders approve a change of our jurisdiction of incorporation from the Cayman Islands to the State of Delaware by deregistering as an exempted company in the Cayman Islands and domesticating and continuing as a corporation incorporated under the laws of the State of Delaware. To effect the domestication, upon approval of the domestication proposal and the new charter proposal, we will file an application for deregistration with the Cayman Islands Registrar of Companies, together with the necessary accompanying documents and fees, and file the Proposed Charter and a Certificate of Corporate Domestication with the Secretary of State of the State of Delaware, under which we will be domesticated and continue as a Delaware corporation. At the effective time of the domestication, by virtue of the domestication and without any further action on the part of any holder thereof, (i) each Class A ordinary share issued and outstanding immediately prior to the effective time of the domestication will be automatically converted into one (1) share of Class A common stock, and (ii) each Class B ordinary share issued and outstanding immediately prior to the effective time of the domestication will be automatically converted into one (1) share of Class B common stock.</w:t>
      </w:r>
    </w:p>
    <w:p>
      <w:pPr>
        <w:spacing w:after="0" w:line="8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domestication proposal together with the new charter proposal, if approved, will approve a change of our jurisdiction of incorporation from the Cayman Islands to the State of Delaware. Accordingly, while we are currently governed by the Cayman Islands Companies Act, upon effectiveness of the domestication, ProKidney Delaware will be governed by the DGCL. We urge shareholders to carefully consult the information set out below under “</w:t>
      </w:r>
      <w:r>
        <w:rPr>
          <w:rFonts w:ascii="Times New Roman" w:cs="Times New Roman" w:eastAsia="Times New Roman" w:hAnsi="Times New Roman"/>
          <w:sz w:val="18"/>
          <w:szCs w:val="18"/>
          <w:i w:val="1"/>
          <w:iCs w:val="1"/>
          <w:color w:val="auto"/>
        </w:rPr>
        <w:t>Comparison of Corporate Governance and Shareholder Rights</w:t>
      </w:r>
      <w:r>
        <w:rPr>
          <w:rFonts w:ascii="Times New Roman" w:cs="Times New Roman" w:eastAsia="Times New Roman" w:hAnsi="Times New Roman"/>
          <w:sz w:val="18"/>
          <w:szCs w:val="18"/>
          <w:color w:val="auto"/>
        </w:rPr>
        <w:t>.” Additionally, in connection with the domestication proposal, we are asking ProKidney’s shareholders to approve (i) the new charter proposal (with the approval of the domestication proposal being conditioned upon the new charter proposal also being approved) and</w:t>
      </w:r>
    </w:p>
    <w:p>
      <w:pPr>
        <w:spacing w:after="0" w:line="3" w:lineRule="exact"/>
        <w:rPr>
          <w:sz w:val="20"/>
          <w:szCs w:val="20"/>
          <w:color w:val="auto"/>
        </w:rPr>
      </w:pPr>
    </w:p>
    <w:p>
      <w:pPr>
        <w:ind w:left="300" w:right="319" w:hanging="8"/>
        <w:spacing w:after="0" w:line="253" w:lineRule="auto"/>
        <w:tabs>
          <w:tab w:leader="none" w:pos="5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five non-binding, advisory charter proposals (with the approval of the domestication proposal or the new charter proposal not being conditioned upon any of the non-binding, advisory charter proposals being approved). We urge shareholders to carefully consult the information provided in the advisory charter proposals, the Existing Organizational Documents, attached hereto as Annex A, and the Proposed Organizational Documents of ProKidney Delaware, forms of which are attached hereto as Annexes B and C.</w:t>
      </w:r>
    </w:p>
    <w:p>
      <w:pPr>
        <w:spacing w:after="0" w:line="79"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We conduct our operating business indirectly through PKLP, a limited partnership organized under the laws of Ireland of which we are a limited partner, and its subsidiaries. Certain Restructuring transactions are also intended to occur around the time of the domestication as follows: (i) prior to the domestication, PKLP will contribute substantially all of its assets to a newly formed subsidiary, ProKidney Holdings, and PKLP will then make a liquidating distribution of its limited liability company interests in ProKidney Holdings to its partners, including the Company, (ii) assuming the domestication proposal and the new charter proposal are approved, the domestication will be consummated, and (iii) following the domestication, ProKidney-KY will undergo a series of transactions to move its assets to Delaware, which is expected to be structured in the form of a reregistration of ProKidney-KY to a Cayman Islands limited liability company and then the domestication of such Cayman Islands limited liability company to Delaware as a limited liability company expected to be named ProKidney IPCo, LLC. As a result of the consummation of the domestication and the other transactions involved in the Restructuring, ProKidney Delaware and the other former limited partners of PKLP will be members of ProKidney Holdings, and ProKidney Holdings will own all of the subsidiaries that conduct our business, including ProKidney IPCo. ProKidney is not required to and is not seeking approval of the Restructuring, other than approval of the domestication proposal and approval of the new charter proposal.</w:t>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Domestication</w:t>
      </w:r>
    </w:p>
    <w:p>
      <w:pPr>
        <w:spacing w:after="0" w:line="121" w:lineRule="exact"/>
        <w:rPr>
          <w:sz w:val="20"/>
          <w:szCs w:val="20"/>
          <w:color w:val="auto"/>
        </w:rPr>
      </w:pPr>
    </w:p>
    <w:p>
      <w:pPr>
        <w:jc w:val="both"/>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Our Board believes that there are significant advantages to ProKidney Delaware that will arise as a result of a change of domicile to Delaware. Further, our Board believes that any direct benefit that Delaware law provides to a corporation also indirectly benefits the shareholders, who are the owners of the corporation. Our Board believes that there are several reasons why a domestication from the Cayman Islands to Delaware is in the best interests of us and our shareholders.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explained in more detail below, our reasons for the domestication can be summarized as follows:</w:t>
      </w:r>
    </w:p>
    <w:p>
      <w:pPr>
        <w:spacing w:after="0" w:line="115" w:lineRule="exact"/>
        <w:rPr>
          <w:sz w:val="20"/>
          <w:szCs w:val="20"/>
          <w:color w:val="auto"/>
        </w:rPr>
      </w:pPr>
    </w:p>
    <w:p>
      <w:pPr>
        <w:ind w:left="660" w:right="3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Prominence, Predictability, and Flexibility of Delaware Law</w:t>
      </w:r>
      <w:r>
        <w:rPr>
          <w:rFonts w:ascii="Times New Roman" w:cs="Times New Roman" w:eastAsia="Times New Roman" w:hAnsi="Times New Roman"/>
          <w:sz w:val="18"/>
          <w:szCs w:val="18"/>
          <w:color w:val="auto"/>
        </w:rPr>
        <w:t>. For many years, Delaware has followed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policy of encouraging incorporation in its state and, in furtherance of that policy, has been a leader in adopting, construing, and implementing comprehensive, flexible corporate laws responsive to the legal and business needs of corporations organized under its laws. Many corporations have chosen Delaware initially as a state of incorporation or have subsequently changed corporate domicile to Delaware. Because of Delaware’s prominence as the state of incorporation for many major corporations, both the legislature and courts in Delaware have demonstrated the ability and a willingness to act quickly and effectively to meet changing business needs. The DGCL is frequently revised and updated to accommodate changing legal and business needs and is more comprehensive, widely used and interpreted than other state corporate laws. This favorable corporate and regulatory environment is attractive to businesses such as ours. Based on publicly available data, over half of publicly-traded corporations in the United States and approximately two thirds of all Fortune 500 companies are incorporated in Delaware.</w:t>
      </w:r>
    </w:p>
    <w:p>
      <w:pPr>
        <w:spacing w:after="0" w:line="82" w:lineRule="exact"/>
        <w:rPr>
          <w:sz w:val="20"/>
          <w:szCs w:val="20"/>
          <w:color w:val="auto"/>
        </w:rPr>
      </w:pPr>
    </w:p>
    <w:p>
      <w:pPr>
        <w:ind w:left="660" w:right="359" w:firstLine="360"/>
        <w:spacing w:after="0" w:line="268" w:lineRule="auto"/>
        <w:rPr>
          <w:sz w:val="20"/>
          <w:szCs w:val="20"/>
          <w:color w:val="auto"/>
        </w:rPr>
      </w:pPr>
      <w:r>
        <w:rPr>
          <w:rFonts w:ascii="Times New Roman" w:cs="Times New Roman" w:eastAsia="Times New Roman" w:hAnsi="Times New Roman"/>
          <w:sz w:val="17"/>
          <w:szCs w:val="17"/>
          <w:i w:val="1"/>
          <w:iCs w:val="1"/>
          <w:color w:val="auto"/>
        </w:rPr>
        <w:t>Well-Established Principles of Corporate Governance</w:t>
      </w:r>
      <w:r>
        <w:rPr>
          <w:rFonts w:ascii="Times New Roman" w:cs="Times New Roman" w:eastAsia="Times New Roman" w:hAnsi="Times New Roman"/>
          <w:sz w:val="17"/>
          <w:szCs w:val="17"/>
          <w:color w:val="auto"/>
        </w:rPr>
        <w:t>. There is substantial judicial precedent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Delaware courts as to the legal principles applicable to measures that may be taken by a corporation and to the conduct of a corporation’s board of directors, such as under the business judgment rule and other standards. Because the judicial system is based largely on legal precedents, the abundance of Delaware case law provides clarity and predictability to many areas of corporate law. Such clarity would be advantageous to ProKidney Delaware, its Board and management to make corporate decisions and take corporate actions with greater assurance as to the validity and consequences of those decisions and actions. Further, investors and securities professionals are generally more familiar with Delaware corporations, and the laws governing such corporations, increasing their level of comfort with 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provides appropriate protection for shareholders of ProKidney Delaware from possible abuses by directors and officers. It is anticipated that the DGCL will continue to be interpreted and explained in a number of significant court decisions that may provide greater predictability with respect to corporate legal affairs of ProKidney Delaware.</w:t>
      </w:r>
    </w:p>
    <w:p>
      <w:pPr>
        <w:spacing w:after="0" w:line="74"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Increased Ability to Attract and Retain Qualified Directors</w:t>
      </w:r>
      <w:r>
        <w:rPr>
          <w:rFonts w:ascii="Times New Roman" w:cs="Times New Roman" w:eastAsia="Times New Roman" w:hAnsi="Times New Roman"/>
          <w:sz w:val="18"/>
          <w:szCs w:val="18"/>
          <w:color w:val="auto"/>
        </w:rPr>
        <w:t>. Domestication from the Cayman Islands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is attractive to directors, officers, and shareholders alike. ProKidney Delaware’s incorporation in Delaware may make ProKidney Delaware more attractive to future candidates for our Board, because many such candidates are already familiar with Delaware corporate law from their past business experience. To date, we have not experienced difficulty in retaining directors or officers, but directors of public companies are exposed to significant potential liability. Thus, candidates’ familiarity and comfort with Delaware laws— especially those relating to director indemnification (as discussed below)—draw such qualified candidates to Delaware corporations. Our Board therefore believes that providing the benefits afforded directors by Delaware law will enable ProKidney Delaware to compete more effectively with other public companies in the recruitment of talented and experienced directors and officers. Moreover, Delaware’s vast body of law on the fiduciary duties of directors provides appropriate protection for our shareholders from possible abuses by directors and officers.</w:t>
      </w:r>
    </w:p>
    <w:p>
      <w:pPr>
        <w:spacing w:after="0" w:line="84" w:lineRule="exact"/>
        <w:rPr>
          <w:sz w:val="20"/>
          <w:szCs w:val="20"/>
          <w:color w:val="auto"/>
        </w:rPr>
      </w:pPr>
    </w:p>
    <w:p>
      <w:pPr>
        <w:ind w:left="660" w:right="399" w:firstLine="360"/>
        <w:spacing w:after="0" w:line="254" w:lineRule="auto"/>
        <w:rPr>
          <w:sz w:val="20"/>
          <w:szCs w:val="20"/>
          <w:color w:val="auto"/>
        </w:rPr>
      </w:pPr>
      <w:r>
        <w:rPr>
          <w:rFonts w:ascii="Times New Roman" w:cs="Times New Roman" w:eastAsia="Times New Roman" w:hAnsi="Times New Roman"/>
          <w:sz w:val="18"/>
          <w:szCs w:val="18"/>
          <w:color w:val="auto"/>
        </w:rPr>
        <w:t>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While both Cayman Islands and Delaware law permit a corporation to include a provision in its governing documents to reduce or eliminate the monetary liability of directors for breaches of fiduciary duty in certain circumstances, we believe that, in general, Delaware law is more developed and provides more guidance than Cayman Islands law on matters regarding a corporation’s ability to limit director liability. As a result, we believe that the corporate environment afforded by Delaware will enable ProKidney Delaware to compete more effectively with other public companies in attracting and retaining new directors.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Cost Reduction</w:t>
      </w:r>
      <w:r>
        <w:rPr>
          <w:rFonts w:ascii="Times New Roman" w:cs="Times New Roman" w:eastAsia="Times New Roman" w:hAnsi="Times New Roman"/>
          <w:sz w:val="18"/>
          <w:szCs w:val="18"/>
          <w:color w:val="auto"/>
        </w:rPr>
        <w:t>. The domestication enables ProKidney to avoid certain cost inefficiencies that would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ProKidney were to conduct an operating business in the United States as a foreign corporation, including maintaining transfer pricing intercompany and related party arrangements, and compliance for a multijurisdictional cross-border structure.</w:t>
      </w:r>
    </w:p>
    <w:p>
      <w:pPr>
        <w:spacing w:after="0" w:line="72" w:lineRule="exact"/>
        <w:rPr>
          <w:sz w:val="20"/>
          <w:szCs w:val="20"/>
          <w:color w:val="auto"/>
        </w:rPr>
      </w:pPr>
    </w:p>
    <w:p>
      <w:pPr>
        <w:ind w:left="660" w:right="3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ProKidney can mitigate certain tax inefficiencies that would result if ProKidney were to conduct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business in the United States as a foreign corporation.</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Anticipated Accounting Treatment of the Domestication</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We do not believe that there will be a material accounting effect or change in the carrying amount of the consolidated assets and liabilities of ProKidney as a result of domestication. The business, capitalization, assets and liabilities and financial statements of ProKidney Delaware immediately following the domestication will be the same as those of ours immediately prior to the domestication.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jc w:val="both"/>
        <w:ind w:left="300" w:right="399" w:firstLine="360"/>
        <w:spacing w:after="0" w:line="257" w:lineRule="auto"/>
        <w:rPr>
          <w:sz w:val="20"/>
          <w:szCs w:val="20"/>
          <w:color w:val="auto"/>
        </w:rPr>
      </w:pPr>
      <w:r>
        <w:rPr>
          <w:rFonts w:ascii="Times New Roman" w:cs="Times New Roman" w:eastAsia="Times New Roman" w:hAnsi="Times New Roman"/>
          <w:sz w:val="18"/>
          <w:szCs w:val="18"/>
          <w:color w:val="auto"/>
        </w:rPr>
        <w:t>A special resolution, being the affirmative vote of the holders of at least two-thirds of the Class A and Class B ordinary shares, voting as a single class, represented in person or by proxy, entitled to vote thereon, and who vote at the annual general meeting. You may vote “FOR,” “AGAINST” or “ABSTAIN” on the domestication proposal.</w:t>
      </w:r>
    </w:p>
    <w:p>
      <w:pPr>
        <w:spacing w:after="0" w:line="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Brokerage firms do not have authority to vote customers’ unvoted shares held by the firms in street name for the domestication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domestication proposal is conditioned on the approval and adoption of the new charter proposal.</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Full Text of the Resolution</w:t>
      </w:r>
    </w:p>
    <w:p>
      <w:pPr>
        <w:spacing w:after="0" w:line="117"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 Special Resolution that pursuant to the power contained in Article 49 of the Company’s second amended and restated articles and memorandum of association, the domestication of ProKidney Corp., being the registration by way of domestication and continuation as a body corporate under the laws of the State of Delaware and deregistration in the Cayman Islands, be approved, and ProKidney Corp. be authorized to file the Proposed Charter and a Certificate of Corporate Domestication with the Secretary of State of the State of Delaware to domesticate and continue as a corporation in the State of Delaware, pursuant to Sections 206 and 207 of the Companies Act (as amended) of the Cayman Islands and section 388 of the Delaware General Corporation Law.”</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300" w:right="8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THAT SHAREHOLDERS VOTE “FOR” THE APPROVAL OF THE DOMESTICATION PROPOSAL.</w:t>
      </w:r>
    </w:p>
    <w:p>
      <w:pPr>
        <w:spacing w:after="0" w:line="51" w:lineRule="exact"/>
        <w:rPr>
          <w:sz w:val="20"/>
          <w:szCs w:val="20"/>
          <w:color w:val="auto"/>
        </w:rPr>
      </w:pPr>
    </w:p>
    <w:p>
      <w:pPr>
        <w:ind w:left="300" w:right="419" w:firstLine="360"/>
        <w:spacing w:after="0" w:line="289" w:lineRule="auto"/>
        <w:rPr>
          <w:sz w:val="20"/>
          <w:szCs w:val="20"/>
          <w:color w:val="auto"/>
        </w:rPr>
      </w:pPr>
      <w:r>
        <w:rPr>
          <w:rFonts w:ascii="Times New Roman" w:cs="Times New Roman" w:eastAsia="Times New Roman" w:hAnsi="Times New Roman"/>
          <w:sz w:val="17"/>
          <w:szCs w:val="17"/>
          <w:color w:val="auto"/>
        </w:rPr>
        <w:t>One or more of the directors might be deemed to have potential interests in and arising from the domestication that are different from or in addition to the interests of ProKidney and its public shareholders. See the section entitled “</w:t>
      </w:r>
      <w:r>
        <w:rPr>
          <w:rFonts w:ascii="Times New Roman" w:cs="Times New Roman" w:eastAsia="Times New Roman" w:hAnsi="Times New Roman"/>
          <w:sz w:val="17"/>
          <w:szCs w:val="17"/>
          <w:i w:val="1"/>
          <w:iCs w:val="1"/>
          <w:color w:val="auto"/>
        </w:rPr>
        <w:t>Interests of Certain Persons in the Domestication</w:t>
      </w:r>
      <w:r>
        <w:rPr>
          <w:rFonts w:ascii="Times New Roman" w:cs="Times New Roman" w:eastAsia="Times New Roman" w:hAnsi="Times New Roman"/>
          <w:sz w:val="17"/>
          <w:szCs w:val="17"/>
          <w:color w:val="auto"/>
        </w:rPr>
        <w:t>” for a further discussion of these considerations.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NEW CHARTER PROPOSAL</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If the domestication proposal and the new charter proposal are approved, ProKidney will domesticate to the State of Delaware and in connection therewith alter its Existing Organizational Documents under the Cayman Islands Companies Act by replacing them in full with the Proposed Charter and Proposed Bylaws of ProKidney Delaware, in each case, under the DGCL. The domestication proposal is conditioned on the approval and adoption of the Proposed Charter being requested pursuant to this new charter proposal.</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New Charter</w:t>
      </w:r>
    </w:p>
    <w:p>
      <w:pPr>
        <w:spacing w:after="0" w:line="121"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The Board’s specific reasons for the new charter proposal and each of the advisory charter proposals (each of which are included in the Proposed Charter) are set forth in the section “</w:t>
      </w:r>
      <w:r>
        <w:rPr>
          <w:rFonts w:ascii="Times New Roman" w:cs="Times New Roman" w:eastAsia="Times New Roman" w:hAnsi="Times New Roman"/>
          <w:sz w:val="18"/>
          <w:szCs w:val="18"/>
          <w:i w:val="1"/>
          <w:iCs w:val="1"/>
          <w:color w:val="auto"/>
        </w:rPr>
        <w:t>Proposal No. 3 Advisory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w:t>
      </w:r>
      <w:r>
        <w:rPr>
          <w:rFonts w:ascii="Times New Roman" w:cs="Times New Roman" w:eastAsia="Times New Roman" w:hAnsi="Times New Roman"/>
          <w:sz w:val="18"/>
          <w:szCs w:val="18"/>
          <w:i w:val="1"/>
          <w:iCs w:val="1"/>
          <w:color w:val="auto"/>
        </w:rPr>
        <w:t>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Proposals</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jc w:val="both"/>
        <w:ind w:left="300" w:right="399" w:firstLine="360"/>
        <w:spacing w:after="0" w:line="257" w:lineRule="auto"/>
        <w:rPr>
          <w:sz w:val="20"/>
          <w:szCs w:val="20"/>
          <w:color w:val="auto"/>
        </w:rPr>
      </w:pPr>
      <w:r>
        <w:rPr>
          <w:rFonts w:ascii="Times New Roman" w:cs="Times New Roman" w:eastAsia="Times New Roman" w:hAnsi="Times New Roman"/>
          <w:sz w:val="18"/>
          <w:szCs w:val="18"/>
          <w:color w:val="auto"/>
        </w:rPr>
        <w:t>A special resolution, being the affirmative vote of the holders of at least two-thirds of the Class A and Class B ordinary shares, voting as a single class, represented in person or by proxy, entitled to vote thereon, and who vote at the annual general meeting. You may vote “FOR,” “AGAINST” or “ABSTAIN” on the new charter proposal.</w:t>
      </w:r>
    </w:p>
    <w:p>
      <w:pPr>
        <w:spacing w:after="0" w:line="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Brokerage firms do not have authority to vote customers’ unvoted shares held by the firms in street name for the new charter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new charter proposal is conditioned on the approval and adoption of the domestication proposal.</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Full Text of the Resolution</w:t>
      </w:r>
    </w:p>
    <w:p>
      <w:pPr>
        <w:spacing w:after="0" w:line="117" w:lineRule="exact"/>
        <w:rPr>
          <w:sz w:val="20"/>
          <w:szCs w:val="20"/>
          <w:color w:val="auto"/>
        </w:rPr>
      </w:pPr>
    </w:p>
    <w:p>
      <w:pPr>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 special resolution, that the proposed alterations to the existing second amended and restated memorandum and articles of association of ProKidney Corp. (the “Articles”) be and are hereby approved and the Articles be replaced in their entirety with, and the shareholders hereby approve and adopt, the certificate of incorporation of ProKidney Corp., a copy of which is attached to the proxy statement/prospectus as Annex B, effective at the effective time of the domestication.”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RECOMMENDS THAT OUR SHAREHOLDERS VOTE “FOR” THE APPROVAL OF THE NEW CHARTER PROPOSAL.</w:t>
      </w:r>
    </w:p>
    <w:p>
      <w:pPr>
        <w:spacing w:after="0" w:line="54" w:lineRule="exact"/>
        <w:rPr>
          <w:sz w:val="20"/>
          <w:szCs w:val="20"/>
          <w:color w:val="auto"/>
        </w:rPr>
      </w:pPr>
    </w:p>
    <w:p>
      <w:pPr>
        <w:ind w:left="300" w:right="419" w:firstLine="360"/>
        <w:spacing w:after="0" w:line="289" w:lineRule="auto"/>
        <w:rPr>
          <w:sz w:val="20"/>
          <w:szCs w:val="20"/>
          <w:color w:val="auto"/>
        </w:rPr>
      </w:pPr>
      <w:r>
        <w:rPr>
          <w:rFonts w:ascii="Times New Roman" w:cs="Times New Roman" w:eastAsia="Times New Roman" w:hAnsi="Times New Roman"/>
          <w:sz w:val="17"/>
          <w:szCs w:val="17"/>
          <w:color w:val="auto"/>
        </w:rPr>
        <w:t>One or more of the directors might be deemed to have potential interests in and arising from the domestication that are different from or in addition to the interests of ProKidney and its public shareholders. See the section entitled “</w:t>
      </w:r>
      <w:r>
        <w:rPr>
          <w:rFonts w:ascii="Times New Roman" w:cs="Times New Roman" w:eastAsia="Times New Roman" w:hAnsi="Times New Roman"/>
          <w:sz w:val="17"/>
          <w:szCs w:val="17"/>
          <w:i w:val="1"/>
          <w:iCs w:val="1"/>
          <w:color w:val="auto"/>
        </w:rPr>
        <w:t>Interests of Certain Persons in the Domestication</w:t>
      </w:r>
      <w:r>
        <w:rPr>
          <w:rFonts w:ascii="Times New Roman" w:cs="Times New Roman" w:eastAsia="Times New Roman" w:hAnsi="Times New Roman"/>
          <w:sz w:val="17"/>
          <w:szCs w:val="17"/>
          <w:color w:val="auto"/>
        </w:rPr>
        <w:t>” for a further discussion of these considerations.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ADVISORY CHARTER PROPOSALS</w:t>
      </w:r>
    </w:p>
    <w:p>
      <w:pPr>
        <w:spacing w:after="0" w:line="99"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the domestication proposal and the new charter proposal are approved, ProKidney will domesticate to the State of Delaware and in connection therewith alter its Existing Organizational Documents under the Cayman Islands Companies Act by replacing in full with the Proposed Charter and Proposed Bylaws of ProKidney Delaware, in each case, under the DGCL. ProKidney’s shareholders are being asked to consider and vote to approve by non-binding, advisory resolution five separate proposals to approve, effective upon the effectiveness of the domestication, the following material differences between the Existing Organizational Documents and the Proposed Charter that will become effective at the effective time of the domestication:</w:t>
      </w: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28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Existing Organization Documents</w:t>
            </w:r>
          </w:p>
        </w:tc>
        <w:tc>
          <w:tcPr>
            <w:tcW w:w="200" w:type="dxa"/>
            <w:vAlign w:val="bottom"/>
          </w:tcPr>
          <w:p>
            <w:pPr>
              <w:spacing w:after="0"/>
              <w:rPr>
                <w:sz w:val="16"/>
                <w:szCs w:val="16"/>
                <w:color w:val="auto"/>
              </w:rPr>
            </w:pPr>
          </w:p>
        </w:tc>
        <w:tc>
          <w:tcPr>
            <w:tcW w:w="282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Proposed Charter</w:t>
            </w:r>
          </w:p>
        </w:tc>
        <w:tc>
          <w:tcPr>
            <w:tcW w:w="0" w:type="dxa"/>
            <w:vAlign w:val="bottom"/>
          </w:tcPr>
          <w:p>
            <w:pPr>
              <w:spacing w:after="0"/>
              <w:rPr>
                <w:sz w:val="1"/>
                <w:szCs w:val="1"/>
                <w:color w:val="auto"/>
              </w:rPr>
            </w:pPr>
          </w:p>
        </w:tc>
      </w:tr>
      <w:tr>
        <w:trPr>
          <w:trHeight w:val="23"/>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Exclusive Forum</w:t>
            </w:r>
          </w:p>
        </w:tc>
        <w:tc>
          <w:tcPr>
            <w:tcW w:w="2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8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The Existing Organizational</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The Proposed Charter adopts the state</w:t>
            </w:r>
          </w:p>
        </w:tc>
        <w:tc>
          <w:tcPr>
            <w:tcW w:w="0" w:type="dxa"/>
            <w:vAlign w:val="bottom"/>
          </w:tcPr>
          <w:p>
            <w:pPr>
              <w:spacing w:after="0"/>
              <w:rPr>
                <w:sz w:val="1"/>
                <w:szCs w:val="1"/>
                <w:color w:val="auto"/>
              </w:rPr>
            </w:pPr>
          </w:p>
        </w:tc>
      </w:tr>
      <w:tr>
        <w:trPr>
          <w:trHeight w:val="21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Documents do not contain a provision</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and federal courts in the State of</w:t>
            </w:r>
          </w:p>
        </w:tc>
        <w:tc>
          <w:tcPr>
            <w:tcW w:w="0" w:type="dxa"/>
            <w:vAlign w:val="bottom"/>
          </w:tcPr>
          <w:p>
            <w:pPr>
              <w:spacing w:after="0"/>
              <w:rPr>
                <w:sz w:val="1"/>
                <w:szCs w:val="1"/>
                <w:color w:val="auto"/>
              </w:rPr>
            </w:pPr>
          </w:p>
        </w:tc>
      </w:tr>
      <w:tr>
        <w:trPr>
          <w:trHeight w:val="218"/>
        </w:trPr>
        <w:tc>
          <w:tcPr>
            <w:tcW w:w="2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(Advisory charter proposal A)</w:t>
            </w: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adopting an exclusive forum for</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Delaware as the exclusive forum for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certain shareholder litigation.</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certain stockholder litigation.</w:t>
            </w:r>
          </w:p>
        </w:tc>
        <w:tc>
          <w:tcPr>
            <w:tcW w:w="0" w:type="dxa"/>
            <w:vAlign w:val="bottom"/>
          </w:tcPr>
          <w:p>
            <w:pPr>
              <w:spacing w:after="0"/>
              <w:rPr>
                <w:sz w:val="1"/>
                <w:szCs w:val="1"/>
                <w:color w:val="auto"/>
              </w:rPr>
            </w:pPr>
          </w:p>
        </w:tc>
      </w:tr>
      <w:tr>
        <w:trPr>
          <w:trHeight w:val="214"/>
        </w:trPr>
        <w:tc>
          <w:tcPr>
            <w:tcW w:w="2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See Article 12 of the Proposed</w:t>
            </w:r>
          </w:p>
        </w:tc>
        <w:tc>
          <w:tcPr>
            <w:tcW w:w="0" w:type="dxa"/>
            <w:vAlign w:val="bottom"/>
          </w:tcPr>
          <w:p>
            <w:pPr>
              <w:spacing w:after="0"/>
              <w:rPr>
                <w:sz w:val="1"/>
                <w:szCs w:val="1"/>
                <w:color w:val="auto"/>
              </w:rPr>
            </w:pPr>
          </w:p>
        </w:tc>
      </w:tr>
      <w:tr>
        <w:trPr>
          <w:trHeight w:val="236"/>
        </w:trPr>
        <w:tc>
          <w:tcPr>
            <w:tcW w:w="2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Charter.</w:t>
            </w:r>
          </w:p>
        </w:tc>
        <w:tc>
          <w:tcPr>
            <w:tcW w:w="0" w:type="dxa"/>
            <w:vAlign w:val="bottom"/>
          </w:tcPr>
          <w:p>
            <w:pPr>
              <w:spacing w:after="0"/>
              <w:rPr>
                <w:sz w:val="1"/>
                <w:szCs w:val="1"/>
                <w:color w:val="auto"/>
              </w:rPr>
            </w:pPr>
          </w:p>
        </w:tc>
      </w:tr>
      <w:tr>
        <w:trPr>
          <w:trHeight w:val="464"/>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Waiver of Corporate</w:t>
            </w: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While the Existing Organizational</w:t>
            </w:r>
          </w:p>
        </w:tc>
        <w:tc>
          <w:tcPr>
            <w:tcW w:w="20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In the Proposed Charter, the</w:t>
            </w:r>
          </w:p>
        </w:tc>
        <w:tc>
          <w:tcPr>
            <w:tcW w:w="0" w:type="dxa"/>
            <w:vAlign w:val="bottom"/>
          </w:tcPr>
          <w:p>
            <w:pPr>
              <w:spacing w:after="0"/>
              <w:rPr>
                <w:sz w:val="1"/>
                <w:szCs w:val="1"/>
                <w:color w:val="auto"/>
              </w:rPr>
            </w:pPr>
          </w:p>
        </w:tc>
      </w:tr>
      <w:tr>
        <w:trPr>
          <w:trHeight w:val="220"/>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Opportunities</w:t>
            </w: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Documents do provide an explicit</w:t>
            </w:r>
          </w:p>
        </w:tc>
        <w:tc>
          <w:tcPr>
            <w:tcW w:w="20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Corporation renounces any interest or</w:t>
            </w:r>
          </w:p>
        </w:tc>
        <w:tc>
          <w:tcPr>
            <w:tcW w:w="0" w:type="dxa"/>
            <w:vAlign w:val="bottom"/>
          </w:tcPr>
          <w:p>
            <w:pPr>
              <w:spacing w:after="0"/>
              <w:rPr>
                <w:sz w:val="1"/>
                <w:szCs w:val="1"/>
                <w:color w:val="auto"/>
              </w:rPr>
            </w:pPr>
          </w:p>
        </w:tc>
      </w:tr>
      <w:tr>
        <w:trPr>
          <w:trHeight w:val="21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waiver of corporate opportunities for</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expectancy of ProKidney Delaware in,</w:t>
            </w:r>
          </w:p>
        </w:tc>
        <w:tc>
          <w:tcPr>
            <w:tcW w:w="0" w:type="dxa"/>
            <w:vAlign w:val="bottom"/>
          </w:tcPr>
          <w:p>
            <w:pPr>
              <w:spacing w:after="0"/>
              <w:rPr>
                <w:sz w:val="1"/>
                <w:szCs w:val="1"/>
                <w:color w:val="auto"/>
              </w:rPr>
            </w:pPr>
          </w:p>
        </w:tc>
      </w:tr>
      <w:tr>
        <w:trPr>
          <w:trHeight w:val="218"/>
        </w:trPr>
        <w:tc>
          <w:tcPr>
            <w:tcW w:w="2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(Advisory charter proposal A)</w:t>
            </w: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directors, they do not provide an</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or in being offered an opportunity to</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explicit waiver of corporate</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participate in, certain corporate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opportunities for ProKidney or its</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opportunities, subject to certain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employees.</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exceptions.</w:t>
            </w:r>
          </w:p>
        </w:tc>
        <w:tc>
          <w:tcPr>
            <w:tcW w:w="0" w:type="dxa"/>
            <w:vAlign w:val="bottom"/>
          </w:tcPr>
          <w:p>
            <w:pPr>
              <w:spacing w:after="0"/>
              <w:rPr>
                <w:sz w:val="1"/>
                <w:szCs w:val="1"/>
                <w:color w:val="auto"/>
              </w:rPr>
            </w:pPr>
          </w:p>
        </w:tc>
      </w:tr>
      <w:tr>
        <w:trPr>
          <w:trHeight w:val="214"/>
        </w:trPr>
        <w:tc>
          <w:tcPr>
            <w:tcW w:w="2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See Article 15 of the Proposed</w:t>
            </w:r>
          </w:p>
        </w:tc>
        <w:tc>
          <w:tcPr>
            <w:tcW w:w="0" w:type="dxa"/>
            <w:vAlign w:val="bottom"/>
          </w:tcPr>
          <w:p>
            <w:pPr>
              <w:spacing w:after="0"/>
              <w:rPr>
                <w:sz w:val="1"/>
                <w:szCs w:val="1"/>
                <w:color w:val="auto"/>
              </w:rPr>
            </w:pPr>
          </w:p>
        </w:tc>
      </w:tr>
      <w:tr>
        <w:trPr>
          <w:trHeight w:val="236"/>
        </w:trPr>
        <w:tc>
          <w:tcPr>
            <w:tcW w:w="2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3" w:right="1440" w:bottom="1440" w:gutter="0" w:footer="0" w:header="0"/>
        </w:sectPr>
      </w:pPr>
    </w:p>
    <w:p>
      <w:pPr>
        <w:spacing w:after="0" w:line="48" w:lineRule="exact"/>
        <w:rPr>
          <w:sz w:val="20"/>
          <w:szCs w:val="20"/>
          <w:color w:val="auto"/>
        </w:rPr>
      </w:pPr>
    </w:p>
    <w:p>
      <w:pPr>
        <w:ind w:left="300"/>
        <w:spacing w:after="0"/>
        <w:tabs>
          <w:tab w:leader="none" w:pos="2860" w:val="left"/>
        </w:tabs>
        <w:rPr>
          <w:sz w:val="20"/>
          <w:szCs w:val="20"/>
          <w:color w:val="auto"/>
        </w:rPr>
      </w:pPr>
      <w:r>
        <w:rPr>
          <w:rFonts w:ascii="Times New Roman" w:cs="Times New Roman" w:eastAsia="Times New Roman" w:hAnsi="Times New Roman"/>
          <w:sz w:val="18"/>
          <w:szCs w:val="18"/>
          <w:b w:val="1"/>
          <w:bCs w:val="1"/>
          <w:color w:val="auto"/>
        </w:rPr>
        <w:t>Section 242(b)(2) of the DGCL</w:t>
      </w:r>
      <w:r>
        <w:rPr>
          <w:sz w:val="20"/>
          <w:szCs w:val="20"/>
          <w:color w:val="auto"/>
        </w:rPr>
        <w:tab/>
      </w:r>
      <w:r>
        <w:rPr>
          <w:rFonts w:ascii="Times New Roman" w:cs="Times New Roman" w:eastAsia="Times New Roman" w:hAnsi="Times New Roman"/>
          <w:sz w:val="17"/>
          <w:szCs w:val="17"/>
          <w:color w:val="auto"/>
        </w:rPr>
        <w:t>The Existing Organizational</w:t>
      </w:r>
    </w:p>
    <w:p>
      <w:pPr>
        <w:spacing w:after="0" w:line="31" w:lineRule="exact"/>
        <w:rPr>
          <w:sz w:val="20"/>
          <w:szCs w:val="20"/>
          <w:color w:val="auto"/>
        </w:rPr>
      </w:pPr>
    </w:p>
    <w:p>
      <w:pPr>
        <w:ind w:left="300"/>
        <w:spacing w:after="0"/>
        <w:tabs>
          <w:tab w:leader="none" w:pos="28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Documents provide that (i) ProKidney</w:t>
      </w:r>
    </w:p>
    <w:p>
      <w:pPr>
        <w:spacing w:after="0" w:line="9" w:lineRule="exact"/>
        <w:rPr>
          <w:sz w:val="20"/>
          <w:szCs w:val="20"/>
          <w:color w:val="auto"/>
        </w:rPr>
      </w:pPr>
    </w:p>
    <w:p>
      <w:pPr>
        <w:ind w:left="300"/>
        <w:spacing w:after="0"/>
        <w:tabs>
          <w:tab w:leader="none" w:pos="2860" w:val="left"/>
        </w:tabs>
        <w:rPr>
          <w:sz w:val="20"/>
          <w:szCs w:val="20"/>
          <w:color w:val="auto"/>
        </w:rPr>
      </w:pPr>
      <w:r>
        <w:rPr>
          <w:rFonts w:ascii="Times New Roman" w:cs="Times New Roman" w:eastAsia="Times New Roman" w:hAnsi="Times New Roman"/>
          <w:sz w:val="18"/>
          <w:szCs w:val="18"/>
          <w:i w:val="1"/>
          <w:iCs w:val="1"/>
          <w:color w:val="auto"/>
        </w:rPr>
        <w:t>(Advisory charter proposal B)</w:t>
      </w:r>
      <w:r>
        <w:rPr>
          <w:sz w:val="20"/>
          <w:szCs w:val="20"/>
          <w:color w:val="auto"/>
        </w:rPr>
        <w:tab/>
      </w:r>
      <w:r>
        <w:rPr>
          <w:rFonts w:ascii="Times New Roman" w:cs="Times New Roman" w:eastAsia="Times New Roman" w:hAnsi="Times New Roman"/>
          <w:sz w:val="18"/>
          <w:szCs w:val="18"/>
          <w:color w:val="auto"/>
        </w:rPr>
        <w:t>may increase its share capital by an</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ordinary resolution, being a resolution</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passed by the holders of not less than a</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simple majority of the Class A and</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Class B ordinary shares, voting as a</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single class, represented in person or</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by proxy and entitled to vote thereon</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and who vote at the general meeting,</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or by unanimous written resolution</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and (ii) ProKidney may reduce its</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share capital by a special resolution,</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being the affirmative vote of the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holders of at least two-thirds of the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Class A and Class B ordinary shares,</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voting as a single class, represented in</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person or by proxy and entitled to vote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at the general meeting and who vote at</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the general meeting, or by unanimous</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written resolution.</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i w:val="1"/>
          <w:iCs w:val="1"/>
          <w:color w:val="auto"/>
        </w:rPr>
        <w:t>See Articles 20.1 and 20.3 of the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i w:val="1"/>
          <w:iCs w:val="1"/>
          <w:color w:val="auto"/>
        </w:rPr>
        <w:t>Existing Organizational Documents.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Charter provides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rights of the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one or more series of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then outstanding,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shares of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Class A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Class B common stock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may be increased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decreased, in each case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affirmative vote of the holders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the total voting power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shares of capital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ProKidney Delaware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thereon, voting together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 class, irrespective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Section 242(b)(2)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DGCL, and no vote of the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class of the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Class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or the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separately as a class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therefor.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79"/>
        <w:spacing w:after="0" w:line="260" w:lineRule="auto"/>
        <w:rPr>
          <w:sz w:val="20"/>
          <w:szCs w:val="20"/>
          <w:color w:val="auto"/>
        </w:rPr>
      </w:pPr>
      <w:r>
        <w:rPr>
          <w:rFonts w:ascii="Times New Roman" w:cs="Times New Roman" w:eastAsia="Times New Roman" w:hAnsi="Times New Roman"/>
          <w:sz w:val="18"/>
          <w:szCs w:val="18"/>
          <w:i w:val="1"/>
          <w:iCs w:val="1"/>
          <w:color w:val="auto"/>
        </w:rPr>
        <w:t>See Article 4.2 of the Proposed Charter.</w:t>
      </w:r>
    </w:p>
    <w:p>
      <w:pPr>
        <w:spacing w:after="0" w:line="200" w:lineRule="exact"/>
        <w:rPr>
          <w:sz w:val="20"/>
          <w:szCs w:val="20"/>
          <w:color w:val="auto"/>
        </w:rPr>
      </w:pPr>
    </w:p>
    <w:p>
      <w:pPr>
        <w:sectPr>
          <w:pgSz w:w="11900" w:h="16838" w:orient="portrait"/>
          <w:cols w:equalWidth="0" w:num="2">
            <w:col w:w="5700" w:space="200"/>
            <w:col w:w="3119"/>
          </w:cols>
          <w:pgMar w:left="1440" w:top="263" w:right="1440" w:bottom="1440" w:gutter="0" w:footer="0" w:header="0"/>
          <w:type w:val="continuous"/>
        </w:sect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0" w:name="page41"/>
    <w:bookmarkEnd w:id="40"/>
    <w:tbl>
      <w:tblPr>
        <w:tblLayout w:type="fixed"/>
        <w:tblInd w:w="300" w:type="dxa"/>
        <w:tblCellMar>
          <w:top w:w="0" w:type="dxa"/>
          <w:left w:w="0" w:type="dxa"/>
          <w:bottom w:w="0" w:type="dxa"/>
          <w:right w:w="0" w:type="dxa"/>
        </w:tblCellMar>
      </w:tblPr>
      <w:tr>
        <w:trPr>
          <w:trHeight w:val="161"/>
        </w:trPr>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28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Existing Organization Documents</w:t>
            </w:r>
          </w:p>
        </w:tc>
        <w:tc>
          <w:tcPr>
            <w:tcW w:w="200" w:type="dxa"/>
            <w:vAlign w:val="bottom"/>
          </w:tcPr>
          <w:p>
            <w:pPr>
              <w:spacing w:after="0"/>
              <w:rPr>
                <w:sz w:val="24"/>
                <w:szCs w:val="24"/>
                <w:color w:val="auto"/>
              </w:rPr>
            </w:pPr>
          </w:p>
        </w:tc>
        <w:tc>
          <w:tcPr>
            <w:tcW w:w="282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Proposed Charter</w:t>
            </w:r>
          </w:p>
        </w:tc>
        <w:tc>
          <w:tcPr>
            <w:tcW w:w="0" w:type="dxa"/>
            <w:vAlign w:val="bottom"/>
          </w:tcPr>
          <w:p>
            <w:pPr>
              <w:spacing w:after="0"/>
              <w:rPr>
                <w:sz w:val="1"/>
                <w:szCs w:val="1"/>
                <w:color w:val="auto"/>
              </w:rPr>
            </w:pPr>
          </w:p>
        </w:tc>
      </w:tr>
      <w:tr>
        <w:trPr>
          <w:trHeight w:val="23"/>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Action by Written Consent</w:t>
            </w:r>
          </w:p>
        </w:tc>
        <w:tc>
          <w:tcPr>
            <w:tcW w:w="2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80" w:type="dxa"/>
            <w:vAlign w:val="bottom"/>
            <w:gridSpan w:val="2"/>
            <w:vMerge w:val="continue"/>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The Existing Organizational</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The Proposed Charter provides that,</w:t>
            </w:r>
          </w:p>
        </w:tc>
        <w:tc>
          <w:tcPr>
            <w:tcW w:w="0" w:type="dxa"/>
            <w:vAlign w:val="bottom"/>
          </w:tcPr>
          <w:p>
            <w:pPr>
              <w:spacing w:after="0"/>
              <w:rPr>
                <w:sz w:val="1"/>
                <w:szCs w:val="1"/>
                <w:color w:val="auto"/>
              </w:rPr>
            </w:pPr>
          </w:p>
        </w:tc>
      </w:tr>
      <w:tr>
        <w:trPr>
          <w:trHeight w:val="214"/>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w w:val="99"/>
              </w:rPr>
              <w:t>Documents provide that a resolution in</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subject to the rights in certain</w:t>
            </w:r>
          </w:p>
        </w:tc>
        <w:tc>
          <w:tcPr>
            <w:tcW w:w="0" w:type="dxa"/>
            <w:vAlign w:val="bottom"/>
          </w:tcPr>
          <w:p>
            <w:pPr>
              <w:spacing w:after="0"/>
              <w:rPr>
                <w:sz w:val="1"/>
                <w:szCs w:val="1"/>
                <w:color w:val="auto"/>
              </w:rPr>
            </w:pPr>
          </w:p>
        </w:tc>
      </w:tr>
      <w:tr>
        <w:trPr>
          <w:trHeight w:val="21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(Advisory charter proposal C)</w:t>
            </w: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writing signed by all the shareholders</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instances of the holders of shares of</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entitled to vote at a general meeting</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w w:val="99"/>
              </w:rPr>
              <w:t>Class B common stock and the holders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shall be as valid and effective as if the</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of one or more series of preferred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same had been passed at a duly</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stock, any action required or permitted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convened and held general meeting.</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 be taken by ProKidney Delaware’s</w:t>
            </w: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must be effected by a</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See Article 24.3 of the Existing</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duly called annual or special meeting</w:t>
            </w:r>
          </w:p>
        </w:tc>
        <w:tc>
          <w:tcPr>
            <w:tcW w:w="0" w:type="dxa"/>
            <w:vAlign w:val="bottom"/>
          </w:tcPr>
          <w:p>
            <w:pPr>
              <w:spacing w:after="0"/>
              <w:rPr>
                <w:sz w:val="1"/>
                <w:szCs w:val="1"/>
                <w:color w:val="auto"/>
              </w:rPr>
            </w:pPr>
          </w:p>
        </w:tc>
      </w:tr>
      <w:tr>
        <w:trPr>
          <w:trHeight w:val="218"/>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Organizational Documents.</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of such stockholders and may not be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effected by consent of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See Article 8.1 of the Proposed</w:t>
            </w: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Charter.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2" w:right="1440" w:bottom="1440" w:gutter="0" w:footer="0" w:header="0"/>
        </w:sectPr>
      </w:pPr>
    </w:p>
    <w:p>
      <w:pPr>
        <w:spacing w:after="0" w:line="48" w:lineRule="exact"/>
        <w:rPr>
          <w:sz w:val="20"/>
          <w:szCs w:val="20"/>
          <w:color w:val="auto"/>
        </w:rPr>
      </w:pPr>
    </w:p>
    <w:p>
      <w:pPr>
        <w:ind w:left="300"/>
        <w:spacing w:after="0"/>
        <w:tabs>
          <w:tab w:leader="none" w:pos="2860" w:val="left"/>
        </w:tabs>
        <w:rPr>
          <w:sz w:val="20"/>
          <w:szCs w:val="20"/>
          <w:color w:val="auto"/>
        </w:rPr>
      </w:pPr>
      <w:r>
        <w:rPr>
          <w:rFonts w:ascii="Times New Roman" w:cs="Times New Roman" w:eastAsia="Times New Roman" w:hAnsi="Times New Roman"/>
          <w:sz w:val="18"/>
          <w:szCs w:val="18"/>
          <w:b w:val="1"/>
          <w:bCs w:val="1"/>
          <w:color w:val="auto"/>
        </w:rPr>
        <w:t>Authorized Share Capital</w:t>
      </w:r>
      <w:r>
        <w:rPr>
          <w:sz w:val="20"/>
          <w:szCs w:val="20"/>
          <w:color w:val="auto"/>
        </w:rPr>
        <w:tab/>
      </w:r>
      <w:r>
        <w:rPr>
          <w:rFonts w:ascii="Times New Roman" w:cs="Times New Roman" w:eastAsia="Times New Roman" w:hAnsi="Times New Roman"/>
          <w:sz w:val="18"/>
          <w:szCs w:val="18"/>
          <w:color w:val="auto"/>
        </w:rPr>
        <w:t>The share capital under the Existing</w:t>
      </w:r>
    </w:p>
    <w:p>
      <w:pPr>
        <w:spacing w:after="0" w:line="31" w:lineRule="exact"/>
        <w:rPr>
          <w:sz w:val="20"/>
          <w:szCs w:val="20"/>
          <w:color w:val="auto"/>
        </w:rPr>
      </w:pPr>
    </w:p>
    <w:p>
      <w:pPr>
        <w:ind w:left="300"/>
        <w:spacing w:after="0"/>
        <w:tabs>
          <w:tab w:leader="none" w:pos="28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Organizational Documents is</w:t>
      </w:r>
    </w:p>
    <w:p>
      <w:pPr>
        <w:spacing w:after="0" w:line="9" w:lineRule="exact"/>
        <w:rPr>
          <w:sz w:val="20"/>
          <w:szCs w:val="20"/>
          <w:color w:val="auto"/>
        </w:rPr>
      </w:pPr>
    </w:p>
    <w:p>
      <w:pPr>
        <w:ind w:left="300"/>
        <w:spacing w:after="0"/>
        <w:tabs>
          <w:tab w:leader="none" w:pos="2860" w:val="left"/>
        </w:tabs>
        <w:rPr>
          <w:sz w:val="20"/>
          <w:szCs w:val="20"/>
          <w:color w:val="auto"/>
        </w:rPr>
      </w:pPr>
      <w:r>
        <w:rPr>
          <w:rFonts w:ascii="Times New Roman" w:cs="Times New Roman" w:eastAsia="Times New Roman" w:hAnsi="Times New Roman"/>
          <w:sz w:val="18"/>
          <w:szCs w:val="18"/>
          <w:i w:val="1"/>
          <w:iCs w:val="1"/>
          <w:color w:val="auto"/>
        </w:rPr>
        <w:t>(Advisory charter proposal D)</w:t>
      </w:r>
      <w:r>
        <w:rPr>
          <w:sz w:val="20"/>
          <w:szCs w:val="20"/>
          <w:color w:val="auto"/>
        </w:rPr>
        <w:tab/>
      </w:r>
      <w:r>
        <w:rPr>
          <w:rFonts w:ascii="Times New Roman" w:cs="Times New Roman" w:eastAsia="Times New Roman" w:hAnsi="Times New Roman"/>
          <w:sz w:val="17"/>
          <w:szCs w:val="17"/>
          <w:color w:val="auto"/>
        </w:rPr>
        <w:t>US$100,500 divided into 500,000,000</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Class A ordinary shares of a par value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of US$0.0001 each, 500,000,000</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Class B ordinary shares of a par value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of US$0.0001 each and 5,000,000</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preference shares of a par value of</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US$0.0001 each.</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i w:val="1"/>
          <w:iCs w:val="1"/>
          <w:color w:val="auto"/>
        </w:rPr>
        <w:t>See paragraph 5 of the Existing</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i w:val="1"/>
          <w:iCs w:val="1"/>
          <w:color w:val="auto"/>
        </w:rPr>
        <w:t>Organizational Documents.</w:t>
      </w:r>
    </w:p>
    <w:p>
      <w:pPr>
        <w:spacing w:after="0" w:line="257" w:lineRule="exact"/>
        <w:rPr>
          <w:sz w:val="20"/>
          <w:szCs w:val="20"/>
          <w:color w:val="auto"/>
        </w:rPr>
      </w:pPr>
    </w:p>
    <w:p>
      <w:pPr>
        <w:ind w:left="300"/>
        <w:spacing w:after="0"/>
        <w:tabs>
          <w:tab w:leader="none" w:pos="2860" w:val="left"/>
        </w:tabs>
        <w:rPr>
          <w:sz w:val="20"/>
          <w:szCs w:val="20"/>
          <w:color w:val="auto"/>
        </w:rPr>
      </w:pPr>
      <w:r>
        <w:rPr>
          <w:rFonts w:ascii="Times New Roman" w:cs="Times New Roman" w:eastAsia="Times New Roman" w:hAnsi="Times New Roman"/>
          <w:sz w:val="18"/>
          <w:szCs w:val="18"/>
          <w:b w:val="1"/>
          <w:bCs w:val="1"/>
          <w:color w:val="auto"/>
        </w:rPr>
        <w:t>Adoption of Supermajority</w:t>
      </w:r>
      <w:r>
        <w:rPr>
          <w:sz w:val="20"/>
          <w:szCs w:val="20"/>
          <w:color w:val="auto"/>
        </w:rPr>
        <w:tab/>
      </w:r>
      <w:r>
        <w:rPr>
          <w:rFonts w:ascii="Times New Roman" w:cs="Times New Roman" w:eastAsia="Times New Roman" w:hAnsi="Times New Roman"/>
          <w:sz w:val="17"/>
          <w:szCs w:val="17"/>
          <w:color w:val="auto"/>
        </w:rPr>
        <w:t>The Existing Organizational</w:t>
      </w:r>
    </w:p>
    <w:p>
      <w:pPr>
        <w:spacing w:after="0" w:line="31" w:lineRule="exact"/>
        <w:rPr>
          <w:sz w:val="20"/>
          <w:szCs w:val="20"/>
          <w:color w:val="auto"/>
        </w:rPr>
      </w:pPr>
    </w:p>
    <w:p>
      <w:pPr>
        <w:ind w:left="300"/>
        <w:spacing w:after="0"/>
        <w:tabs>
          <w:tab w:leader="none" w:pos="2860" w:val="left"/>
        </w:tabs>
        <w:rPr>
          <w:sz w:val="20"/>
          <w:szCs w:val="20"/>
          <w:color w:val="auto"/>
        </w:rPr>
      </w:pPr>
      <w:r>
        <w:rPr>
          <w:rFonts w:ascii="Times New Roman" w:cs="Times New Roman" w:eastAsia="Times New Roman" w:hAnsi="Times New Roman"/>
          <w:sz w:val="18"/>
          <w:szCs w:val="18"/>
          <w:b w:val="1"/>
          <w:bCs w:val="1"/>
          <w:color w:val="auto"/>
        </w:rPr>
        <w:t>Vote Requirement to Amend</w:t>
      </w:r>
      <w:r>
        <w:rPr>
          <w:sz w:val="20"/>
          <w:szCs w:val="20"/>
          <w:color w:val="auto"/>
        </w:rPr>
        <w:tab/>
      </w:r>
      <w:r>
        <w:rPr>
          <w:rFonts w:ascii="Times New Roman" w:cs="Times New Roman" w:eastAsia="Times New Roman" w:hAnsi="Times New Roman"/>
          <w:sz w:val="17"/>
          <w:szCs w:val="17"/>
          <w:color w:val="auto"/>
        </w:rPr>
        <w:t>Documents provide that amendments</w:t>
      </w:r>
    </w:p>
    <w:p>
      <w:pPr>
        <w:spacing w:after="0" w:line="9" w:lineRule="exact"/>
        <w:rPr>
          <w:sz w:val="20"/>
          <w:szCs w:val="20"/>
          <w:color w:val="auto"/>
        </w:rPr>
      </w:pPr>
    </w:p>
    <w:p>
      <w:pPr>
        <w:ind w:left="300"/>
        <w:spacing w:after="0"/>
        <w:tabs>
          <w:tab w:leader="none" w:pos="2860" w:val="left"/>
        </w:tabs>
        <w:rPr>
          <w:sz w:val="20"/>
          <w:szCs w:val="20"/>
          <w:color w:val="auto"/>
        </w:rPr>
      </w:pPr>
      <w:r>
        <w:rPr>
          <w:rFonts w:ascii="Times New Roman" w:cs="Times New Roman" w:eastAsia="Times New Roman" w:hAnsi="Times New Roman"/>
          <w:sz w:val="18"/>
          <w:szCs w:val="18"/>
          <w:b w:val="1"/>
          <w:bCs w:val="1"/>
          <w:color w:val="auto"/>
        </w:rPr>
        <w:t>the Proposed Governing</w:t>
      </w:r>
      <w:r>
        <w:rPr>
          <w:sz w:val="20"/>
          <w:szCs w:val="20"/>
          <w:color w:val="auto"/>
        </w:rPr>
        <w:tab/>
      </w:r>
      <w:r>
        <w:rPr>
          <w:rFonts w:ascii="Times New Roman" w:cs="Times New Roman" w:eastAsia="Times New Roman" w:hAnsi="Times New Roman"/>
          <w:sz w:val="17"/>
          <w:szCs w:val="17"/>
          <w:color w:val="auto"/>
        </w:rPr>
        <w:t>to change ProKidney’s name, alter or</w:t>
      </w:r>
    </w:p>
    <w:p>
      <w:pPr>
        <w:spacing w:after="0" w:line="9" w:lineRule="exact"/>
        <w:rPr>
          <w:sz w:val="20"/>
          <w:szCs w:val="20"/>
          <w:color w:val="auto"/>
        </w:rPr>
      </w:pPr>
    </w:p>
    <w:p>
      <w:pPr>
        <w:ind w:left="300"/>
        <w:spacing w:after="0"/>
        <w:tabs>
          <w:tab w:leader="none" w:pos="2860" w:val="left"/>
        </w:tabs>
        <w:rPr>
          <w:sz w:val="20"/>
          <w:szCs w:val="20"/>
          <w:color w:val="auto"/>
        </w:rPr>
      </w:pPr>
      <w:r>
        <w:rPr>
          <w:rFonts w:ascii="Times New Roman" w:cs="Times New Roman" w:eastAsia="Times New Roman" w:hAnsi="Times New Roman"/>
          <w:sz w:val="18"/>
          <w:szCs w:val="18"/>
          <w:b w:val="1"/>
          <w:bCs w:val="1"/>
          <w:color w:val="auto"/>
        </w:rPr>
        <w:t>Documents</w:t>
      </w:r>
      <w:r>
        <w:rPr>
          <w:sz w:val="20"/>
          <w:szCs w:val="20"/>
          <w:color w:val="auto"/>
        </w:rPr>
        <w:tab/>
      </w:r>
      <w:r>
        <w:rPr>
          <w:rFonts w:ascii="Times New Roman" w:cs="Times New Roman" w:eastAsia="Times New Roman" w:hAnsi="Times New Roman"/>
          <w:sz w:val="18"/>
          <w:szCs w:val="18"/>
          <w:color w:val="auto"/>
        </w:rPr>
        <w:t>add to the Articles (as defined</w:t>
      </w:r>
    </w:p>
    <w:p>
      <w:pPr>
        <w:spacing w:after="0" w:line="9" w:lineRule="exact"/>
        <w:rPr>
          <w:sz w:val="20"/>
          <w:szCs w:val="20"/>
          <w:color w:val="auto"/>
        </w:rPr>
      </w:pPr>
    </w:p>
    <w:p>
      <w:pPr>
        <w:ind w:left="300"/>
        <w:spacing w:after="0"/>
        <w:tabs>
          <w:tab w:leader="none" w:pos="28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therein), alter or add to the</w:t>
      </w:r>
    </w:p>
    <w:p>
      <w:pPr>
        <w:spacing w:after="0" w:line="9" w:lineRule="exact"/>
        <w:rPr>
          <w:sz w:val="20"/>
          <w:szCs w:val="20"/>
          <w:color w:val="auto"/>
        </w:rPr>
      </w:pPr>
    </w:p>
    <w:p>
      <w:pPr>
        <w:ind w:left="300"/>
        <w:spacing w:after="0"/>
        <w:tabs>
          <w:tab w:leader="none" w:pos="2860" w:val="left"/>
        </w:tabs>
        <w:rPr>
          <w:sz w:val="20"/>
          <w:szCs w:val="20"/>
          <w:color w:val="auto"/>
        </w:rPr>
      </w:pPr>
      <w:r>
        <w:rPr>
          <w:rFonts w:ascii="Times New Roman" w:cs="Times New Roman" w:eastAsia="Times New Roman" w:hAnsi="Times New Roman"/>
          <w:sz w:val="18"/>
          <w:szCs w:val="18"/>
          <w:i w:val="1"/>
          <w:iCs w:val="1"/>
          <w:color w:val="auto"/>
        </w:rPr>
        <w:t>(Advisory charter proposal E)</w:t>
      </w:r>
      <w:r>
        <w:rPr>
          <w:sz w:val="20"/>
          <w:szCs w:val="20"/>
          <w:color w:val="auto"/>
        </w:rPr>
        <w:tab/>
      </w:r>
      <w:r>
        <w:rPr>
          <w:rFonts w:ascii="Times New Roman" w:cs="Times New Roman" w:eastAsia="Times New Roman" w:hAnsi="Times New Roman"/>
          <w:sz w:val="17"/>
          <w:szCs w:val="17"/>
          <w:color w:val="auto"/>
        </w:rPr>
        <w:t>Memorandum (as defined therein)</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with respect to any objects, powers or</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other matters specified therein or to</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reduce its share capital or any capital</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redemption reserve fund may be made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by a Special Resolution (as defined</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under the Cayman Islands Companies</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Act), being the affirmative vote of</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holders of a majority of at least two-</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thirds of such members as, being</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entitled to do so, vote in person or,</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where proxies are allowed, by proxy at</w:t>
      </w:r>
    </w:p>
    <w:p>
      <w:pPr>
        <w:spacing w:after="0" w:line="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 general meeting. There are certain</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matters that require only an Ordinary</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Resolution (as defined therein),</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including increasing the share capital,</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consolidating and dividing all or any</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part of the share capital into larger</w:t>
      </w:r>
    </w:p>
    <w:p>
      <w:pPr>
        <w:spacing w:after="0" w:line="34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399"/>
        <w:spacing w:after="0" w:line="254" w:lineRule="auto"/>
        <w:rPr>
          <w:sz w:val="20"/>
          <w:szCs w:val="20"/>
          <w:color w:val="auto"/>
        </w:rPr>
      </w:pPr>
      <w:r>
        <w:rPr>
          <w:rFonts w:ascii="Times New Roman" w:cs="Times New Roman" w:eastAsia="Times New Roman" w:hAnsi="Times New Roman"/>
          <w:sz w:val="18"/>
          <w:szCs w:val="18"/>
          <w:color w:val="auto"/>
        </w:rPr>
        <w:t>The Proposed Charter authorizes 1,250,000,000 shares of ProKidney Delaware consisting of 700,000,000 shares of Class A common stock, par value $0.0001 per share, 500,000,000 shares of Class B common stock, par value $0.0001 per share, and 50,000,000 shares of preferred stock, par value $0.0001 per share.  </w:t>
      </w:r>
    </w:p>
    <w:p>
      <w:pPr>
        <w:spacing w:after="0" w:line="207" w:lineRule="exact"/>
        <w:rPr>
          <w:sz w:val="20"/>
          <w:szCs w:val="20"/>
          <w:color w:val="auto"/>
        </w:rPr>
      </w:pPr>
    </w:p>
    <w:p>
      <w:pPr>
        <w:ind w:right="879"/>
        <w:spacing w:after="0" w:line="260" w:lineRule="auto"/>
        <w:rPr>
          <w:sz w:val="20"/>
          <w:szCs w:val="20"/>
          <w:color w:val="auto"/>
        </w:rPr>
      </w:pPr>
      <w:r>
        <w:rPr>
          <w:rFonts w:ascii="Times New Roman" w:cs="Times New Roman" w:eastAsia="Times New Roman" w:hAnsi="Times New Roman"/>
          <w:sz w:val="18"/>
          <w:szCs w:val="18"/>
          <w:i w:val="1"/>
          <w:iCs w:val="1"/>
          <w:color w:val="auto"/>
        </w:rPr>
        <w:t>See Article 4.1 of the Proposed Charter.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Charter requires</w:t>
      </w:r>
    </w:p>
    <w:p>
      <w:pPr>
        <w:spacing w:after="0" w:line="27" w:lineRule="exact"/>
        <w:rPr>
          <w:sz w:val="20"/>
          <w:szCs w:val="20"/>
          <w:color w:val="auto"/>
        </w:rPr>
      </w:pPr>
    </w:p>
    <w:p>
      <w:pPr>
        <w:ind w:right="319" w:firstLine="8"/>
        <w:spacing w:after="0" w:line="250" w:lineRule="auto"/>
        <w:tabs>
          <w:tab w:leader="none" w:pos="2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the affirmative vote of the holders of at least two thirds (2/3) of the total voting power of all the then-outstanding shares of ProKidney Delaware’s capital stock entitled to vote thereon, and voting together as a single class or (y) approval of a majority of the Board, to make, adopt, alter, amend, change, add to, rescind or repeal, in whole or in part, the Proposed Bylaws; (ii) at least two</w:t>
      </w:r>
    </w:p>
    <w:p>
      <w:pPr>
        <w:spacing w:after="0" w:line="4" w:lineRule="exact"/>
        <w:rPr>
          <w:sz w:val="20"/>
          <w:szCs w:val="20"/>
          <w:color w:val="auto"/>
        </w:rPr>
      </w:pPr>
    </w:p>
    <w:p>
      <w:pPr>
        <w:ind w:right="319"/>
        <w:spacing w:after="0" w:line="252" w:lineRule="auto"/>
        <w:rPr>
          <w:sz w:val="20"/>
          <w:szCs w:val="20"/>
          <w:color w:val="auto"/>
        </w:rPr>
      </w:pPr>
      <w:r>
        <w:rPr>
          <w:rFonts w:ascii="Times New Roman" w:cs="Times New Roman" w:eastAsia="Times New Roman" w:hAnsi="Times New Roman"/>
          <w:sz w:val="17"/>
          <w:szCs w:val="17"/>
          <w:color w:val="auto"/>
        </w:rPr>
        <w:t>thirds (</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7"/>
          <w:szCs w:val="17"/>
          <w:color w:val="auto"/>
        </w:rPr>
        <w:t>) of the total voting power of all the outstanding shares of ProKidney Delaware’s capital stock entitled to vote thereon, voting together as a single class in order to alter, amend or repeal Sections 7.2, 7.3 and 7.4 of Article 7, Sections 8.1, and 8.2 of Article 8 or Article 9, 10, 11, 12 or 15 of the Proposed Charter; and</w:t>
      </w:r>
    </w:p>
    <w:p>
      <w:pPr>
        <w:spacing w:after="0" w:line="4" w:lineRule="exact"/>
        <w:rPr>
          <w:sz w:val="20"/>
          <w:szCs w:val="20"/>
          <w:color w:val="auto"/>
        </w:rPr>
      </w:pPr>
    </w:p>
    <w:p>
      <w:pPr>
        <w:ind w:right="359" w:firstLine="8"/>
        <w:spacing w:after="0" w:line="209" w:lineRule="auto"/>
        <w:tabs>
          <w:tab w:leader="none" w:pos="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two thirds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total voting power of the outstanding</w:t>
      </w:r>
    </w:p>
    <w:p>
      <w:pPr>
        <w:sectPr>
          <w:pgSz w:w="11900" w:h="16838" w:orient="portrait"/>
          <w:cols w:equalWidth="0" w:num="2">
            <w:col w:w="5680" w:space="220"/>
            <w:col w:w="3119"/>
          </w:cols>
          <w:pgMar w:left="1440" w:top="262" w:right="1440" w:bottom="1440" w:gutter="0" w:footer="0" w:header="0"/>
          <w:type w:val="continuous"/>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Existing Organization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33655</wp:posOffset>
            </wp:positionV>
            <wp:extent cx="17830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amounts than the existing shares,</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converting all or any of the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Company’s paid-up shares into stock,</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and reconverting that stock into paid-</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up shares of any denomination, by</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subdividing the Company’s existing</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shares or any of them dividing the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whole or any part of its share capital</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into shares of smaller amount than is</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fixed by the Memorandum (as defined</w:t>
      </w:r>
    </w:p>
    <w:p>
      <w:pPr>
        <w:spacing w:after="0" w:line="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therein) or into shares without par</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value, and cancelling any shares that</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at the date of the passing of the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Ordinary Resolution have not been</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taken or agreed to be taken by any</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person and diminish the amount of its</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share capital by the amount of the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shares so cancelled. An Ordinary</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Resolution is a resolution passed by a</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simple majority of the Members as,</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being entitled to do so, vote in person</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or, where proxies are allowed, by</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proxy at a general meeting, and</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includes a unanimous written</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resolution.</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i w:val="1"/>
          <w:iCs w:val="1"/>
          <w:color w:val="auto"/>
        </w:rPr>
        <w:t>See Article 20 of our Existing</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i w:val="1"/>
          <w:iCs w:val="1"/>
          <w:color w:val="auto"/>
        </w:rPr>
        <w:t>Organizational Documents.</w:t>
      </w:r>
    </w:p>
    <w:p>
      <w:pPr>
        <w:spacing w:after="0" w:line="2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Proposed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7830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5" w:lineRule="exact"/>
        <w:rPr>
          <w:sz w:val="20"/>
          <w:szCs w:val="20"/>
          <w:color w:val="auto"/>
        </w:rPr>
      </w:pPr>
    </w:p>
    <w:p>
      <w:pPr>
        <w:ind w:right="359"/>
        <w:spacing w:after="0" w:line="257" w:lineRule="auto"/>
        <w:rPr>
          <w:sz w:val="20"/>
          <w:szCs w:val="20"/>
          <w:color w:val="auto"/>
        </w:rPr>
      </w:pPr>
      <w:r>
        <w:rPr>
          <w:rFonts w:ascii="Times New Roman" w:cs="Times New Roman" w:eastAsia="Times New Roman" w:hAnsi="Times New Roman"/>
          <w:sz w:val="18"/>
          <w:szCs w:val="18"/>
          <w:color w:val="auto"/>
        </w:rPr>
        <w:t>shares of ProKidney Delaware’s capital stock entitled to vote generally in the election of directors, voting together as a single class, in order to remove a director for cause.  </w:t>
      </w:r>
    </w:p>
    <w:p>
      <w:pPr>
        <w:spacing w:after="0" w:line="206" w:lineRule="exact"/>
        <w:rPr>
          <w:sz w:val="20"/>
          <w:szCs w:val="20"/>
          <w:color w:val="auto"/>
        </w:rPr>
      </w:pPr>
    </w:p>
    <w:p>
      <w:pPr>
        <w:ind w:right="739"/>
        <w:spacing w:after="0" w:line="260" w:lineRule="auto"/>
        <w:rPr>
          <w:sz w:val="20"/>
          <w:szCs w:val="20"/>
          <w:color w:val="auto"/>
        </w:rPr>
      </w:pPr>
      <w:r>
        <w:rPr>
          <w:rFonts w:ascii="Times New Roman" w:cs="Times New Roman" w:eastAsia="Times New Roman" w:hAnsi="Times New Roman"/>
          <w:sz w:val="18"/>
          <w:szCs w:val="18"/>
          <w:i w:val="1"/>
          <w:iCs w:val="1"/>
          <w:color w:val="auto"/>
        </w:rPr>
        <w:t>See Articles 7.4, 10 and 11 of the Proposed Charter.</w:t>
      </w:r>
    </w:p>
    <w:p>
      <w:pPr>
        <w:sectPr>
          <w:pgSz w:w="11900" w:h="16838" w:orient="portrait"/>
          <w:cols w:equalWidth="0" w:num="2">
            <w:col w:w="5640" w:space="260"/>
            <w:col w:w="31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3 - ADVISORY CHARTER PROPOSAL A</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ProKidney’s shareholders are being asked to approve the advisory charter proposal A, which would, upon the effective time of the domestication, (i) adopt the state and federal courts in the State of Delaware, as applicable, as the exclusive forum for certain stockholder litigation (as more fully set forth in the Proposed Charter), and (ii) renounce, in the Proposed Charter, any interest or expectancy of ProKidney Delaware in, or in being offered an opportunity to participate in, certain corporate opportunities, subject to certain exceptions.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Amendments</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Adopting the state and federal courts in the State of Delaware, as applicable, as the exclusive forum for certain stockholder litigation is intended to assist us in avoiding multiple lawsuits in multiple jurisdictions regarding the same matter. The ability to require such claims to be brought in a single forum will help to assure consistent consideration of the issues, the application of a relatively known body of case law and level of expertise and should promote efficiency and cost-savings in the resolutions of such claims.</w:t>
      </w:r>
    </w:p>
    <w:p>
      <w:pPr>
        <w:spacing w:after="0" w:line="75"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Our Board believes that renouncing, in the Proposed Charter, any interest or expectancy of ProKidney Delaware in, or in being offered an opportunity to participate in, certain corporate opportunities (subject to certain exceptions) is essential to our ability to retain and attract qualified officer and directors. We expect that qualified officers and directors would likely engage in business activities outside of ProKidney Delaware and would anticipate that such outside experience would be beneficial to any such officer’s or director’s service for and management of ProKidney Delaware. Our Board believes that without such a renunciation, qualified officers and directors could be dissuaded from serving for ProKidney Delaware if they are concerned that their employment or directorship could foreclose them from, or expose them to potential liability for, pursuing commercial opportunities in their individual capacity (including in connection with other entities unrelated to ProKidney Delaware and its affiliates).</w:t>
      </w:r>
    </w:p>
    <w:p>
      <w:pPr>
        <w:spacing w:after="0" w:line="86" w:lineRule="exact"/>
        <w:rPr>
          <w:sz w:val="20"/>
          <w:szCs w:val="20"/>
          <w:color w:val="auto"/>
        </w:rPr>
      </w:pPr>
    </w:p>
    <w:p>
      <w:pPr>
        <w:ind w:left="300" w:right="799" w:firstLine="360"/>
        <w:spacing w:after="0" w:line="266" w:lineRule="auto"/>
        <w:rPr>
          <w:sz w:val="20"/>
          <w:szCs w:val="20"/>
          <w:color w:val="auto"/>
        </w:rPr>
      </w:pPr>
      <w:r>
        <w:rPr>
          <w:rFonts w:ascii="Times New Roman" w:cs="Times New Roman" w:eastAsia="Times New Roman" w:hAnsi="Times New Roman"/>
          <w:sz w:val="18"/>
          <w:szCs w:val="18"/>
          <w:color w:val="auto"/>
        </w:rPr>
        <w:t>This summary is qualified by reference to the complete text of the Proposed Charter, a copy of which is attached to this proxy statement/prospectus as Annex B. All shareholders are encouraged to read the Proposed Charter in its entirety for a more complete description of its terms.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A non-binding, advisory ordinary resolution, being a resolution passed by the holders of not less than a simple majority of the Class A and Class B ordinary shares, voting as a single class, represented in person or by proxy and entitled to vote thereon and who vote at the annual general meeting is required to approve the advisory charter proposal A. You may vote “FOR,” “AGAINST” or “ABSTAIN” on the advisory charter proposal A. Brokerage firms do not have authority to vote customers’ unvoted shares held by the firms in street name for the advisory charter proposal A.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 We are not required to obtain the approval of our shareholders to individually approve each of the advisory charter proposals. Accordingly, regardless of the outcome of the non-binding advisory vote, ProKidney intends that the Proposed Charter in the form set forth on Annex B will take effect at the effective time of the domestication, assuming adoption of the domestication proposal and the new charter proposal.</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Full Text of the Resolution</w:t>
      </w:r>
    </w:p>
    <w:p>
      <w:pPr>
        <w:spacing w:after="0" w:line="117" w:lineRule="exact"/>
        <w:rPr>
          <w:sz w:val="20"/>
          <w:szCs w:val="20"/>
          <w:color w:val="auto"/>
        </w:rPr>
      </w:pPr>
    </w:p>
    <w:p>
      <w:pPr>
        <w:ind w:left="300" w:right="41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 non-binding, advisory ordinary resolution, that (i) adopting the state and federal courts in the State of Delaware, as applicable as the exclusive forum for certain stockholder litigation (as more fully set forth in the Proposed Charter), and (ii) renouncing, in the Proposed Charter, any interest or expectancy of ProKidney Delaware in, or in being offered an opportunity to participate in, certain corporate opportunities, subject to certain exceptions, be approved.”</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300" w:right="3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OUR SHAREHOLDERS VOTE “FOR” THE APPROVAL OF ADVISORY CHARTER PROPOSAL A.</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3 - ADVISORY CHARTER PROPOSAL B</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ProKidney’s shareholders are being asked to approve the advisory charter proposal B, which would, upon the effective time of the domestication, allow further increases or decrease to the number of authorized shares of common stock or preferred stock need not be subject to a class-specific vote pursuant to Section 242(b)(2) of DGCL.</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Amendments</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purpose of the advisory charter proposal B is to provide ProKidney Delaware with the flexibility to increase or decrease the number of authorized shares of common stock or preferred stock without the need to obtain class-specific approvals, as permitted by Section 242(b)(2) of the DGCL. Our Board has determined that it would be in ProKidney Delaware’s best interests and in the best interests of its stockholders to allow the number of authorized shares of common stock or preferred stock to be increased or decreased by the affirmative vote of the holders of a majority of the outstanding shares of capital stock of the Company entitled to vote, irrespective of the provisions of Section 242(b)(2) of the DGCL.</w:t>
      </w:r>
    </w:p>
    <w:p>
      <w:pPr>
        <w:spacing w:after="0" w:line="81" w:lineRule="exact"/>
        <w:rPr>
          <w:sz w:val="20"/>
          <w:szCs w:val="20"/>
          <w:color w:val="auto"/>
        </w:rPr>
      </w:pPr>
    </w:p>
    <w:p>
      <w:pPr>
        <w:ind w:left="300" w:right="799" w:firstLine="360"/>
        <w:spacing w:after="0" w:line="266" w:lineRule="auto"/>
        <w:rPr>
          <w:sz w:val="20"/>
          <w:szCs w:val="20"/>
          <w:color w:val="auto"/>
        </w:rPr>
      </w:pPr>
      <w:r>
        <w:rPr>
          <w:rFonts w:ascii="Times New Roman" w:cs="Times New Roman" w:eastAsia="Times New Roman" w:hAnsi="Times New Roman"/>
          <w:sz w:val="18"/>
          <w:szCs w:val="18"/>
          <w:color w:val="auto"/>
        </w:rPr>
        <w:t>This summary is qualified by reference to the complete text of the Proposed Charter, a copy of which is attached to this proxy statement/prospectus as Annex B. All shareholders are encouraged to read the Proposed Charter in its entirety for a more complete description of its terms.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A non-binding, advisory ordinary resolution, being a resolution passed by the holders of not less than a simple majority of the Class A and Class B ordinary shares, voting as a single class, represented in person or by proxy and entitled to vote thereon and who vote at the annual general meeting is required to approve the advisory charter proposal B. You may vote “FOR,” “AGAINST” or “ABSTAIN” on the advisory charter proposal B. Brokerage firms do not have authority to vote customers’ unvoted shares held by the firms in street name for the advisory charter proposal B.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 We are not required to obtain the approval of our shareholders to individually approve each of the advisory charter proposals. Accordingly, regardless of the outcome of the non-binding advisory vote, ProKidney intends that the Proposed Charter in the form set forth on Annex B will take effect at the effective time of the domestication, assuming adoption of the domestication proposal and the new charter proposal.</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Full Text of the Resolution</w:t>
      </w:r>
    </w:p>
    <w:p>
      <w:pPr>
        <w:spacing w:after="0" w:line="117" w:lineRule="exact"/>
        <w:rPr>
          <w:sz w:val="20"/>
          <w:szCs w:val="20"/>
          <w:color w:val="auto"/>
        </w:rPr>
      </w:pPr>
    </w:p>
    <w:p>
      <w:pPr>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non-binding, advisory ordinary resolution, that allowing further increases or decrease to the number of authorized shares of common stock or preferred stock not to be subject to a class-specific vote pursuant to Section 242(b)(2) of DGCL be approved.”</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300" w:right="3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OUR SHAREHOLDERS VOTE “FOR” THE APPROVAL OF ADVISORY CHARTER PROPOSAL B.</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3 - ADVISORY CHARTER PROPOSAL C</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ProKidney’s shareholders are being asked to approve the advisory charter proposal C, which, upon the effective time of the domestication, removes the ability of shareholders to act by written resolution in lieu of a meeting, subject to certain exceptions.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Amendments</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Existing Organizational Documents currently provide that ordinary resolutions and special resolutions may be passed by unanimous written resolution of ProKidney’s shareholders. If advisory charter proposal C is approved, subject to the rights of the holders of Class B common stock (as defined in our Proposed Charter) and the holders of one or more series of preferred stock, shareholders will not have the ability to act by written resolution in lieu of a meeting of stockholders, and all actions required or permitted to be taken by the shareholders of ProKidney Delaware (subject to the exceptions referenced above) must be effected at a duly convened special meeting or annual meeting of stockholders of ProKidney Delaware.</w:t>
      </w:r>
    </w:p>
    <w:p>
      <w:pPr>
        <w:spacing w:after="0" w:line="8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ProKidney Delaware’s shareholders will have the ability to propose items of business (subject to the restrictions set forth in the Proposed Organizational Documents) at duly convened shareholder meetings. This advisory charter proposal C does not foreclose that right, but does limit shareholders’ ability to take such and other actions by consent (subject to the rights of the holders of Class B common stock and the holders of one or more series of preferred stock to act by written resolution in accordance with the terms of the Proposed Charter). Eliminating the right of shareholders to act by written resolution limits the circumstances under which shareholders can act on their own initiative to remove directors in accordance with Delaware law and the Proposed Charter, or alter or amend ProKidney Delaware’s organizational documents outside of a duly called special or annual meeting of the shareholders of ProKidney Delaware. Further, our Board believes continuing to limit shareholders’ ability to act by written resolution in lieu of a meeting (subject to the permitted exceptions) will reduce the time and effort our Board and management would need to devote to such shareholder action by written resolution, which time and effort could distract our directors and management from other important business.</w:t>
      </w:r>
    </w:p>
    <w:p>
      <w:pPr>
        <w:spacing w:after="0" w:line="8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addition, the elimination of the shareholders’ ability to act by written resolution (subject to certain exceptions) may have certain anti-takeover effects by forcing a potential acquirer to take control of the Board only at a duly called special or annual meeting. However, this advisory charter proposal C is not in response to any effort of which we are aware to obtain control of ProKidney. Further, the Board does not believe that the effects of the elimination of shareholder action by written resolution will create a significant impediment to a tender offer or other effort to take control of ProKidney. Inclusion of these provisions in the Proposed Charter might also increase the likelihood that a potential acquirer would negotiate the terms of any proposed transaction with the Board and thereby help protect shareholders from the use of abusive and coercive takeover tactics.</w:t>
      </w:r>
    </w:p>
    <w:p>
      <w:pPr>
        <w:spacing w:after="0" w:line="84" w:lineRule="exact"/>
        <w:rPr>
          <w:sz w:val="20"/>
          <w:szCs w:val="20"/>
          <w:color w:val="auto"/>
        </w:rPr>
      </w:pPr>
    </w:p>
    <w:p>
      <w:pPr>
        <w:ind w:left="300" w:right="799" w:firstLine="360"/>
        <w:spacing w:after="0" w:line="266" w:lineRule="auto"/>
        <w:rPr>
          <w:sz w:val="20"/>
          <w:szCs w:val="20"/>
          <w:color w:val="auto"/>
        </w:rPr>
      </w:pPr>
      <w:r>
        <w:rPr>
          <w:rFonts w:ascii="Times New Roman" w:cs="Times New Roman" w:eastAsia="Times New Roman" w:hAnsi="Times New Roman"/>
          <w:sz w:val="18"/>
          <w:szCs w:val="18"/>
          <w:color w:val="auto"/>
        </w:rPr>
        <w:t>This summary is qualified by reference to the complete text of the Proposed Charter, a copy of which is attached to this proxy statement/prospectus as Annex B. All shareholders are encouraged to read the Proposed Charter in its entirety for a more complete description of its terms.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A non-binding, advisory ordinary resolution, being a resolution passed by the holders of not less than a simple majority of the Class A and Class B ordinary shares, voting as a single class, represented in person or by proxy and entitled to vote thereon and who vote at the annual general meeting is required to approve the advisory charter proposal C. You may vote “FOR,” “AGAINST” or “ABSTAIN” on the advisory charter proposal C. Brokerage firms do not have authority to vote customers’ unvoted shares held by the firms in street name for the advisory charter proposal C.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 We are not required to obtain the approval of our shareholders to individually approve each of the advisory charter proposals. Accordingly, regardless of the outcome of the non-binding advisory vote, ProKidney intends that the Proposed Charter in the form set forth on Annex B will take effect at the effective time of the domestication, assuming adoption of the domestication proposal and the new charter proposal.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Full Text of the Resolution</w:t>
      </w:r>
    </w:p>
    <w:p>
      <w:pPr>
        <w:spacing w:after="0" w:line="117" w:lineRule="exact"/>
        <w:rPr>
          <w:sz w:val="20"/>
          <w:szCs w:val="20"/>
          <w:color w:val="auto"/>
        </w:rPr>
      </w:pPr>
    </w:p>
    <w:p>
      <w:pPr>
        <w:ind w:left="300" w:right="33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 non-binding, advisory ordinary resolution, that removal of the ability of shareholders to act by written resolution in lieu of a meeting, subject to certain exceptions in the Proposed Charter, be approved.”</w:t>
      </w:r>
    </w:p>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300" w:right="3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OUR SHAREHOLDERS VOTE “FOR” THE APPROVAL OF ADVISORY CHARTER PROPOSAL C.</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3 - ADVISORY CHARTER PROPOSAL 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499" w:firstLine="360"/>
        <w:spacing w:after="0" w:line="257" w:lineRule="auto"/>
        <w:rPr>
          <w:sz w:val="20"/>
          <w:szCs w:val="20"/>
          <w:color w:val="auto"/>
        </w:rPr>
      </w:pPr>
      <w:r>
        <w:rPr>
          <w:rFonts w:ascii="Times New Roman" w:cs="Times New Roman" w:eastAsia="Times New Roman" w:hAnsi="Times New Roman"/>
          <w:sz w:val="18"/>
          <w:szCs w:val="18"/>
          <w:color w:val="auto"/>
        </w:rPr>
        <w:t>ProKidney’s shareholders are being asked to approve the advisory charter proposal D an advisory vote on the amendment to approve the change in the authorized share capital of ProKidney US$100,500 divided into 500,000,000 Class A ordinary shares of par value $0.0001 per share, 500,000,000 Class B ordinary shares of</w:t>
      </w:r>
    </w:p>
    <w:p>
      <w:pPr>
        <w:spacing w:after="0" w:line="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par value $0.0001 per share and 5,000,000 preference shares of par value $0.0001 per share, to 1,250,000,000 shares of ProKidney Delaware consisting of 700,000,000 shares of Class A common stock, par value $0.0001 per share, 500,000,000 shares of Class B common stock, par value $0.0001 per share, and 50,000,000 shares of preferred stock, par value $0.0001 per share.</w:t>
      </w:r>
    </w:p>
    <w:p>
      <w:pPr>
        <w:spacing w:after="0" w:line="8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As of the date of this proxy statement/prospectus, there are (i) [•] ProKidney Class A ordinary shares issued and outstanding and (ii) [•] ProKidney Class B ordinary shares issued and outstanding. At the effective time of the domestication, by virtue of the domestication and without any further action on the part of any holder thereof, (i) each Class A ordinary share issued and outstanding immediately prior to the effective time of the domestication will be automatically converted into one (1) share of Class A common stock, and (ii) each Class B ordinary share issued and outstanding immediately prior to the effective time of the domestication will be automatically converted into one (1) share of Class B common stock.</w:t>
      </w:r>
    </w:p>
    <w:p>
      <w:pPr>
        <w:spacing w:after="0" w:line="8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In order to ensure that ProKidney Delaware has sufficient authorized shares of capital stock for future issuances, the Proposed Charter of ProKidney Delaware changes the authorized share capital of ProKidney from US$100,500 divided into 500,000,000 Class A ordinary shares of par value $0.0001 per share, 500,000,000 Class B ordinary shares of par value $0.0001 per share and 5,000,000 preference shares of par value $0.0001 per share, to 1,250,000,000 shares of ProKidney Delaware consisting of 700,000,000 shares of Class A common stock, par value $0.0001 per share, 500,000,000 shares of Class B common stock, par value $0.0001 per share, and 50,000,000 shares of preferred stock. See the section entitled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for a further discussion of our capital stock, par value $0.0001 per share.</w:t>
      </w:r>
    </w:p>
    <w:p>
      <w:pPr>
        <w:spacing w:after="0" w:line="84" w:lineRule="exact"/>
        <w:rPr>
          <w:sz w:val="20"/>
          <w:szCs w:val="20"/>
          <w:color w:val="auto"/>
        </w:rPr>
      </w:pPr>
    </w:p>
    <w:p>
      <w:pPr>
        <w:ind w:left="300" w:right="799" w:firstLine="360"/>
        <w:spacing w:after="0" w:line="266" w:lineRule="auto"/>
        <w:rPr>
          <w:sz w:val="20"/>
          <w:szCs w:val="20"/>
          <w:color w:val="auto"/>
        </w:rPr>
      </w:pPr>
      <w:r>
        <w:rPr>
          <w:rFonts w:ascii="Times New Roman" w:cs="Times New Roman" w:eastAsia="Times New Roman" w:hAnsi="Times New Roman"/>
          <w:sz w:val="18"/>
          <w:szCs w:val="18"/>
          <w:color w:val="auto"/>
        </w:rPr>
        <w:t>This summary is qualified by reference to the complete text of the Proposed Charter, a copy of which is attached to this proxy statement/prospectus as Annex B. All shareholders are encouraged to read the Proposed Charter in its entirety for a more complete description of its terms.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Amendments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As of [•], 2025, ProKidney had 500,000,000 authorized Class A ordinary shares, with [•] Class A ordinary shares outstanding and [•] shares of Class A ordinary shares either underlying awards outstanding or still available for grant under the Company’s equity incentive plan and [•] shares of Class A ordinary shares reserved for exchange of the Paired Interests (as defined below).</w:t>
      </w:r>
    </w:p>
    <w:p>
      <w:pPr>
        <w:spacing w:after="0" w:line="72" w:lineRule="exact"/>
        <w:rPr>
          <w:sz w:val="20"/>
          <w:szCs w:val="20"/>
          <w:color w:val="auto"/>
        </w:rPr>
      </w:pPr>
    </w:p>
    <w:p>
      <w:pPr>
        <w:ind w:left="300" w:right="379" w:firstLine="360"/>
        <w:spacing w:after="0" w:line="272" w:lineRule="auto"/>
        <w:rPr>
          <w:sz w:val="20"/>
          <w:szCs w:val="20"/>
          <w:color w:val="auto"/>
        </w:rPr>
      </w:pPr>
      <w:r>
        <w:rPr>
          <w:rFonts w:ascii="Times New Roman" w:cs="Times New Roman" w:eastAsia="Times New Roman" w:hAnsi="Times New Roman"/>
          <w:sz w:val="17"/>
          <w:szCs w:val="17"/>
          <w:color w:val="auto"/>
        </w:rPr>
        <w:t>The principal purpose of this proposal is to provide for an authorized capital structure of ProKidney Delaware that will enable it to continue as an operating company governed by the DGCL. Our Board believes that it is important for ProKidney Delaware to have available for issuance a number of authorized shares of common stock and preferred stock sufficient to support our growth and to provide flexibility for future corporate needs (including, if needed, as part of financing for future growth acquisitions). The additional 200 million authorized shares of Class A common stock contemplated by the advisory charter proposal D is important to ProKidney Delaware in order for additional shares of Class A common stock to be available for issuance from time to time, without further action or authorization by ProKidney Delaware’s stockholders (except as required by applicable law or Nasdaq rules).</w:t>
      </w:r>
    </w:p>
    <w:p>
      <w:pPr>
        <w:spacing w:after="0" w:line="6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Other than the issuance of shares of Class A common stock available for grant under the Company’s equity incentive plan and reserved for exchange of the Paired Interests, ProKidney Delaware has no current plan, commitment, arrangement, understanding or agreement regarding the issuance of the additional shares of Class A common stock that will result from ProKidney Delaware’s adoption of the advisory charter proposal D. While adoption of the Proposed Charter would not have any immediate dilutive effect on the proportionate voting power or other rights of ProKidney’s existing holders of Class A ordinary shares, any future issuance of additional authorized shares of Class A common stock may, among other things, dilute the earnings per share of the Class A common stock and the equity and voting rights of those holding Class A common stock at the time the additional shares are issued.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In addition to the corporate purposes mentioned above, an increase in the number of authorized shares of Class A common stock may make it more difficult to, or discourage an attempt to, obtain control of ProKidney Delaware by means of a takeover bid that the Board determines is not in the best interest of ProKidney Delaware and its stockholders. However, the Board does not intend or view the proposed increase in the number of authorized shares of Class A common stock as an anti-takeover measure and is not aware of any attempt or plan to obtain control of ProKidney Delaware.</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A non-binding, advisory ordinary resolution, being a resolution passed by the holders of not less than a simple majority of the Class A and Class B ordinary shares, voting as a single class, represented in person or by proxy and entitled to vote thereon and who vote at the annual general meeting is required to approve the advisory charter proposal D. You may vote “FOR,” “AGAINST” or “ABSTAIN” on the advisory charter proposal D. Brokerage firms do not have authority to vote customers’ unvoted shares held by the firms in street name for the advisory charter proposal D.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 We are not required to obtain the approval of our shareholders to individually approve each of the advisory charter proposals. Accordingly, regardless of the outcome of the non-binding advisory vote, ProKidney intends that the Proposed Charter in the form set forth on Annex B will take effect at the effective time of the domestication, assuming adoption of the domestication proposal and the new charter proposal.</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Full Text of the Resolution</w:t>
      </w:r>
    </w:p>
    <w:p>
      <w:pPr>
        <w:spacing w:after="0" w:line="117"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 non-binding, advisory ordinary resolution, that the change in the authorized share capital of ProKidney Corp. from US$100,500 divided into 500,000,000 Class A ordinary shares of a par value of US$0.0001 each, 500,000,000 Class B ordinary shares of a par value of US$0.0001 each and 5,000,000 preference shares of a par value of US$0.0001 each, to 1,250,000,000 shares of ProKidney Delaware consisting of 700,000,000 shares of Class A common stock, par value of $0.0001 per share, 500,000,000 shares of Class B common stock, par value of $0.0001 per share and 50,000,000 shares of preferred stock, par value of $0.0001 per share, in connection with the domestication as reflected in the Proposed Charter, be approved.”</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300" w:right="3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OUR SHAREHOLDERS VOTE “FOR” THE APPROVAL OF ADVISORY CHARTER PROPOSAL 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3 - ADVISORY CHARTER PROPOSAL 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ProKidney’s shareholders are being asked to approve the advisory charter proposal E an advisory vote require</w:t>
      </w:r>
    </w:p>
    <w:p>
      <w:pPr>
        <w:spacing w:after="0" w:line="27" w:lineRule="exact"/>
        <w:rPr>
          <w:sz w:val="20"/>
          <w:szCs w:val="20"/>
          <w:color w:val="auto"/>
        </w:rPr>
      </w:pPr>
    </w:p>
    <w:p>
      <w:pPr>
        <w:ind w:left="300" w:right="339" w:hanging="8"/>
        <w:spacing w:after="0" w:line="251" w:lineRule="auto"/>
        <w:tabs>
          <w:tab w:leader="none" w:pos="5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the affirmative vote of the holders of at least two thirds (2/3) of the total voting power of all the then-outstanding shares of ProKidney Delaware’s capital stock entitled to vote thereon, and voting together as a single class or (y) approval of a majority of the Board, to make, adopt, alter, amend, change, add to, rescind or repeal, in whole or in part, the Proposed Bylaws; (ii) at least two thirds (2/3) of the total voting power of all the outstanding shares of ProKidney Delaware’s capital stock entitled to vote thereon, voting together as a single class in order to alter, amend or repeal Sections 7.2 (Staggered Board), 7.3 (Vacancies and Newly Created Directorships) and 7.4 (Removal of Directors) of Article 7, Sections 8.1 (Stockholders Action by Consent), and 8.2 (Meetings of Stockholders) of Article 8 or Article 9 (Indemnification), Article 10 (Adoption, Amendment or Repeal of By-Laws), Article 11 (Adoption, Amendment and Repeal of Certificate), Article 12 (Forum for Adjudication of Disputes) or Article 15 (Corporate Opportunity) of the Proposed Charter; and (iii) at least two thirds (2/3) of the total voting power of the outstanding shares of ProKidney Delaware’s capital stock entitled to vote generally in the election of directors, voting together as a single class, in order to remove a director for cause.</w:t>
      </w:r>
    </w:p>
    <w:p>
      <w:pPr>
        <w:spacing w:after="0" w:line="84" w:lineRule="exact"/>
        <w:rPr>
          <w:sz w:val="20"/>
          <w:szCs w:val="20"/>
          <w:color w:val="auto"/>
        </w:rPr>
      </w:pPr>
    </w:p>
    <w:p>
      <w:pPr>
        <w:ind w:left="300" w:right="799" w:firstLine="360"/>
        <w:spacing w:after="0" w:line="266" w:lineRule="auto"/>
        <w:rPr>
          <w:sz w:val="20"/>
          <w:szCs w:val="20"/>
          <w:color w:val="auto"/>
        </w:rPr>
      </w:pPr>
      <w:r>
        <w:rPr>
          <w:rFonts w:ascii="Times New Roman" w:cs="Times New Roman" w:eastAsia="Times New Roman" w:hAnsi="Times New Roman"/>
          <w:sz w:val="18"/>
          <w:szCs w:val="18"/>
          <w:color w:val="auto"/>
        </w:rPr>
        <w:t>This summary is qualified by reference to the complete text of the Proposed Charter, a copy of which is attached to this proxy statement/prospectus as Annex B. All shareholders are encouraged to read the Proposed Charter in its entirety for a more complete description of its terms.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Amendments</w:t>
      </w:r>
    </w:p>
    <w:p>
      <w:pPr>
        <w:spacing w:after="0" w:line="121"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The principal purpose of this proposal is to protect the Proposed Bylaws and certain key provisions of the Proposed Charter from arbitrary amendment and to prevent a simple majority of stockholders from taking actions that may be harmful to other stockholders or making changes to provisions that are intended to protect all stockholders.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A non-binding, advisory ordinary resolution, being a resolution passed by the holders of not less than a simple majority of the Class A and Class B ordinary shares, voting as a single class, represented in person or by proxy and entitled to vote thereon and who vote at the annual general meeting is required to approve the advisory charter proposal E. You may vote “FOR,” “AGAINST” or “ABSTAIN” on the advisory charter proposal E. Brokerage firms do not have authority to vote customers’ unvoted shares held by the firms in street name for the advisory charter proposal E.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 We are not required to obtain the approval of our shareholders to individually approve each of the advisory charter proposals. Accordingly, regardless of the outcome of the non-binding advisory vote, ProKidney intends that the Proposed Charter in the form set forth on Annex B will take effect at the effective time of the domestication, assuming adoption of the domestication proposal and the new charter proposal.</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Full Text of the Resolution</w:t>
      </w:r>
    </w:p>
    <w:p>
      <w:pPr>
        <w:spacing w:after="0" w:line="117"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 non-binding, advisory ordinary resolution, that to approve the advisory charter proposal E an advisory vote require (i) either (x) the affirmative vote of the holders of at least two thirds (2/3) of the total voting power of all the then-outstanding shares of ProKidney Delaware’s capital stock entitled to vote thereon, and voting together as a single class or (y) approval of a majority of the Board, to make, adopt, alter, amend, change, add to, rescind or repeal, in whole or in part, the Proposed Bylaws; (ii) at least two thirds (2/3) of the total voting power of all the outstanding shares of ProKidney Delaware’s capital stock entitled to vote thereon, voting together as a single class in order to alter, amend or repeal Sections 7.2, 7.3 and 7.4 of Article 7, Sections 8.1, and 8.2 of Article 8 or Article 9, 10, 11, 12 or 15 of the Proposed Charter; and (iii) at least two thirds (2/3) of the total voting power of the outstanding shares of ProKidney Delaware’s capital stock entitled to vote generally in the election of directors, voting together as a single class, in order to remove a director for cause.”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300" w:right="3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OUR SHAREHOLDERS VOTE “FOR” THE APPROVAL OF ADVISORY CHARTER PROPOSAL 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9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Board has voted to nominate each of Bruce Culleton, M.D., Pablo Legorreta and Uma Sinha, Ph.D. for election at the annual general meeting for a term of three years to serve until the 2028 annual general meeting of shareholders, and until their respective successors are elected and qualified. The Class II directors (Jennifer Fox and José Ignacio Jiménez Santos) and the Class I directors (William F. Doyle, Alan M. Lotvin, M.D., and Brian J. G. Pereira, M.D.) will serve until the annual general meetings of shareholders to be held in 2027 and 2026, respectively, and until their respective successors have been elected and qualified. If each of the Class III directors is elected and the domestication proposal is approved, the members of the Board of ProKidney Delaware will remain the same following the domestication. For additional information on the director nominees, see “</w:t>
      </w:r>
      <w:r>
        <w:rPr>
          <w:rFonts w:ascii="Times New Roman" w:cs="Times New Roman" w:eastAsia="Times New Roman" w:hAnsi="Times New Roman"/>
          <w:sz w:val="18"/>
          <w:szCs w:val="18"/>
          <w:i w:val="1"/>
          <w:iCs w:val="1"/>
          <w:color w:val="auto"/>
        </w:rPr>
        <w:t>Management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Governance—Director Nominees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300" w:right="519" w:firstLine="360"/>
        <w:spacing w:after="0" w:line="277" w:lineRule="auto"/>
        <w:rPr>
          <w:sz w:val="20"/>
          <w:szCs w:val="20"/>
          <w:color w:val="auto"/>
        </w:rPr>
      </w:pPr>
      <w:r>
        <w:rPr>
          <w:rFonts w:ascii="Times New Roman" w:cs="Times New Roman" w:eastAsia="Times New Roman" w:hAnsi="Times New Roman"/>
          <w:sz w:val="17"/>
          <w:szCs w:val="17"/>
          <w:color w:val="auto"/>
        </w:rPr>
        <w:t xml:space="preserve">Unless authority to vote for any of these nominees is withheld, the shares represented by the enclosed proxy will be voted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election of each of Bruce Culleton, M.D., Pablo Legorreta and Uma Sinha, Ph.D. as directors. In the event that any nominee becomes unable or unwilling to serve, the shares represented by the enclosed proxy will be voted for the election of such other person as the Board may recommend in that nominee’s place. We have no reason to believe that any nominee will be unable or unwilling to serve as a director.</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An ordinary resolution, being a resolution passed by the holders of not less than a simple majority of the Class A and Class B ordinary shares, voting as a single class, represented in person or by proxy and entitled to vote thereon and who vote at the annual general meeting, is required for the election of each director.</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Full Text of the Resolution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full text of the resolutions to be proposed is as follows:</w:t>
      </w:r>
    </w:p>
    <w:p>
      <w:pPr>
        <w:spacing w:after="0" w:line="113" w:lineRule="exact"/>
        <w:rPr>
          <w:sz w:val="20"/>
          <w:szCs w:val="20"/>
          <w:color w:val="auto"/>
        </w:rPr>
      </w:pPr>
    </w:p>
    <w:p>
      <w:pPr>
        <w:ind w:left="300" w:right="4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of the holders of the Company’s Class A ordinary shares and Class B ordinary shares, voting together as a single class, that Bruce Culleton, M.D. be appointed to serve as a Class III director on the Board for a three-year term that will expire at the annual general meeting of shareholders in 2028.”</w:t>
      </w:r>
    </w:p>
    <w:p>
      <w:pPr>
        <w:spacing w:after="0" w:line="63" w:lineRule="exact"/>
        <w:rPr>
          <w:sz w:val="20"/>
          <w:szCs w:val="20"/>
          <w:color w:val="auto"/>
        </w:rPr>
      </w:pPr>
    </w:p>
    <w:p>
      <w:pPr>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of the holders of the Company’s Class A ordinary shares and Class B ordinary shares, voting together as a single class, that Pablo Legorreta be appointed to serve as a Class III director on the Board for a three-year term that will expire at the annual general meeting of shareholders in 2028.”</w:t>
      </w:r>
    </w:p>
    <w:p>
      <w:pPr>
        <w:spacing w:after="0" w:line="63" w:lineRule="exact"/>
        <w:rPr>
          <w:sz w:val="20"/>
          <w:szCs w:val="20"/>
          <w:color w:val="auto"/>
        </w:rPr>
      </w:pPr>
    </w:p>
    <w:p>
      <w:pPr>
        <w:jc w:val="both"/>
        <w:ind w:left="300" w:right="37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of the holders of the Company’s Class A ordinary shares and Class B ordinary shares, voting together as a single class, that Uma Sinha, Ph.D. be appointed to serve as a Class III director on the Board for a three-year term that will expire at the annual general meeting of shareholders in 2028.”</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300" w:right="5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BOARD RECOMMENDS A VOTE “FOR” THE ELECTION OF EACH OF BRUCE CULLETON, M.D., PABLO LEGORRETA, AND UMA SINHA, PH.D. AS DIRECTORS, AND PROXIES SOLICITED BY THE BOARD WILL BE VOTED IN FAVOR THEREOF UNLESS A SHAREHOLDER HAS INDICATED OTHERWISE ON THE PROXY.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5</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9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has appointed Ernst &amp; Young LLP, as our independent registered public accounting firm, to audit our financial statements for the fiscal year ending December 31, 2025. Ernst &amp; Young LLP has served as our independent registered public accounting firm since 2019. The Board proposes that the shareholders ratify this appointment. Ernst &amp; Young LLP audited our financial statements for the fiscal year ended December 31, 2024. We expect that representatives of Ernst &amp; Young LLP will be present at the annual general meeting, will be able to make a statement if they so desire, and will be available to respond to appropriate questions.</w:t>
      </w:r>
    </w:p>
    <w:p>
      <w:pPr>
        <w:spacing w:after="0" w:line="7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In deciding to appoint Ernst &amp; Young LLP, the Audit Committee reviewed auditor independence issues and existing commercial relationships with Ernst &amp; Young LLP and concluded that Ernst &amp; Young LLP has no commercial relationship with the Company that would impair its independence for the fiscal year ending December 31, 2025.</w:t>
      </w:r>
    </w:p>
    <w:p>
      <w:pPr>
        <w:spacing w:after="0" w:line="338"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Public Accountant</w:t>
      </w:r>
    </w:p>
    <w:p>
      <w:pPr>
        <w:spacing w:after="0" w:line="5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Audit Committee has adopted a policy for the pre-approval of all audits and permitted non-audit services that may be performed by our independent registered public accounting firm. Under the policy, the Audit Committee must give prior approval for any amount or type of service within four categories—audit, audit-related, tax services or, to the extent permitted by law, other services—that the independent auditor provides. Prior to the annual engagement, the Audit Committee may grant general pre-approval for independent auditor services within these four categories. During the year, circumstances may arise when it may become necessary to engage the independent auditor for additional services not contemplated in the original pre-approval and, in those instances, such service will require separate pre-approval by the Audit Committee if it is to be provided by the independent auditor. For any pre-approval, the Audit Committee will consider whether such services are consistent with the SEC’s rules on auditor independence, whether the auditor is best positioned to provide the most cost-effective and efficient service and whether the service might enhance our ability to manage or control risk or improve audit quality. The Audit Committee may delegate to one or more of its members’ authority to approve a request for pre-approval, provided the member reports any approval so given to the Audit Committee at its next scheduled meeting. All fees incurred subsequent to our initial public offering were pre-approved by the Audit Committee.</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Fees</w:t>
      </w:r>
    </w:p>
    <w:p>
      <w:pPr>
        <w:spacing w:after="0" w:line="121" w:lineRule="exact"/>
        <w:rPr>
          <w:sz w:val="20"/>
          <w:szCs w:val="20"/>
          <w:color w:val="auto"/>
        </w:rPr>
      </w:pPr>
    </w:p>
    <w:p>
      <w:pPr>
        <w:ind w:left="300" w:right="419" w:firstLine="360"/>
        <w:spacing w:after="0" w:line="312" w:lineRule="auto"/>
        <w:rPr>
          <w:sz w:val="20"/>
          <w:szCs w:val="20"/>
          <w:color w:val="auto"/>
        </w:rPr>
      </w:pPr>
      <w:r>
        <w:rPr>
          <w:rFonts w:ascii="Times New Roman" w:cs="Times New Roman" w:eastAsia="Times New Roman" w:hAnsi="Times New Roman"/>
          <w:sz w:val="17"/>
          <w:szCs w:val="17"/>
          <w:color w:val="auto"/>
        </w:rPr>
        <w:t>The following table summarizes the aggregate fees billed for professional services rendered by Ernst &amp; Young LLP to us in 2024 and 2023. A description of these various fees and services follows the table (in thousands).</w:t>
      </w:r>
    </w:p>
    <w:p>
      <w:pPr>
        <w:spacing w:after="0" w:line="17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90"/>
        </w:trPr>
        <w:tc>
          <w:tcPr>
            <w:tcW w:w="734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7340" w:type="dxa"/>
            <w:vAlign w:val="bottom"/>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39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109855</wp:posOffset>
            </wp:positionV>
            <wp:extent cx="8229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8" w:lineRule="exact"/>
        <w:rPr>
          <w:sz w:val="20"/>
          <w:szCs w:val="20"/>
          <w:color w:val="auto"/>
        </w:rPr>
      </w:pPr>
    </w:p>
    <w:p>
      <w:pPr>
        <w:ind w:left="640" w:right="739" w:hanging="348"/>
        <w:spacing w:after="0" w:line="24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Audit Fees: This category represents fees for professional services provided in connection with the audit of our financial statements, review of our quarterly financial statements, and audit services pertaining to other regulatory filings such as our proxy statements and registration statements.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This category consists of tax compliance, tax planning and tax advice.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This category consists of fees for permitted services other than the services reported in audit fees and tax fees.</w:t>
      </w:r>
    </w:p>
    <w:p>
      <w:pPr>
        <w:spacing w:after="0" w:line="100"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In the event that our shareholders do not ratify the appointment of Ernst &amp; Young LLP as our independent registered public accounting firm, the Audit committee will reconsider its appointment.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An ordinary resolution, being a resolution passed by the holders of not less than a simple majority of the Class A and Class B ordinary shares, voting as a single class, represented in person or by proxy and entitled to vote thereon and who vote at the annual general meeting, is required to ratify the appointment of independent registered public accounting firm proposal.</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Full Text of the Resolution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jc w:val="both"/>
        <w:ind w:left="300" w:right="77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the appointment of Ernst &amp; Young LLP as the independent registered public accounting firm of the Company for the fiscal year ending December 31, 2025 be confirmed, ratified and approved in all respects.”</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300" w:right="3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BOARD RECOMMENDS A VOTE “FOR” THE RATIFICATION OF THE APPOINTMENT OF ERNST &amp; YOUNG LLP AS OUR INDEPENDENT REGISTERED PUBLIC ACCOUNTING FIRM, AND PROXIES SOLICITED BY THE BOARD WILL BE VOTED IN FAVOR OF SUCH RATIFICATION UNLESS A SHAREHOLDER INDICATES OTHERWISE ON THE PROXY.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6</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99" w:lineRule="exact"/>
        <w:rPr>
          <w:sz w:val="20"/>
          <w:szCs w:val="20"/>
          <w:color w:val="auto"/>
        </w:rPr>
      </w:pPr>
    </w:p>
    <w:p>
      <w:pPr>
        <w:ind w:left="300" w:right="699" w:firstLine="360"/>
        <w:spacing w:after="0" w:line="261" w:lineRule="auto"/>
        <w:rPr>
          <w:sz w:val="20"/>
          <w:szCs w:val="20"/>
          <w:color w:val="auto"/>
        </w:rPr>
      </w:pPr>
      <w:r>
        <w:rPr>
          <w:rFonts w:ascii="Times New Roman" w:cs="Times New Roman" w:eastAsia="Times New Roman" w:hAnsi="Times New Roman"/>
          <w:sz w:val="18"/>
          <w:szCs w:val="18"/>
          <w:color w:val="auto"/>
        </w:rPr>
        <w:t>The adjournment proposal allows the Board to submit a proposal to approve, by ordinary resolution, the adjournment of the annual general meeting to a later date or dates, if necessary, to permit further solicitation of proxies in the event, based on the tabulated votes, there are not sufficient votes at the time of the annual general meeting to approve the domestication proposal and the new charter proposal.</w:t>
      </w:r>
    </w:p>
    <w:p>
      <w:pPr>
        <w:spacing w:after="0" w:line="7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If the adjournment proposal is presented to the annual general meeting and is not approved by the shareholders, the Board may not be able to adjourn the annual general meeting to a later date in the event that based on the tabulated votes, there are not sufficient votes at the time of the annual general meeting to approve the domestication proposal and the new charter proposal.</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The approval of the adjournment proposal requires an ordinary resolution, being the affirmative vote of the holders of a majority of the Class A and Class B ordinary shares, represented in person or by proxy and entitled to vote thereon and who vote at the annual general meeting.</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adjournment proposal is not conditioned upon any other proposal.</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Full Text of the Resolution</w:t>
      </w:r>
    </w:p>
    <w:p>
      <w:pPr>
        <w:spacing w:after="0" w:line="121" w:lineRule="exact"/>
        <w:rPr>
          <w:sz w:val="20"/>
          <w:szCs w:val="20"/>
          <w:color w:val="auto"/>
        </w:rPr>
      </w:pPr>
    </w:p>
    <w:p>
      <w:pPr>
        <w:jc w:val="both"/>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“RESOLVED, as an ordinary resolution, that the adjournment of the annual general meeting to a later date or dates, if necessary or appropriate, to permit further solicitation and vote of proxies in the event that it is determined by ProKidney that more time is necessary or appropriate to approve one or more proposals at the Annual meeting be approved and adopted in all respects.”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300" w:right="8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THAT SHAREHOLDERS VOTE “FOR” THE APPROVAL OF THE ADJOURNMENT PROPOSAL.</w:t>
      </w:r>
    </w:p>
    <w:p>
      <w:pPr>
        <w:spacing w:after="0" w:line="51" w:lineRule="exact"/>
        <w:rPr>
          <w:sz w:val="20"/>
          <w:szCs w:val="20"/>
          <w:color w:val="auto"/>
        </w:rPr>
      </w:pPr>
    </w:p>
    <w:p>
      <w:pPr>
        <w:ind w:left="300" w:right="419" w:firstLine="360"/>
        <w:spacing w:after="0" w:line="289" w:lineRule="auto"/>
        <w:rPr>
          <w:sz w:val="20"/>
          <w:szCs w:val="20"/>
          <w:color w:val="auto"/>
        </w:rPr>
      </w:pPr>
      <w:r>
        <w:rPr>
          <w:rFonts w:ascii="Times New Roman" w:cs="Times New Roman" w:eastAsia="Times New Roman" w:hAnsi="Times New Roman"/>
          <w:sz w:val="17"/>
          <w:szCs w:val="17"/>
          <w:color w:val="auto"/>
        </w:rPr>
        <w:t>One or more of the directors might be deemed to have potential interests in and arising from the domestication that are different from or in addition to the interests of ProKidney and its public shareholders. See the section entitled “</w:t>
      </w:r>
      <w:r>
        <w:rPr>
          <w:rFonts w:ascii="Times New Roman" w:cs="Times New Roman" w:eastAsia="Times New Roman" w:hAnsi="Times New Roman"/>
          <w:sz w:val="17"/>
          <w:szCs w:val="17"/>
          <w:i w:val="1"/>
          <w:iCs w:val="1"/>
          <w:color w:val="auto"/>
        </w:rPr>
        <w:t>Interests of Certain Persons in the Domestication</w:t>
      </w:r>
      <w:r>
        <w:rPr>
          <w:rFonts w:ascii="Times New Roman" w:cs="Times New Roman" w:eastAsia="Times New Roman" w:hAnsi="Times New Roman"/>
          <w:sz w:val="17"/>
          <w:szCs w:val="17"/>
          <w:color w:val="auto"/>
        </w:rPr>
        <w:t>” for a further discussion of these considerations.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CORPORATE GOVERNANCE AND SHAREHOLDER RIGHTS</w:t>
      </w:r>
    </w:p>
    <w:p>
      <w:pPr>
        <w:spacing w:after="0" w:line="121" w:lineRule="exact"/>
        <w:rPr>
          <w:sz w:val="20"/>
          <w:szCs w:val="20"/>
          <w:color w:val="auto"/>
        </w:rPr>
      </w:pPr>
    </w:p>
    <w:p>
      <w:pPr>
        <w:ind w:left="300" w:right="699" w:firstLine="360"/>
        <w:spacing w:after="0" w:line="255" w:lineRule="auto"/>
        <w:rPr>
          <w:sz w:val="20"/>
          <w:szCs w:val="20"/>
          <w:color w:val="auto"/>
        </w:rPr>
      </w:pPr>
      <w:r>
        <w:rPr>
          <w:rFonts w:ascii="Times New Roman" w:cs="Times New Roman" w:eastAsia="Times New Roman" w:hAnsi="Times New Roman"/>
          <w:sz w:val="18"/>
          <w:szCs w:val="18"/>
          <w:color w:val="auto"/>
        </w:rPr>
        <w:t>ProKidney is an exempted company incorporated under the Cayman Islands Companies Act. The Cayman Islands Companies Act and the Existing Organizational Documents govern the rights of its shareholders. The Cayman Islands Companies Act differs in some material respects from laws generally applicable to Delaware corporations and their stockholders. In addition, the Existing Organizational Documents will differ in certain material respects from the Proposed Organizational Documents of ProKidney Delaware. As a result, when you become a stockholder of ProKidney Delaware, your rights will differ in some regards as compared to when you were a shareholder of ProKidney before the domestication.</w:t>
      </w:r>
    </w:p>
    <w:p>
      <w:pPr>
        <w:spacing w:after="0" w:line="8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Below is a summary chart outlining important similarities and differences in the corporate governance and shareholder rights associated with each of ProKidney and ProKidney Delaware according to applicable law and/or the Existing Organizational Documents of ProKidney and Proposed Organizational Documents ProKidney Delaware. You also should review the Existing Organizational Documents of ProKidney and the Proposed Organizational Documents of ProKidney Delaware attached hereto as Annexes A, B and C to this proxy statement/prospectus, as well as the DGCL and corporate laws of the Cayman Islands, including the Cayman Islands Companies Act, to understand how these laws apply to ProKidney and ProKidney Delaware.</w:t>
      </w:r>
    </w:p>
    <w:p>
      <w:pPr>
        <w:sectPr>
          <w:pgSz w:w="11900" w:h="16838" w:orient="portrait"/>
          <w:cols w:equalWidth="0" w:num="1">
            <w:col w:w="9019"/>
          </w:cols>
          <w:pgMar w:left="1440" w:top="263" w:right="1440" w:bottom="1440" w:gutter="0" w:footer="0" w:header="0"/>
        </w:sectPr>
      </w:pP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2160" w:type="dxa"/>
            <w:vAlign w:val="bottom"/>
          </w:tcPr>
          <w:p>
            <w:pPr>
              <w:spacing w:after="0"/>
              <w:rPr>
                <w:sz w:val="16"/>
                <w:szCs w:val="16"/>
                <w:color w:val="auto"/>
              </w:rPr>
            </w:pPr>
          </w:p>
        </w:tc>
        <w:tc>
          <w:tcPr>
            <w:tcW w:w="30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b w:val="1"/>
                <w:bCs w:val="1"/>
                <w:color w:val="auto"/>
              </w:rPr>
              <w:t>ProKidney</w:t>
            </w:r>
          </w:p>
        </w:tc>
      </w:tr>
      <w:tr>
        <w:trPr>
          <w:trHeight w:val="201"/>
        </w:trPr>
        <w:tc>
          <w:tcPr>
            <w:tcW w:w="216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Stockholder/Shareholder</w:t>
            </w:r>
          </w:p>
        </w:tc>
        <w:tc>
          <w:tcPr>
            <w:tcW w:w="3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Mergers require a Special Resolution (as</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Approval of Business</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defined in the Cayman Islands</w:t>
            </w:r>
          </w:p>
        </w:tc>
      </w:tr>
      <w:tr>
        <w:trPr>
          <w:trHeight w:val="220"/>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Combinations</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Companies Act), and any other</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authorization as may be specified in the</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relevant articles of association. Parties</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holding certain security interests in the</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constituent companies must also consent.</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All mergers (other than parent/subsidiary</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mergers) require shareholder approval - </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there is no exception for smaller mergers.</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Where a bidder has acquired 90% or</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more of the shares in a Cayman Islands</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company, it can compel the acquisition of</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 shares of the remaining shareholders</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and thereby become the sole shareholder.</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 Cayman Islands company may also be</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acquired through a “scheme of</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arrangement” sanctioned by a Cayman</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Islands court and approved by 50%+1 in</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number and 75% in value of shareholders</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 attendance and voting at a</w:t>
            </w:r>
          </w:p>
        </w:tc>
      </w:tr>
      <w:tr>
        <w:trPr>
          <w:trHeight w:val="234"/>
        </w:trPr>
        <w:tc>
          <w:tcPr>
            <w:tcW w:w="216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meeting.</w:t>
            </w:r>
          </w:p>
        </w:tc>
      </w:tr>
      <w:tr>
        <w:trPr>
          <w:trHeight w:val="626"/>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Stockholder/Shareholder</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Under the Cayman Islands Companies</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Votes for Routine</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Act and the Existing Organizational</w:t>
            </w:r>
          </w:p>
        </w:tc>
      </w:tr>
      <w:tr>
        <w:trPr>
          <w:trHeight w:val="220"/>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Matters</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Documents, routine corporate matters</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may be approved by the board of</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directors, unless shareholder approval is</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required. Unless the Cayman Islands</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Companies Act or the Existing</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Organizational Documents expressly</w:t>
            </w:r>
          </w:p>
        </w:tc>
      </w:tr>
      <w:tr>
        <w:trPr>
          <w:trHeight w:val="216"/>
        </w:trPr>
        <w:tc>
          <w:tcPr>
            <w:tcW w:w="2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provide for a Special Resolution,</w:t>
            </w:r>
          </w:p>
        </w:tc>
      </w:tr>
      <w:tr>
        <w:trPr>
          <w:trHeight w:val="234"/>
        </w:trPr>
        <w:tc>
          <w:tcPr>
            <w:tcW w:w="216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decisions of the shareholders may be</w:t>
            </w:r>
          </w:p>
        </w:tc>
      </w:tr>
    </w:tbl>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ProKidney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9202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4" w:lineRule="exact"/>
        <w:rPr>
          <w:sz w:val="20"/>
          <w:szCs w:val="20"/>
          <w:color w:val="auto"/>
        </w:rPr>
      </w:pPr>
    </w:p>
    <w:p>
      <w:pPr>
        <w:ind w:right="339"/>
        <w:spacing w:after="0" w:line="253" w:lineRule="auto"/>
        <w:rPr>
          <w:sz w:val="20"/>
          <w:szCs w:val="20"/>
          <w:color w:val="auto"/>
        </w:rPr>
      </w:pPr>
      <w:r>
        <w:rPr>
          <w:rFonts w:ascii="Times New Roman" w:cs="Times New Roman" w:eastAsia="Times New Roman" w:hAnsi="Times New Roman"/>
          <w:sz w:val="18"/>
          <w:szCs w:val="18"/>
          <w:color w:val="auto"/>
        </w:rPr>
        <w:t>Under the DGCL, subject to certain exceptions, mergers generally require approval of the board of directors and the approval of the holders of a majority of the total voting power of the outstanding shares of capital stock entitled to vote thereon of each constituent corporation.  </w:t>
      </w:r>
    </w:p>
    <w:p>
      <w:pPr>
        <w:spacing w:after="0" w:line="1" w:lineRule="exact"/>
        <w:rPr>
          <w:sz w:val="20"/>
          <w:szCs w:val="20"/>
          <w:color w:val="auto"/>
        </w:rPr>
      </w:pPr>
    </w:p>
    <w:p>
      <w:pPr>
        <w:ind w:right="379"/>
        <w:spacing w:after="0" w:line="250" w:lineRule="auto"/>
        <w:rPr>
          <w:sz w:val="20"/>
          <w:szCs w:val="20"/>
          <w:color w:val="auto"/>
        </w:rPr>
      </w:pPr>
      <w:r>
        <w:rPr>
          <w:rFonts w:ascii="Times New Roman" w:cs="Times New Roman" w:eastAsia="Times New Roman" w:hAnsi="Times New Roman"/>
          <w:sz w:val="18"/>
          <w:szCs w:val="18"/>
          <w:color w:val="auto"/>
        </w:rPr>
        <w:t>Under the DGCL, in certain circumstances and subject to certain exceptions, mergers in which less than 20% of the acquiror’s common stock (as of immediately prior to the effective date of the merger) is issued, and where the acquiror is a constituent corporation surviving the merger, generally do not require acquirer stockholder approval.  </w:t>
      </w:r>
    </w:p>
    <w:p>
      <w:pPr>
        <w:spacing w:after="0" w:line="4"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8"/>
          <w:szCs w:val="18"/>
          <w:color w:val="auto"/>
        </w:rPr>
        <w:t>Under the DGCL, subject to certain exceptions, mergers in which one corporation owns 90% or more of the outstanding shares of each class of stock of a second corporation may be completed without the approval of the second corporation’s board of directors or stockholders.</w:t>
      </w:r>
    </w:p>
    <w:p>
      <w:pPr>
        <w:spacing w:after="0" w:line="194" w:lineRule="exact"/>
        <w:rPr>
          <w:sz w:val="20"/>
          <w:szCs w:val="20"/>
          <w:color w:val="auto"/>
        </w:rPr>
      </w:pPr>
    </w:p>
    <w:p>
      <w:pPr>
        <w:ind w:right="359"/>
        <w:spacing w:after="0" w:line="253" w:lineRule="auto"/>
        <w:rPr>
          <w:sz w:val="20"/>
          <w:szCs w:val="20"/>
          <w:color w:val="auto"/>
        </w:rPr>
      </w:pPr>
      <w:r>
        <w:rPr>
          <w:rFonts w:ascii="Times New Roman" w:cs="Times New Roman" w:eastAsia="Times New Roman" w:hAnsi="Times New Roman"/>
          <w:sz w:val="18"/>
          <w:szCs w:val="18"/>
          <w:color w:val="auto"/>
        </w:rPr>
        <w:t>Under the DGCL and the Proposed Organizational Documents, matters other than the election of directors require the affirmative vote of a majority in voting power of the shares present in person or represented by proxy at the meeting and entitled to vote on the subject matter (subject to certain exceptions under the DGCL and the Proposed Organizational Documents).</w:t>
      </w:r>
    </w:p>
    <w:p>
      <w:pPr>
        <w:spacing w:after="0" w:line="200" w:lineRule="exact"/>
        <w:rPr>
          <w:sz w:val="20"/>
          <w:szCs w:val="20"/>
          <w:color w:val="auto"/>
        </w:rPr>
      </w:pPr>
    </w:p>
    <w:p>
      <w:pPr>
        <w:sectPr>
          <w:pgSz w:w="11900" w:h="16838" w:orient="portrait"/>
          <w:cols w:equalWidth="0" w:num="2">
            <w:col w:w="5480" w:space="220"/>
            <w:col w:w="3319"/>
          </w:cols>
          <w:pgMar w:left="1440" w:top="263" w:right="1440" w:bottom="1440" w:gutter="0" w:footer="0" w:header="0"/>
          <w:type w:val="continuous"/>
        </w:sectPr>
      </w:pP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ProKidney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16510</wp:posOffset>
            </wp:positionV>
            <wp:extent cx="19202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4" w:lineRule="exact"/>
        <w:rPr>
          <w:sz w:val="20"/>
          <w:szCs w:val="20"/>
          <w:color w:val="auto"/>
        </w:rPr>
      </w:pPr>
    </w:p>
    <w:p>
      <w:pPr>
        <w:ind w:left="2460" w:right="20"/>
        <w:spacing w:after="0" w:line="256" w:lineRule="auto"/>
        <w:rPr>
          <w:sz w:val="20"/>
          <w:szCs w:val="20"/>
          <w:color w:val="auto"/>
        </w:rPr>
      </w:pPr>
      <w:r>
        <w:rPr>
          <w:rFonts w:ascii="Times New Roman" w:cs="Times New Roman" w:eastAsia="Times New Roman" w:hAnsi="Times New Roman"/>
          <w:sz w:val="18"/>
          <w:szCs w:val="18"/>
          <w:color w:val="auto"/>
        </w:rPr>
        <w:t>approved by an ordinary resolution (being a resolution passed by a simple majority of the shareholders who are entitled to vote and who vote at a general meeting, or by unanimous written resolution).</w:t>
      </w:r>
    </w:p>
    <w:p>
      <w:pPr>
        <w:spacing w:after="0" w:line="183" w:lineRule="exact"/>
        <w:rPr>
          <w:sz w:val="20"/>
          <w:szCs w:val="20"/>
          <w:color w:val="auto"/>
        </w:rPr>
      </w:pPr>
    </w:p>
    <w:p>
      <w:pPr>
        <w:ind w:left="2460" w:hanging="2159"/>
        <w:spacing w:after="0" w:line="261" w:lineRule="auto"/>
        <w:tabs>
          <w:tab w:leader="none" w:pos="2440" w:val="left"/>
        </w:tabs>
        <w:rPr>
          <w:sz w:val="20"/>
          <w:szCs w:val="20"/>
          <w:color w:val="auto"/>
        </w:rPr>
      </w:pPr>
      <w:r>
        <w:rPr>
          <w:rFonts w:ascii="Times New Roman" w:cs="Times New Roman" w:eastAsia="Times New Roman" w:hAnsi="Times New Roman"/>
          <w:sz w:val="18"/>
          <w:szCs w:val="18"/>
          <w:b w:val="1"/>
          <w:bCs w:val="1"/>
          <w:color w:val="auto"/>
        </w:rPr>
        <w:t>Election of Directors</w:t>
      </w:r>
      <w:r>
        <w:rPr>
          <w:sz w:val="20"/>
          <w:szCs w:val="20"/>
          <w:color w:val="auto"/>
        </w:rPr>
        <w:tab/>
      </w:r>
      <w:r>
        <w:rPr>
          <w:rFonts w:ascii="Times New Roman" w:cs="Times New Roman" w:eastAsia="Times New Roman" w:hAnsi="Times New Roman"/>
          <w:sz w:val="18"/>
          <w:szCs w:val="18"/>
          <w:color w:val="auto"/>
        </w:rPr>
        <w:t>Directors are appointed by an ordinary resolution (being a resolution passed by a simple majority of the shareholders who are entitled to vote and who vote).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ProKidney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9202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39"/>
        <w:spacing w:after="0" w:line="255"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of ProKidney Delaware, directors are elected by a plurality of voting power of the outstanding shares present in person or represented by proxy and entitled to vote on the election of directors.</w:t>
      </w:r>
    </w:p>
    <w:p>
      <w:pPr>
        <w:spacing w:after="0" w:line="185" w:lineRule="exact"/>
        <w:rPr>
          <w:sz w:val="20"/>
          <w:szCs w:val="20"/>
          <w:color w:val="auto"/>
        </w:rPr>
      </w:pPr>
    </w:p>
    <w:p>
      <w:pPr>
        <w:sectPr>
          <w:pgSz w:w="11900" w:h="16838" w:orient="portrait"/>
          <w:cols w:equalWidth="0" w:num="2">
            <w:col w:w="5440" w:space="260"/>
            <w:col w:w="3319"/>
          </w:cols>
          <w:pgMar w:left="1440" w:top="263" w:right="1440" w:bottom="1440" w:gutter="0" w:footer="0" w:header="0"/>
        </w:sect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Removal of Directors</w:t>
      </w:r>
      <w:r>
        <w:rPr>
          <w:sz w:val="20"/>
          <w:szCs w:val="20"/>
          <w:color w:val="auto"/>
        </w:rPr>
        <w:tab/>
      </w:r>
      <w:r>
        <w:rPr>
          <w:rFonts w:ascii="Times New Roman" w:cs="Times New Roman" w:eastAsia="Times New Roman" w:hAnsi="Times New Roman"/>
          <w:sz w:val="17"/>
          <w:szCs w:val="17"/>
          <w:color w:val="auto"/>
        </w:rPr>
        <w:t>Any or all of the directors may be</w:t>
      </w:r>
    </w:p>
    <w:p>
      <w:pPr>
        <w:spacing w:after="0" w:line="31" w:lineRule="exact"/>
        <w:rPr>
          <w:sz w:val="20"/>
          <w:szCs w:val="20"/>
          <w:color w:val="auto"/>
        </w:rPr>
      </w:pPr>
    </w:p>
    <w:p>
      <w:pPr>
        <w:ind w:left="2460" w:right="40"/>
        <w:spacing w:after="0" w:line="268" w:lineRule="auto"/>
        <w:rPr>
          <w:sz w:val="20"/>
          <w:szCs w:val="20"/>
          <w:color w:val="auto"/>
        </w:rPr>
      </w:pPr>
      <w:r>
        <w:rPr>
          <w:rFonts w:ascii="Times New Roman" w:cs="Times New Roman" w:eastAsia="Times New Roman" w:hAnsi="Times New Roman"/>
          <w:sz w:val="17"/>
          <w:szCs w:val="17"/>
          <w:color w:val="auto"/>
        </w:rPr>
        <w:t>removed by a Special Resolution (being the affirmative vote of the holders of at least two-thirds of the Class A and Class B ordinary shares, voting as a single class, represented in person or by proxy, entitled to vote at a general meeting and who vote at the general meeting or by unanimous written resolution).</w:t>
      </w:r>
    </w:p>
    <w:p>
      <w:pPr>
        <w:spacing w:after="0" w:line="175"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Appraisal Rights</w:t>
      </w:r>
      <w:r>
        <w:rPr>
          <w:sz w:val="20"/>
          <w:szCs w:val="20"/>
          <w:color w:val="auto"/>
        </w:rPr>
        <w:tab/>
      </w:r>
      <w:r>
        <w:rPr>
          <w:rFonts w:ascii="Times New Roman" w:cs="Times New Roman" w:eastAsia="Times New Roman" w:hAnsi="Times New Roman"/>
          <w:sz w:val="17"/>
          <w:szCs w:val="17"/>
          <w:color w:val="auto"/>
        </w:rPr>
        <w:t>Minority shareholders that dissent from a</w:t>
      </w:r>
    </w:p>
    <w:p>
      <w:pPr>
        <w:spacing w:after="0" w:line="31" w:lineRule="exact"/>
        <w:rPr>
          <w:sz w:val="20"/>
          <w:szCs w:val="20"/>
          <w:color w:val="auto"/>
        </w:rPr>
      </w:pPr>
    </w:p>
    <w:p>
      <w:pPr>
        <w:ind w:left="2460" w:right="80"/>
        <w:spacing w:after="0" w:line="253" w:lineRule="auto"/>
        <w:rPr>
          <w:sz w:val="20"/>
          <w:szCs w:val="20"/>
          <w:color w:val="auto"/>
        </w:rPr>
      </w:pPr>
      <w:r>
        <w:rPr>
          <w:rFonts w:ascii="Times New Roman" w:cs="Times New Roman" w:eastAsia="Times New Roman" w:hAnsi="Times New Roman"/>
          <w:sz w:val="18"/>
          <w:szCs w:val="18"/>
          <w:color w:val="auto"/>
        </w:rPr>
        <w:t>merger are entitled to be paid the fair market value of their shares, which if necessary may ultimately be determined by the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39"/>
        <w:spacing w:after="0" w:line="254" w:lineRule="auto"/>
        <w:rPr>
          <w:sz w:val="20"/>
          <w:szCs w:val="20"/>
          <w:color w:val="auto"/>
        </w:rPr>
      </w:pPr>
      <w:r>
        <w:rPr>
          <w:rFonts w:ascii="Times New Roman" w:cs="Times New Roman" w:eastAsia="Times New Roman" w:hAnsi="Times New Roman"/>
          <w:sz w:val="18"/>
          <w:szCs w:val="18"/>
          <w:color w:val="auto"/>
        </w:rPr>
        <w:t>Under the Proposed Charter, any or all of the directors may be removed from office at any time, but only for cause by the affirmative vote of the holders of at least 66 2/3% of the total voting power of the outstanding shares of capital stock entitled to vote generally in the election of directors, voting together as a single class.</w:t>
      </w:r>
    </w:p>
    <w:p>
      <w:pPr>
        <w:spacing w:after="0" w:line="188"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8"/>
          <w:szCs w:val="18"/>
          <w:color w:val="auto"/>
        </w:rPr>
        <w:t>Under the DGCL, a holder of shares of any class or series of stock of a corporation that is listed on a national securities exchange or held of record by more than 2,000 holders generally does not have appraisal rights in connection with a merger, consolidation, conversion, transfer, domestication or continuance, subject to certain exceptions. Such holders do, however, generally have appraisal rights in connection with a merger if they are required by the terms of a merger agreement (or by the terms of a resolution providing for conversion, transfer, domestication or continuance pursuant to the applicable provisions of the DGCL) to accept for their shares anything except: (a)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(b) shares of stock of any other corporation, or depository receipts in respect thereof, which shares of stock (or depository receipts in respect thereof) or</w:t>
      </w:r>
    </w:p>
    <w:p>
      <w:pPr>
        <w:sectPr>
          <w:pgSz w:w="11900" w:h="16838" w:orient="portrait"/>
          <w:cols w:equalWidth="0" w:num="2">
            <w:col w:w="5420" w:space="280"/>
            <w:col w:w="3319"/>
          </w:cols>
          <w:pgMar w:left="1440" w:top="263" w:right="1440" w:bottom="1440" w:gutter="0" w:footer="0" w:header="0"/>
          <w:type w:val="continuous"/>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620"/>
        <w:spacing w:after="0"/>
        <w:tabs>
          <w:tab w:leader="none" w:pos="6540" w:val="left"/>
        </w:tabs>
        <w:rPr>
          <w:sz w:val="20"/>
          <w:szCs w:val="20"/>
          <w:color w:val="auto"/>
        </w:rPr>
      </w:pPr>
      <w:r>
        <w:rPr>
          <w:rFonts w:ascii="Times New Roman" w:cs="Times New Roman" w:eastAsia="Times New Roman" w:hAnsi="Times New Roman"/>
          <w:sz w:val="14"/>
          <w:szCs w:val="14"/>
          <w:b w:val="1"/>
          <w:bCs w:val="1"/>
          <w:color w:val="auto"/>
        </w:rPr>
        <w:t>ProKidney</w:t>
      </w:r>
      <w:r>
        <w:rPr>
          <w:sz w:val="20"/>
          <w:szCs w:val="20"/>
          <w:color w:val="auto"/>
        </w:rPr>
        <w:tab/>
      </w:r>
      <w:r>
        <w:rPr>
          <w:rFonts w:ascii="Times New Roman" w:cs="Times New Roman" w:eastAsia="Times New Roman" w:hAnsi="Times New Roman"/>
          <w:sz w:val="14"/>
          <w:szCs w:val="14"/>
          <w:b w:val="1"/>
          <w:bCs w:val="1"/>
          <w:color w:val="auto"/>
        </w:rPr>
        <w:t>ProKidney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16510</wp:posOffset>
            </wp:positionV>
            <wp:extent cx="39776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depository receipts at the effective date of</w:t>
      </w:r>
    </w:p>
    <w:p>
      <w:pPr>
        <w:spacing w:after="0" w:line="3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the merger, consolidation, conversion,</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transfer, domestication or continuance</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will be either listed on a national</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securities exchange or held of record by</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more than 2,000 holders; (c) cash in lieu</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of fractional shares or fractional</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depository receipts described in (a) and</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 above; or (d) any combination of the</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shares of stock, depository receipts and</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cash in lieu of fractional shares or</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fractional depository receipts described in</w:t>
      </w:r>
    </w:p>
    <w:p>
      <w:pPr>
        <w:spacing w:after="0" w:line="2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 (b) and (c) above. Where appraisal</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rights are available, a stockholder who</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has neither voted in favor of such merger,</w:t>
      </w:r>
    </w:p>
    <w:p>
      <w:pPr>
        <w:spacing w:after="0" w:line="2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consolidation, conversion, transfer,</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domestication or continuance, nor</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consented thereto in writing, who has</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properly demanded appraisal of their</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shares, and who otherwise complies with</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the requirements for perfecting and</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preserving their appraisal rights under</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Section 262 of the DGCL may be entitled</w:t>
      </w:r>
    </w:p>
    <w:p>
      <w:pPr>
        <w:spacing w:after="0" w:line="2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to receive payment in cash for the fair</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value of their shares (exclusive of any</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element of value arising from the</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accomplishment or expectation of such</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merger, consolidation, conversion,</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transfer, domestication or continuance),</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together with interest (if any) to be paid</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on the amount determined to be fair value</w:t>
      </w:r>
    </w:p>
    <w:p>
      <w:pPr>
        <w:spacing w:after="0" w:line="2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of such shares, as appraised by the Court</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of Chancery of the State of Delaware in</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an appraisal proceeding. Appraisal rights</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are also available under the DGCL in</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certain other circumstances, including in</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certain parent-subsidiary mergers and in</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certain circumstances where the</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certificate of incorporation so provides.</w:t>
      </w:r>
    </w:p>
    <w:p>
      <w:pPr>
        <w:sectPr>
          <w:pgSz w:w="11900" w:h="16838" w:orient="portrait"/>
          <w:cols w:equalWidth="0" w:num="1">
            <w:col w:w="9019"/>
          </w:cols>
          <w:pgMar w:left="1440" w:top="263" w:right="1440" w:bottom="1440" w:gutter="0" w:footer="0" w:header="0"/>
        </w:sectPr>
      </w:pPr>
    </w:p>
    <w:p>
      <w:pPr>
        <w:spacing w:after="0" w:line="203"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Inspection of Books and</w:t>
      </w:r>
      <w:r>
        <w:rPr>
          <w:sz w:val="20"/>
          <w:szCs w:val="20"/>
          <w:color w:val="auto"/>
        </w:rPr>
        <w:tab/>
      </w:r>
      <w:r>
        <w:rPr>
          <w:rFonts w:ascii="Times New Roman" w:cs="Times New Roman" w:eastAsia="Times New Roman" w:hAnsi="Times New Roman"/>
          <w:sz w:val="17"/>
          <w:szCs w:val="17"/>
          <w:color w:val="auto"/>
        </w:rPr>
        <w:t>Shareholders generally do not have any</w:t>
      </w:r>
    </w:p>
    <w:p>
      <w:pPr>
        <w:spacing w:after="0" w:line="31" w:lineRule="exact"/>
        <w:rPr>
          <w:sz w:val="20"/>
          <w:szCs w:val="20"/>
          <w:color w:val="auto"/>
        </w:rPr>
      </w:pPr>
    </w:p>
    <w:p>
      <w:pPr>
        <w:ind w:left="2460" w:hanging="2159"/>
        <w:spacing w:after="0" w:line="255" w:lineRule="auto"/>
        <w:tabs>
          <w:tab w:leader="none" w:pos="2440" w:val="left"/>
        </w:tabs>
        <w:rPr>
          <w:sz w:val="20"/>
          <w:szCs w:val="20"/>
          <w:color w:val="auto"/>
        </w:rPr>
      </w:pPr>
      <w:r>
        <w:rPr>
          <w:rFonts w:ascii="Times New Roman" w:cs="Times New Roman" w:eastAsia="Times New Roman" w:hAnsi="Times New Roman"/>
          <w:sz w:val="18"/>
          <w:szCs w:val="18"/>
          <w:b w:val="1"/>
          <w:bCs w:val="1"/>
          <w:color w:val="auto"/>
        </w:rPr>
        <w:t>Records</w:t>
      </w:r>
      <w:r>
        <w:rPr>
          <w:sz w:val="20"/>
          <w:szCs w:val="20"/>
          <w:color w:val="auto"/>
        </w:rPr>
        <w:tab/>
      </w:r>
      <w:r>
        <w:rPr>
          <w:rFonts w:ascii="Times New Roman" w:cs="Times New Roman" w:eastAsia="Times New Roman" w:hAnsi="Times New Roman"/>
          <w:sz w:val="18"/>
          <w:szCs w:val="18"/>
          <w:color w:val="auto"/>
        </w:rPr>
        <w:t>rights to inspect or obtain copies of the register of shareholders or other corporate records of a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439"/>
        <w:spacing w:after="0" w:line="253" w:lineRule="auto"/>
        <w:rPr>
          <w:sz w:val="20"/>
          <w:szCs w:val="20"/>
          <w:color w:val="auto"/>
        </w:rPr>
      </w:pPr>
      <w:r>
        <w:rPr>
          <w:rFonts w:ascii="Times New Roman" w:cs="Times New Roman" w:eastAsia="Times New Roman" w:hAnsi="Times New Roman"/>
          <w:sz w:val="18"/>
          <w:szCs w:val="18"/>
          <w:color w:val="auto"/>
        </w:rPr>
        <w:t>Under the DGCL, any stockholder or beneficial owner has the right, upon written demand under oath (and otherwise satisfying the requirements of Section 220 of the DGCL), either in person or by attorney or other agent, to inspect and make copies and extracts from the corporation’s stock ledger, list of stockholders and the books and records specified in Section 220 of the DGCL for a proper purpose during the usual hours for business.</w:t>
      </w:r>
    </w:p>
    <w:p>
      <w:pPr>
        <w:sectPr>
          <w:pgSz w:w="11900" w:h="16838" w:orient="portrait"/>
          <w:cols w:equalWidth="0" w:num="2">
            <w:col w:w="5480" w:space="220"/>
            <w:col w:w="3319"/>
          </w:cols>
          <w:pgMar w:left="1440" w:top="263" w:right="1440" w:bottom="1440" w:gutter="0" w:footer="0" w:header="0"/>
          <w:type w:val="continuous"/>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ProKidney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16510</wp:posOffset>
            </wp:positionV>
            <wp:extent cx="19202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0"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Stockholder/Shareholder</w:t>
      </w:r>
      <w:r>
        <w:rPr>
          <w:sz w:val="20"/>
          <w:szCs w:val="20"/>
          <w:color w:val="auto"/>
        </w:rPr>
        <w:tab/>
      </w:r>
      <w:r>
        <w:rPr>
          <w:rFonts w:ascii="Times New Roman" w:cs="Times New Roman" w:eastAsia="Times New Roman" w:hAnsi="Times New Roman"/>
          <w:sz w:val="18"/>
          <w:szCs w:val="18"/>
          <w:color w:val="auto"/>
        </w:rPr>
        <w:t>In the Cayman Islands, the decision to</w:t>
      </w:r>
    </w:p>
    <w:p>
      <w:pPr>
        <w:spacing w:after="0" w:line="31"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Lawsuits</w:t>
      </w:r>
      <w:r>
        <w:rPr>
          <w:sz w:val="20"/>
          <w:szCs w:val="20"/>
          <w:color w:val="auto"/>
        </w:rPr>
        <w:tab/>
      </w:r>
      <w:r>
        <w:rPr>
          <w:rFonts w:ascii="Times New Roman" w:cs="Times New Roman" w:eastAsia="Times New Roman" w:hAnsi="Times New Roman"/>
          <w:sz w:val="18"/>
          <w:szCs w:val="18"/>
          <w:color w:val="auto"/>
        </w:rPr>
        <w:t>institute proceedings on behalf of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company is generally taken by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company’s board of directors.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shareholder may be entitled to bring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derivative action on behalf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company, but only in certain limited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circumstances (e.g. where a company acts</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or proposes to act illegally or ultra vires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(beyond the scope of its authority);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act complained of, although not ultra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vires, could be effected if duly authorized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by a special resolution that has not been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obtained; and those who control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company are perpetrating a “fraud on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minority”).</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ProKidney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9202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4" w:lineRule="exact"/>
        <w:rPr>
          <w:sz w:val="20"/>
          <w:szCs w:val="20"/>
          <w:color w:val="auto"/>
        </w:rPr>
      </w:pPr>
    </w:p>
    <w:p>
      <w:pPr>
        <w:ind w:right="339"/>
        <w:spacing w:after="0" w:line="254" w:lineRule="auto"/>
        <w:rPr>
          <w:sz w:val="20"/>
          <w:szCs w:val="20"/>
          <w:color w:val="auto"/>
        </w:rPr>
      </w:pPr>
      <w:r>
        <w:rPr>
          <w:rFonts w:ascii="Times New Roman" w:cs="Times New Roman" w:eastAsia="Times New Roman" w:hAnsi="Times New Roman"/>
          <w:sz w:val="18"/>
          <w:szCs w:val="18"/>
          <w:color w:val="auto"/>
        </w:rPr>
        <w:t>A stockholder may bring a derivative suit subject to procedural requirements and other requirements of Delaware law. Pursuant to the Proposed Charter, the state and federal courts in the State of Delaware, as applicable, will be the exclusive forum for certain stockholder litigation (as more fully set forth in the Proposed Charter).</w:t>
      </w:r>
    </w:p>
    <w:p>
      <w:pPr>
        <w:spacing w:after="0" w:line="1693" w:lineRule="exact"/>
        <w:rPr>
          <w:sz w:val="20"/>
          <w:szCs w:val="20"/>
          <w:color w:val="auto"/>
        </w:rPr>
      </w:pPr>
    </w:p>
    <w:p>
      <w:pPr>
        <w:sectPr>
          <w:pgSz w:w="11900" w:h="16838" w:orient="portrait"/>
          <w:cols w:equalWidth="0" w:num="2">
            <w:col w:w="5480" w:space="220"/>
            <w:col w:w="3319"/>
          </w:cols>
          <w:pgMar w:left="1440" w:top="263" w:right="1440" w:bottom="1440" w:gutter="0" w:footer="0" w:header="0"/>
        </w:sectPr>
      </w:pPr>
    </w:p>
    <w:p>
      <w:pPr>
        <w:spacing w:after="0" w:line="3"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Fiduciary Duties of</w:t>
      </w:r>
      <w:r>
        <w:rPr>
          <w:sz w:val="20"/>
          <w:szCs w:val="20"/>
          <w:color w:val="auto"/>
        </w:rPr>
        <w:tab/>
      </w:r>
      <w:r>
        <w:rPr>
          <w:rFonts w:ascii="Times New Roman" w:cs="Times New Roman" w:eastAsia="Times New Roman" w:hAnsi="Times New Roman"/>
          <w:sz w:val="17"/>
          <w:szCs w:val="17"/>
          <w:color w:val="auto"/>
        </w:rPr>
        <w:t>A director owes fiduciary duties to a</w:t>
      </w:r>
    </w:p>
    <w:p>
      <w:pPr>
        <w:spacing w:after="0" w:line="31"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company, including to exercise loyalty,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honesty and good faith to the company as</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 whole.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In addition to fiduciary duties, directors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owe a duty of care, diligence and skill.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Such duties are owed to the company but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may be owed direct to creditors 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shareholders in certain limited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circumstances.</w:t>
      </w:r>
    </w:p>
    <w:p>
      <w:pPr>
        <w:spacing w:after="0" w:line="20" w:lineRule="exact"/>
        <w:rPr>
          <w:sz w:val="20"/>
          <w:szCs w:val="20"/>
          <w:color w:val="auto"/>
        </w:rPr>
      </w:pPr>
      <w:r>
        <w:rPr>
          <w:sz w:val="20"/>
          <w:szCs w:val="20"/>
          <w:color w:val="auto"/>
        </w:rPr>
        <w:br w:type="column"/>
      </w:r>
    </w:p>
    <w:p>
      <w:pPr>
        <w:ind w:right="339"/>
        <w:spacing w:after="0" w:line="251" w:lineRule="auto"/>
        <w:rPr>
          <w:sz w:val="20"/>
          <w:szCs w:val="20"/>
          <w:color w:val="auto"/>
        </w:rPr>
      </w:pPr>
      <w:r>
        <w:rPr>
          <w:rFonts w:ascii="Times New Roman" w:cs="Times New Roman" w:eastAsia="Times New Roman" w:hAnsi="Times New Roman"/>
          <w:sz w:val="18"/>
          <w:szCs w:val="18"/>
          <w:color w:val="auto"/>
        </w:rPr>
        <w:t>Under Delaware law, the standards of conduct for directors have developed through Delaware case law. Generally, directors must exercise a duty of care and duty of loyalty and good faith to the company and its stockholders. Members of the board of directors or any committee designated by the board of directors are similarly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 provided that such other person has been selected with reasonable care by or on behalf of the corporation. Such appropriate reliance on records and other information protects directors from liability related to decisions made based on such records and other information.</w:t>
      </w:r>
    </w:p>
    <w:p>
      <w:pPr>
        <w:spacing w:after="0" w:line="200" w:lineRule="exact"/>
        <w:rPr>
          <w:sz w:val="20"/>
          <w:szCs w:val="20"/>
          <w:color w:val="auto"/>
        </w:rPr>
      </w:pPr>
    </w:p>
    <w:p>
      <w:pPr>
        <w:sectPr>
          <w:pgSz w:w="11900" w:h="16838" w:orient="portrait"/>
          <w:cols w:equalWidth="0" w:num="2">
            <w:col w:w="5440" w:space="260"/>
            <w:col w:w="3319"/>
          </w:cols>
          <w:pgMar w:left="1440" w:top="263" w:right="1440" w:bottom="1440" w:gutter="0" w:footer="0" w:header="0"/>
          <w:type w:val="continuous"/>
        </w:sect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Indemnification of</w:t>
      </w:r>
      <w:r>
        <w:rPr>
          <w:sz w:val="20"/>
          <w:szCs w:val="20"/>
          <w:color w:val="auto"/>
        </w:rPr>
        <w:tab/>
      </w:r>
      <w:r>
        <w:rPr>
          <w:rFonts w:ascii="Times New Roman" w:cs="Times New Roman" w:eastAsia="Times New Roman" w:hAnsi="Times New Roman"/>
          <w:sz w:val="17"/>
          <w:szCs w:val="17"/>
          <w:color w:val="auto"/>
        </w:rPr>
        <w:t>ProKidney will indemnify its directors or</w:t>
      </w:r>
    </w:p>
    <w:p>
      <w:pPr>
        <w:spacing w:after="0" w:line="31"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Directors and Officers</w:t>
      </w:r>
      <w:r>
        <w:rPr>
          <w:sz w:val="20"/>
          <w:szCs w:val="20"/>
          <w:color w:val="auto"/>
        </w:rPr>
        <w:tab/>
      </w:r>
      <w:r>
        <w:rPr>
          <w:rFonts w:ascii="Times New Roman" w:cs="Times New Roman" w:eastAsia="Times New Roman" w:hAnsi="Times New Roman"/>
          <w:sz w:val="17"/>
          <w:szCs w:val="17"/>
          <w:color w:val="auto"/>
        </w:rPr>
        <w:t>officers, including its former directors</w:t>
      </w:r>
    </w:p>
    <w:p>
      <w:pPr>
        <w:spacing w:after="0" w:line="9" w:lineRule="exact"/>
        <w:rPr>
          <w:sz w:val="20"/>
          <w:szCs w:val="20"/>
          <w:color w:val="auto"/>
        </w:rPr>
      </w:pPr>
    </w:p>
    <w:p>
      <w:pPr>
        <w:ind w:left="2460" w:right="100"/>
        <w:spacing w:after="0" w:line="253" w:lineRule="auto"/>
        <w:rPr>
          <w:sz w:val="20"/>
          <w:szCs w:val="20"/>
          <w:color w:val="auto"/>
        </w:rPr>
      </w:pPr>
      <w:r>
        <w:rPr>
          <w:rFonts w:ascii="Times New Roman" w:cs="Times New Roman" w:eastAsia="Times New Roman" w:hAnsi="Times New Roman"/>
          <w:sz w:val="18"/>
          <w:szCs w:val="18"/>
          <w:color w:val="auto"/>
        </w:rPr>
        <w:t>and officer, except with regard to actual fraud, willful neglect or willful default (as determined by a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59"/>
        <w:spacing w:after="0" w:line="255" w:lineRule="auto"/>
        <w:rPr>
          <w:sz w:val="20"/>
          <w:szCs w:val="20"/>
          <w:color w:val="auto"/>
        </w:rPr>
      </w:pPr>
      <w:r>
        <w:rPr>
          <w:rFonts w:ascii="Times New Roman" w:cs="Times New Roman" w:eastAsia="Times New Roman" w:hAnsi="Times New Roman"/>
          <w:sz w:val="18"/>
          <w:szCs w:val="18"/>
          <w:color w:val="auto"/>
        </w:rPr>
        <w:t>To the fullest extent permitted by applicable law, ProKidney Delaware will provide indemnification of (and advancement of expenses to) its directors and officers (subject to certain exceptions, as more fully set forth in the Proposed Organizational Documents).</w:t>
      </w:r>
    </w:p>
    <w:p>
      <w:pPr>
        <w:sectPr>
          <w:pgSz w:w="11900" w:h="16838" w:orient="portrait"/>
          <w:cols w:equalWidth="0" w:num="2">
            <w:col w:w="5420" w:space="280"/>
            <w:col w:w="3319"/>
          </w:cols>
          <w:pgMar w:left="1440" w:top="263" w:right="1440" w:bottom="1440" w:gutter="0" w:footer="0" w:header="0"/>
          <w:type w:val="continuous"/>
        </w:sectPr>
      </w:pPr>
    </w:p>
    <w:bookmarkStart w:id="57" w:name="page58"/>
    <w:bookmarkEnd w:id="57"/>
    <w:tbl>
      <w:tblPr>
        <w:tblLayout w:type="fixed"/>
        <w:tblInd w:w="300" w:type="dxa"/>
        <w:tblCellMar>
          <w:top w:w="0" w:type="dxa"/>
          <w:left w:w="0" w:type="dxa"/>
          <w:bottom w:w="0" w:type="dxa"/>
          <w:right w:w="0" w:type="dxa"/>
        </w:tblCellMar>
      </w:tblPr>
      <w:tr>
        <w:trPr>
          <w:trHeight w:val="161"/>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020" w:type="dxa"/>
            <w:vAlign w:val="bottom"/>
          </w:tcPr>
          <w:p>
            <w:pPr>
              <w:spacing w:after="0"/>
              <w:rPr>
                <w:sz w:val="13"/>
                <w:szCs w:val="13"/>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30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b w:val="1"/>
                <w:bCs w:val="1"/>
                <w:color w:val="auto"/>
              </w:rPr>
              <w:t>ProKidney</w:t>
            </w:r>
          </w:p>
        </w:tc>
      </w:tr>
      <w:tr>
        <w:trPr>
          <w:trHeight w:val="201"/>
        </w:trPr>
        <w:tc>
          <w:tcPr>
            <w:tcW w:w="21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Limited Liability of</w:t>
            </w:r>
          </w:p>
        </w:tc>
        <w:tc>
          <w:tcPr>
            <w:tcW w:w="3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Liability of directors may be limited by</w:t>
            </w:r>
          </w:p>
        </w:tc>
      </w:tr>
      <w:tr>
        <w:trPr>
          <w:trHeight w:val="220"/>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 articles of association of a company,</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except with regard to their actual fraud or</w:t>
            </w:r>
          </w:p>
        </w:tc>
      </w:tr>
      <w:tr>
        <w:trPr>
          <w:trHeight w:val="234"/>
        </w:trPr>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willful default.</w:t>
            </w:r>
          </w:p>
        </w:tc>
      </w:tr>
    </w:tbl>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ProKidney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9202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4" w:lineRule="exact"/>
        <w:rPr>
          <w:sz w:val="20"/>
          <w:szCs w:val="20"/>
          <w:color w:val="auto"/>
        </w:rPr>
      </w:pPr>
    </w:p>
    <w:p>
      <w:pPr>
        <w:ind w:right="339"/>
        <w:spacing w:after="0" w:line="253" w:lineRule="auto"/>
        <w:rPr>
          <w:sz w:val="20"/>
          <w:szCs w:val="20"/>
          <w:color w:val="auto"/>
        </w:rPr>
      </w:pPr>
      <w:r>
        <w:rPr>
          <w:rFonts w:ascii="Times New Roman" w:cs="Times New Roman" w:eastAsia="Times New Roman" w:hAnsi="Times New Roman"/>
          <w:sz w:val="18"/>
          <w:szCs w:val="18"/>
          <w:color w:val="auto"/>
        </w:rPr>
        <w:t>To the fullest extent permitted by applicable law, no director or officer of ProKidney Delaware will be personally liable to ProKidney Delaware or its stockholders for monetary damages for any breach of fiduciary duty as a director or officer, except to the extent such exemption from liability or limitation thereof is not permitted under the DGCL. Exculpation applies only to the officers specified in Section 102(b)(7) of the DGCL.</w:t>
      </w:r>
    </w:p>
    <w:p>
      <w:pPr>
        <w:spacing w:after="0" w:line="186" w:lineRule="exact"/>
        <w:rPr>
          <w:sz w:val="20"/>
          <w:szCs w:val="20"/>
          <w:color w:val="auto"/>
        </w:rPr>
      </w:pPr>
    </w:p>
    <w:p>
      <w:pPr>
        <w:sectPr>
          <w:pgSz w:w="11900" w:h="16838" w:orient="portrait"/>
          <w:cols w:equalWidth="0" w:num="2">
            <w:col w:w="5480" w:space="220"/>
            <w:col w:w="3319"/>
          </w:cols>
          <w:pgMar w:left="1440" w:top="262" w:right="1440" w:bottom="1440" w:gutter="0" w:footer="0" w:header="0"/>
        </w:sect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Annual Meeting</w:t>
      </w:r>
      <w:r>
        <w:rPr>
          <w:sz w:val="20"/>
          <w:szCs w:val="20"/>
          <w:color w:val="auto"/>
        </w:rPr>
        <w:tab/>
      </w:r>
      <w:r>
        <w:rPr>
          <w:rFonts w:ascii="Times New Roman" w:cs="Times New Roman" w:eastAsia="Times New Roman" w:hAnsi="Times New Roman"/>
          <w:sz w:val="17"/>
          <w:szCs w:val="17"/>
          <w:color w:val="auto"/>
        </w:rPr>
        <w:t>ProKidney is not obliged to hold an</w:t>
      </w:r>
    </w:p>
    <w:p>
      <w:pPr>
        <w:spacing w:after="0" w:line="3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annual meeting of shareholders (unless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required by the Cayman Islands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Companies Act).</w:t>
      </w:r>
    </w:p>
    <w:p>
      <w:pPr>
        <w:spacing w:after="0" w:line="203"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Special Meeting</w:t>
      </w:r>
      <w:r>
        <w:rPr>
          <w:sz w:val="20"/>
          <w:szCs w:val="20"/>
          <w:color w:val="auto"/>
        </w:rPr>
        <w:tab/>
      </w:r>
      <w:r>
        <w:rPr>
          <w:rFonts w:ascii="Times New Roman" w:cs="Times New Roman" w:eastAsia="Times New Roman" w:hAnsi="Times New Roman"/>
          <w:sz w:val="17"/>
          <w:szCs w:val="17"/>
          <w:color w:val="auto"/>
        </w:rPr>
        <w:t>The directors, the chief executive officer</w:t>
      </w:r>
    </w:p>
    <w:p>
      <w:pPr>
        <w:spacing w:after="0" w:line="31" w:lineRule="exact"/>
        <w:rPr>
          <w:sz w:val="20"/>
          <w:szCs w:val="20"/>
          <w:color w:val="auto"/>
        </w:rPr>
      </w:pPr>
    </w:p>
    <w:p>
      <w:pPr>
        <w:ind w:left="2460"/>
        <w:spacing w:after="0" w:line="253" w:lineRule="auto"/>
        <w:rPr>
          <w:sz w:val="20"/>
          <w:szCs w:val="20"/>
          <w:color w:val="auto"/>
        </w:rPr>
      </w:pPr>
      <w:r>
        <w:rPr>
          <w:rFonts w:ascii="Times New Roman" w:cs="Times New Roman" w:eastAsia="Times New Roman" w:hAnsi="Times New Roman"/>
          <w:sz w:val="18"/>
          <w:szCs w:val="18"/>
          <w:color w:val="auto"/>
        </w:rPr>
        <w:t>or the chairman of the board of directors may call general meetings. The members do not have the ability to call an extraordinary general meeting.</w:t>
      </w:r>
    </w:p>
    <w:p>
      <w:pPr>
        <w:spacing w:after="0" w:line="20" w:lineRule="exact"/>
        <w:rPr>
          <w:sz w:val="20"/>
          <w:szCs w:val="20"/>
          <w:color w:val="auto"/>
        </w:rPr>
      </w:pPr>
      <w:r>
        <w:rPr>
          <w:sz w:val="20"/>
          <w:szCs w:val="20"/>
          <w:color w:val="auto"/>
        </w:rPr>
        <w:br w:type="column"/>
      </w:r>
    </w:p>
    <w:p>
      <w:pPr>
        <w:ind w:right="519"/>
        <w:spacing w:after="0" w:line="266" w:lineRule="auto"/>
        <w:rPr>
          <w:sz w:val="20"/>
          <w:szCs w:val="20"/>
          <w:color w:val="auto"/>
        </w:rPr>
      </w:pPr>
      <w:r>
        <w:rPr>
          <w:rFonts w:ascii="Times New Roman" w:cs="Times New Roman" w:eastAsia="Times New Roman" w:hAnsi="Times New Roman"/>
          <w:sz w:val="18"/>
          <w:szCs w:val="18"/>
          <w:color w:val="auto"/>
        </w:rPr>
        <w:t>A meeting of stockholders for the election of directors and other business must be held annually.</w:t>
      </w:r>
    </w:p>
    <w:p>
      <w:pPr>
        <w:spacing w:after="0" w:line="392" w:lineRule="exact"/>
        <w:rPr>
          <w:sz w:val="20"/>
          <w:szCs w:val="20"/>
          <w:color w:val="auto"/>
        </w:rPr>
      </w:pPr>
    </w:p>
    <w:p>
      <w:pPr>
        <w:ind w:right="319"/>
        <w:spacing w:after="0" w:line="254" w:lineRule="auto"/>
        <w:rPr>
          <w:sz w:val="20"/>
          <w:szCs w:val="20"/>
          <w:color w:val="auto"/>
        </w:rPr>
      </w:pPr>
      <w:r>
        <w:rPr>
          <w:rFonts w:ascii="Times New Roman" w:cs="Times New Roman" w:eastAsia="Times New Roman" w:hAnsi="Times New Roman"/>
          <w:sz w:val="18"/>
          <w:szCs w:val="18"/>
          <w:color w:val="auto"/>
        </w:rPr>
        <w:t>Subject to any special rights of the holders of any outstanding series of preferred stock, special meetings of the stockholders may be called only by or at the direction of the chairman of the board of directors, the chief executive officer or at the direction of the Board pursuant to a written resolution adopted by a majority of the Board.</w:t>
      </w:r>
    </w:p>
    <w:p>
      <w:pPr>
        <w:spacing w:after="0" w:line="184" w:lineRule="exact"/>
        <w:rPr>
          <w:sz w:val="20"/>
          <w:szCs w:val="20"/>
          <w:color w:val="auto"/>
        </w:rPr>
      </w:pPr>
    </w:p>
    <w:p>
      <w:pPr>
        <w:sectPr>
          <w:pgSz w:w="11900" w:h="16838" w:orient="portrait"/>
          <w:cols w:equalWidth="0" w:num="2">
            <w:col w:w="5400" w:space="300"/>
            <w:col w:w="3319"/>
          </w:cols>
          <w:pgMar w:left="1440" w:top="262" w:right="1440" w:bottom="1440" w:gutter="0" w:footer="0" w:header="0"/>
          <w:type w:val="continuous"/>
        </w:sect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Waiver of Notice for</w:t>
      </w:r>
      <w:r>
        <w:rPr>
          <w:sz w:val="20"/>
          <w:szCs w:val="20"/>
          <w:color w:val="auto"/>
        </w:rPr>
        <w:tab/>
      </w:r>
      <w:r>
        <w:rPr>
          <w:rFonts w:ascii="Times New Roman" w:cs="Times New Roman" w:eastAsia="Times New Roman" w:hAnsi="Times New Roman"/>
          <w:sz w:val="17"/>
          <w:szCs w:val="17"/>
          <w:color w:val="auto"/>
        </w:rPr>
        <w:t>There is no such provision under the</w:t>
      </w:r>
    </w:p>
    <w:p>
      <w:pPr>
        <w:spacing w:after="0" w:line="31"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Meeting</w:t>
      </w:r>
      <w:r>
        <w:rPr>
          <w:sz w:val="20"/>
          <w:szCs w:val="20"/>
          <w:color w:val="auto"/>
        </w:rPr>
        <w:tab/>
      </w:r>
      <w:r>
        <w:rPr>
          <w:rFonts w:ascii="Times New Roman" w:cs="Times New Roman" w:eastAsia="Times New Roman" w:hAnsi="Times New Roman"/>
          <w:sz w:val="18"/>
          <w:szCs w:val="18"/>
          <w:color w:val="auto"/>
        </w:rPr>
        <w:t>Cayman Islands Companies Act or the</w:t>
      </w:r>
    </w:p>
    <w:p>
      <w:pPr>
        <w:spacing w:after="0" w:line="9" w:lineRule="exact"/>
        <w:rPr>
          <w:sz w:val="20"/>
          <w:szCs w:val="20"/>
          <w:color w:val="auto"/>
        </w:rPr>
      </w:pPr>
    </w:p>
    <w:p>
      <w:pPr>
        <w:ind w:left="2460"/>
        <w:spacing w:after="0" w:line="252" w:lineRule="auto"/>
        <w:rPr>
          <w:sz w:val="20"/>
          <w:szCs w:val="20"/>
          <w:color w:val="auto"/>
        </w:rPr>
      </w:pPr>
      <w:r>
        <w:rPr>
          <w:rFonts w:ascii="Times New Roman" w:cs="Times New Roman" w:eastAsia="Times New Roman" w:hAnsi="Times New Roman"/>
          <w:sz w:val="18"/>
          <w:szCs w:val="18"/>
          <w:color w:val="auto"/>
        </w:rPr>
        <w:t>Existing Organizational Documents, however, the accidental omission to give notice of a general meeting to, or the non-receipt of notice of a general meeting by, any person entitled to receive such notice shall not invalidate the proceedings of that general meeting.</w:t>
      </w:r>
    </w:p>
    <w:p>
      <w:pPr>
        <w:spacing w:after="0" w:line="184"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Stockholder Proposals</w:t>
      </w:r>
      <w:r>
        <w:rPr>
          <w:sz w:val="20"/>
          <w:szCs w:val="20"/>
          <w:color w:val="auto"/>
        </w:rPr>
        <w:tab/>
      </w:r>
      <w:r>
        <w:rPr>
          <w:rFonts w:ascii="Times New Roman" w:cs="Times New Roman" w:eastAsia="Times New Roman" w:hAnsi="Times New Roman"/>
          <w:sz w:val="17"/>
          <w:szCs w:val="17"/>
          <w:color w:val="auto"/>
        </w:rPr>
        <w:t>Shareholders seeking to bring business</w:t>
      </w:r>
    </w:p>
    <w:p>
      <w:pPr>
        <w:spacing w:after="0" w:line="31"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(Other than Nomination</w:t>
      </w:r>
      <w:r>
        <w:rPr>
          <w:sz w:val="20"/>
          <w:szCs w:val="20"/>
          <w:color w:val="auto"/>
        </w:rPr>
        <w:tab/>
      </w:r>
      <w:r>
        <w:rPr>
          <w:rFonts w:ascii="Times New Roman" w:cs="Times New Roman" w:eastAsia="Times New Roman" w:hAnsi="Times New Roman"/>
          <w:sz w:val="17"/>
          <w:szCs w:val="17"/>
          <w:color w:val="auto"/>
        </w:rPr>
        <w:t>before the annual general meeting or to</w:t>
      </w:r>
    </w:p>
    <w:p>
      <w:pPr>
        <w:spacing w:after="0" w:line="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of Persons for Election</w:t>
      </w:r>
      <w:r>
        <w:rPr>
          <w:sz w:val="20"/>
          <w:szCs w:val="20"/>
          <w:color w:val="auto"/>
        </w:rPr>
        <w:tab/>
      </w:r>
      <w:r>
        <w:rPr>
          <w:rFonts w:ascii="Times New Roman" w:cs="Times New Roman" w:eastAsia="Times New Roman" w:hAnsi="Times New Roman"/>
          <w:sz w:val="17"/>
          <w:szCs w:val="17"/>
          <w:color w:val="auto"/>
        </w:rPr>
        <w:t>nominate candidates for appointment as</w:t>
      </w:r>
    </w:p>
    <w:p>
      <w:pPr>
        <w:spacing w:after="0" w:line="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as Directors)</w:t>
      </w:r>
      <w:r>
        <w:rPr>
          <w:sz w:val="20"/>
          <w:szCs w:val="20"/>
          <w:color w:val="auto"/>
        </w:rPr>
        <w:tab/>
      </w:r>
      <w:r>
        <w:rPr>
          <w:rFonts w:ascii="Times New Roman" w:cs="Times New Roman" w:eastAsia="Times New Roman" w:hAnsi="Times New Roman"/>
          <w:sz w:val="17"/>
          <w:szCs w:val="17"/>
          <w:color w:val="auto"/>
        </w:rPr>
        <w:t>directors at the annual general meeting</w:t>
      </w:r>
    </w:p>
    <w:p>
      <w:pPr>
        <w:spacing w:after="0" w:line="9" w:lineRule="exact"/>
        <w:rPr>
          <w:sz w:val="20"/>
          <w:szCs w:val="20"/>
          <w:color w:val="auto"/>
        </w:rPr>
      </w:pPr>
    </w:p>
    <w:p>
      <w:pPr>
        <w:ind w:left="2460"/>
        <w:spacing w:after="0" w:line="251" w:lineRule="auto"/>
        <w:rPr>
          <w:sz w:val="20"/>
          <w:szCs w:val="20"/>
          <w:color w:val="auto"/>
        </w:rPr>
      </w:pPr>
      <w:r>
        <w:rPr>
          <w:rFonts w:ascii="Times New Roman" w:cs="Times New Roman" w:eastAsia="Times New Roman" w:hAnsi="Times New Roman"/>
          <w:sz w:val="18"/>
          <w:szCs w:val="18"/>
          <w:color w:val="auto"/>
        </w:rPr>
        <w:t>must deliver notice to the principal executive offices not less than 120 calendar days before the date of the proxy statement were released in connection with the previous year’s annual general meeting or, if ProKidney did not hold an annual general meeting the previous year, or if the date of the current year’s annual general meeting has been changed by more than 30 days from the date of the previous year’s annual general meeting, then the</w:t>
      </w:r>
    </w:p>
    <w:p>
      <w:pPr>
        <w:spacing w:after="0" w:line="24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39"/>
        <w:spacing w:after="0" w:line="272" w:lineRule="auto"/>
        <w:rPr>
          <w:sz w:val="20"/>
          <w:szCs w:val="20"/>
          <w:color w:val="auto"/>
        </w:rPr>
      </w:pPr>
      <w:r>
        <w:rPr>
          <w:rFonts w:ascii="Times New Roman" w:cs="Times New Roman" w:eastAsia="Times New Roman" w:hAnsi="Times New Roman"/>
          <w:sz w:val="17"/>
          <w:szCs w:val="17"/>
          <w:color w:val="auto"/>
        </w:rPr>
        <w:t>Attendance by a stockholder at a meeting will constitute a waiver of notice of such meeting except when the stockholder attends a meeting for the express purpose of objecting, at the beginning of the meeting, to the transaction of any business on the ground that the meeting has not been lawfully called or convened.</w:t>
      </w:r>
    </w:p>
    <w:p>
      <w:pPr>
        <w:spacing w:after="0" w:line="388" w:lineRule="exact"/>
        <w:rPr>
          <w:sz w:val="20"/>
          <w:szCs w:val="20"/>
          <w:color w:val="auto"/>
        </w:rPr>
      </w:pPr>
    </w:p>
    <w:p>
      <w:pPr>
        <w:ind w:right="339"/>
        <w:spacing w:after="0" w:line="252" w:lineRule="auto"/>
        <w:rPr>
          <w:sz w:val="20"/>
          <w:szCs w:val="20"/>
          <w:color w:val="auto"/>
        </w:rPr>
      </w:pPr>
      <w:r>
        <w:rPr>
          <w:rFonts w:ascii="Times New Roman" w:cs="Times New Roman" w:eastAsia="Times New Roman" w:hAnsi="Times New Roman"/>
          <w:sz w:val="18"/>
          <w:szCs w:val="18"/>
          <w:color w:val="auto"/>
        </w:rPr>
        <w:t>Nominations or other business to be properly brought before an annual meeting pursuant to the Proposed Bylaws by a stockholder require timely, advance notice in writing to the Secretary and, in the case of business other than nominations of directors, must be a proper matter for stockholder action.  </w:t>
      </w:r>
    </w:p>
    <w:p>
      <w:pPr>
        <w:spacing w:after="0" w:line="6" w:lineRule="exact"/>
        <w:rPr>
          <w:sz w:val="20"/>
          <w:szCs w:val="20"/>
          <w:color w:val="auto"/>
        </w:rPr>
      </w:pPr>
    </w:p>
    <w:p>
      <w:pPr>
        <w:ind w:right="299"/>
        <w:spacing w:after="0" w:line="252" w:lineRule="auto"/>
        <w:rPr>
          <w:sz w:val="20"/>
          <w:szCs w:val="20"/>
          <w:color w:val="auto"/>
        </w:rPr>
      </w:pPr>
      <w:r>
        <w:rPr>
          <w:rFonts w:ascii="Times New Roman" w:cs="Times New Roman" w:eastAsia="Times New Roman" w:hAnsi="Times New Roman"/>
          <w:sz w:val="18"/>
          <w:szCs w:val="18"/>
          <w:color w:val="auto"/>
        </w:rPr>
        <w:t>To be timely, notice must be delivered not less than 90 days nor more than one hundred twenty 120 days prior to the first anniversary of the preceding year’s annual meeting; provided, however, that in the event that the date of the annual</w:t>
      </w:r>
    </w:p>
    <w:p>
      <w:pPr>
        <w:sectPr>
          <w:pgSz w:w="11900" w:h="16838" w:orient="portrait"/>
          <w:cols w:equalWidth="0" w:num="2">
            <w:col w:w="5480" w:space="220"/>
            <w:col w:w="3319"/>
          </w:cols>
          <w:pgMar w:left="1440" w:top="262" w:right="1440" w:bottom="1440" w:gutter="0" w:footer="0" w:header="0"/>
          <w:type w:val="continuous"/>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ProKidney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16510</wp:posOffset>
            </wp:positionV>
            <wp:extent cx="19202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4" w:lineRule="exact"/>
        <w:rPr>
          <w:sz w:val="20"/>
          <w:szCs w:val="20"/>
          <w:color w:val="auto"/>
        </w:rPr>
      </w:pPr>
    </w:p>
    <w:p>
      <w:pPr>
        <w:ind w:left="2460"/>
        <w:spacing w:after="0" w:line="258" w:lineRule="auto"/>
        <w:rPr>
          <w:sz w:val="20"/>
          <w:szCs w:val="20"/>
          <w:color w:val="auto"/>
        </w:rPr>
      </w:pPr>
      <w:r>
        <w:rPr>
          <w:rFonts w:ascii="Times New Roman" w:cs="Times New Roman" w:eastAsia="Times New Roman" w:hAnsi="Times New Roman"/>
          <w:sz w:val="18"/>
          <w:szCs w:val="18"/>
          <w:color w:val="auto"/>
        </w:rPr>
        <w:t>deadline shall be set by the board of directors with such deadline being a reasonable time before ProKidney begins to print and send its related proxy materials.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ProKidney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9202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4" w:lineRule="exact"/>
        <w:rPr>
          <w:sz w:val="20"/>
          <w:szCs w:val="20"/>
          <w:color w:val="auto"/>
        </w:rPr>
      </w:pPr>
    </w:p>
    <w:p>
      <w:pPr>
        <w:ind w:right="419"/>
        <w:spacing w:after="0" w:line="255" w:lineRule="auto"/>
        <w:rPr>
          <w:sz w:val="20"/>
          <w:szCs w:val="20"/>
          <w:color w:val="auto"/>
        </w:rPr>
      </w:pPr>
      <w:r>
        <w:rPr>
          <w:rFonts w:ascii="Times New Roman" w:cs="Times New Roman" w:eastAsia="Times New Roman" w:hAnsi="Times New Roman"/>
          <w:sz w:val="18"/>
          <w:szCs w:val="18"/>
          <w:color w:val="auto"/>
        </w:rPr>
        <w:t>meeting is scheduled for more than 30 days before, or more than 60 days following, such anniversary date, notice must be delivered not later than the 10th day following the day on which public announcement of the date of such meeting was first made.</w:t>
      </w:r>
    </w:p>
    <w:p>
      <w:pPr>
        <w:spacing w:after="0" w:line="185" w:lineRule="exact"/>
        <w:rPr>
          <w:sz w:val="20"/>
          <w:szCs w:val="20"/>
          <w:color w:val="auto"/>
        </w:rPr>
      </w:pPr>
    </w:p>
    <w:p>
      <w:pPr>
        <w:sectPr>
          <w:pgSz w:w="11900" w:h="16838" w:orient="portrait"/>
          <w:cols w:equalWidth="0" w:num="2">
            <w:col w:w="5420" w:space="280"/>
            <w:col w:w="3319"/>
          </w:cols>
          <w:pgMar w:left="1440" w:top="263" w:right="1440" w:bottom="1440" w:gutter="0" w:footer="0" w:header="0"/>
        </w:sect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Anti-Takeover</w:t>
      </w:r>
      <w:r>
        <w:rPr>
          <w:sz w:val="20"/>
          <w:szCs w:val="20"/>
          <w:color w:val="auto"/>
        </w:rPr>
        <w:tab/>
      </w:r>
      <w:r>
        <w:rPr>
          <w:rFonts w:ascii="Times New Roman" w:cs="Times New Roman" w:eastAsia="Times New Roman" w:hAnsi="Times New Roman"/>
          <w:sz w:val="17"/>
          <w:szCs w:val="17"/>
          <w:color w:val="auto"/>
        </w:rPr>
        <w:t>The Cayman Islands Companies Act does</w:t>
      </w:r>
    </w:p>
    <w:p>
      <w:pPr>
        <w:spacing w:after="0" w:line="31"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Provisions and Other</w:t>
      </w:r>
      <w:r>
        <w:rPr>
          <w:sz w:val="20"/>
          <w:szCs w:val="20"/>
          <w:color w:val="auto"/>
        </w:rPr>
        <w:tab/>
      </w:r>
      <w:r>
        <w:rPr>
          <w:rFonts w:ascii="Times New Roman" w:cs="Times New Roman" w:eastAsia="Times New Roman" w:hAnsi="Times New Roman"/>
          <w:sz w:val="17"/>
          <w:szCs w:val="17"/>
          <w:color w:val="auto"/>
        </w:rPr>
        <w:t>contain a comparable provision to</w:t>
      </w:r>
    </w:p>
    <w:p>
      <w:pPr>
        <w:spacing w:after="0" w:line="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Stockholder Protections:</w:t>
      </w:r>
      <w:r>
        <w:rPr>
          <w:sz w:val="20"/>
          <w:szCs w:val="20"/>
          <w:color w:val="auto"/>
        </w:rPr>
        <w:tab/>
      </w:r>
      <w:r>
        <w:rPr>
          <w:rFonts w:ascii="Times New Roman" w:cs="Times New Roman" w:eastAsia="Times New Roman" w:hAnsi="Times New Roman"/>
          <w:sz w:val="17"/>
          <w:szCs w:val="17"/>
          <w:color w:val="auto"/>
        </w:rPr>
        <w:t>Section 203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19"/>
        <w:spacing w:after="0" w:line="266" w:lineRule="auto"/>
        <w:rPr>
          <w:sz w:val="20"/>
          <w:szCs w:val="20"/>
          <w:color w:val="auto"/>
        </w:rPr>
      </w:pPr>
      <w:r>
        <w:rPr>
          <w:rFonts w:ascii="Times New Roman" w:cs="Times New Roman" w:eastAsia="Times New Roman" w:hAnsi="Times New Roman"/>
          <w:sz w:val="17"/>
          <w:szCs w:val="17"/>
          <w:color w:val="auto"/>
        </w:rPr>
        <w:t>Under Section 203 of the DGCL, ProKidney Delaware is prohibited from engaging in a “business combination” (as such term is defined in Section 203 of the DGCL) with an “interested stockholder” (as such term is defined in Section 203 of the DGCL) for a period of three years after such person or entity became an interested stockholder unless (1) before the stockholder became an interested stockholder, ProKidney Delaware’s board of directors approved either the business combination or the transaction which resulted in the stockholder becoming an interested stockholder, (2) upon consummation of the transaction which resulted in the stockholder becoming an interested stockholder, the interested stockholder owned at least 85% of the voting stock of ProKidney Delaware’s outstanding at the time the transaction commenced, excluding for purposes of determining the voting stock outstanding (but not the outstanding voting stock owned by the interested stockholder) those shares owned (A) by persons who are directors and also officers and (B) employee stock plans in which employee participants do not have the right to determine confidentially whether shares held subject to the plan will be tendered in a tender or exchange offer, or (3) at or subsequent to the time the stockholder became an interested stockholder the business combination is approved by the board of directors and authorized by the affirmative vote of at least 66 2/3% of the outstanding voting stock which is not owned by the interested stockholder at an annual or special meeting of the stockholders of ProKidney Delaware.</w:t>
      </w:r>
    </w:p>
    <w:p>
      <w:pPr>
        <w:sectPr>
          <w:pgSz w:w="11900" w:h="16838" w:orient="portrait"/>
          <w:cols w:equalWidth="0" w:num="2">
            <w:col w:w="5460" w:space="240"/>
            <w:col w:w="3319"/>
          </w:cols>
          <w:pgMar w:left="1440" w:top="263" w:right="1440" w:bottom="1440" w:gutter="0" w:footer="0" w:header="0"/>
          <w:type w:val="continuous"/>
        </w:sectPr>
      </w:pPr>
    </w:p>
    <w:bookmarkStart w:id="59" w:name="page60"/>
    <w:bookmarkEnd w:id="5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 AND CORPORATE GOVERNANCE</w:t>
      </w:r>
    </w:p>
    <w:p>
      <w:pPr>
        <w:spacing w:after="0" w:line="3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Composition of the Board</w:t>
      </w:r>
    </w:p>
    <w:p>
      <w:pPr>
        <w:spacing w:after="0" w:line="119" w:lineRule="exact"/>
        <w:rPr>
          <w:sz w:val="20"/>
          <w:szCs w:val="20"/>
          <w:color w:val="auto"/>
        </w:rPr>
      </w:pPr>
    </w:p>
    <w:p>
      <w:pPr>
        <w:ind w:left="1300" w:right="1600" w:firstLine="360"/>
        <w:spacing w:after="0" w:line="261" w:lineRule="auto"/>
        <w:rPr>
          <w:sz w:val="20"/>
          <w:szCs w:val="20"/>
          <w:color w:val="auto"/>
        </w:rPr>
      </w:pPr>
      <w:r>
        <w:rPr>
          <w:rFonts w:ascii="Times New Roman" w:cs="Times New Roman" w:eastAsia="Times New Roman" w:hAnsi="Times New Roman"/>
          <w:sz w:val="18"/>
          <w:szCs w:val="18"/>
          <w:color w:val="auto"/>
        </w:rPr>
        <w:t>ProKidney’s business and affairs are organized under the direction of the Board. Mr. Legorreta serves as the Chairperson of the Board. The primary responsibilities of the Board are to provide oversight, strategic guidance, counseling and direction to ProKidney’s management. The Board meets on a regular basis and additionally as required.</w:t>
      </w:r>
    </w:p>
    <w:p>
      <w:pPr>
        <w:spacing w:after="0" w:line="72" w:lineRule="exact"/>
        <w:rPr>
          <w:sz w:val="20"/>
          <w:szCs w:val="20"/>
          <w:color w:val="auto"/>
        </w:rPr>
      </w:pPr>
    </w:p>
    <w:p>
      <w:pPr>
        <w:ind w:left="1300" w:right="1320" w:firstLine="360"/>
        <w:spacing w:after="0" w:line="277" w:lineRule="auto"/>
        <w:rPr>
          <w:sz w:val="20"/>
          <w:szCs w:val="20"/>
          <w:color w:val="auto"/>
        </w:rPr>
      </w:pPr>
      <w:r>
        <w:rPr>
          <w:rFonts w:ascii="Times New Roman" w:cs="Times New Roman" w:eastAsia="Times New Roman" w:hAnsi="Times New Roman"/>
          <w:sz w:val="17"/>
          <w:szCs w:val="17"/>
          <w:color w:val="auto"/>
        </w:rPr>
        <w:t>In accordance with the terms of the Existing Organizational Documents, the Board may establish the authorized number of directors from time to time by resolution. The Board currently consists of eight members and is divided into three classes with staggered three-year terms. At each annual general meeting of shareholders, the successors to directors whose terms then expire will be elected to serve from the time of election and qualification until the third annual meeting following election. ProKidney’s directors are divided among the three classes as follows:</w:t>
      </w:r>
    </w:p>
    <w:p>
      <w:pPr>
        <w:spacing w:after="0" w:line="60" w:lineRule="exact"/>
        <w:rPr>
          <w:sz w:val="20"/>
          <w:szCs w:val="20"/>
          <w:color w:val="auto"/>
        </w:rPr>
      </w:pPr>
    </w:p>
    <w:p>
      <w:pPr>
        <w:ind w:left="2000" w:right="1520" w:hanging="348"/>
        <w:spacing w:after="0" w:line="282" w:lineRule="auto"/>
        <w:tabs>
          <w:tab w:leader="none" w:pos="2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Bruce Culleton, M.D., Pablo Legorreta and Uma Sinha, Ph.D., and their terms will expire at the annual general meeting;</w:t>
      </w:r>
    </w:p>
    <w:p>
      <w:pPr>
        <w:spacing w:after="0" w:line="53" w:lineRule="exact"/>
        <w:rPr>
          <w:rFonts w:ascii="Times New Roman" w:cs="Times New Roman" w:eastAsia="Times New Roman" w:hAnsi="Times New Roman"/>
          <w:sz w:val="18"/>
          <w:szCs w:val="18"/>
          <w:color w:val="auto"/>
        </w:rPr>
      </w:pPr>
    </w:p>
    <w:p>
      <w:pPr>
        <w:ind w:left="2000" w:right="1460" w:hanging="348"/>
        <w:spacing w:after="0" w:line="282" w:lineRule="auto"/>
        <w:tabs>
          <w:tab w:leader="none" w:pos="2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William F. Doyle, Alan M. Lotvin, M.D. and Brian J. G. Pereira, M.D., and their terms will expire at the annual meeting of shareholders to be held in 2026; and</w:t>
      </w:r>
    </w:p>
    <w:p>
      <w:pPr>
        <w:spacing w:after="0" w:line="53" w:lineRule="exact"/>
        <w:rPr>
          <w:rFonts w:ascii="Times New Roman" w:cs="Times New Roman" w:eastAsia="Times New Roman" w:hAnsi="Times New Roman"/>
          <w:sz w:val="18"/>
          <w:szCs w:val="18"/>
          <w:color w:val="auto"/>
        </w:rPr>
      </w:pPr>
    </w:p>
    <w:p>
      <w:pPr>
        <w:ind w:left="2000" w:right="1480" w:hanging="348"/>
        <w:spacing w:after="0" w:line="282" w:lineRule="auto"/>
        <w:tabs>
          <w:tab w:leader="none" w:pos="2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Jennifer Fox and José Ignacio Jiménez Santos, and their terms will expire at the annual meeting of shareholders to be held in 2027.</w:t>
      </w:r>
    </w:p>
    <w:p>
      <w:pPr>
        <w:spacing w:after="0" w:line="54" w:lineRule="exact"/>
        <w:rPr>
          <w:sz w:val="20"/>
          <w:szCs w:val="20"/>
          <w:color w:val="auto"/>
        </w:rPr>
      </w:pPr>
    </w:p>
    <w:p>
      <w:pPr>
        <w:ind w:left="1300" w:right="1480" w:firstLine="360"/>
        <w:spacing w:after="0" w:line="282" w:lineRule="auto"/>
        <w:rPr>
          <w:sz w:val="20"/>
          <w:szCs w:val="20"/>
          <w:color w:val="auto"/>
        </w:rPr>
      </w:pPr>
      <w:r>
        <w:rPr>
          <w:rFonts w:ascii="Times New Roman" w:cs="Times New Roman" w:eastAsia="Times New Roman" w:hAnsi="Times New Roman"/>
          <w:sz w:val="18"/>
          <w:szCs w:val="18"/>
          <w:color w:val="auto"/>
        </w:rPr>
        <w:t>The division of the Board into three classes with staggered three-year terms may delay or prevent a change of our management or a change in control.</w:t>
      </w:r>
    </w:p>
    <w:p>
      <w:pPr>
        <w:spacing w:after="0" w:line="54" w:lineRule="exact"/>
        <w:rPr>
          <w:sz w:val="20"/>
          <w:szCs w:val="20"/>
          <w:color w:val="auto"/>
        </w:rPr>
      </w:pPr>
    </w:p>
    <w:p>
      <w:pPr>
        <w:ind w:left="1300" w:right="1440" w:firstLine="360"/>
        <w:spacing w:after="0" w:line="281" w:lineRule="auto"/>
        <w:rPr>
          <w:sz w:val="20"/>
          <w:szCs w:val="20"/>
          <w:color w:val="auto"/>
        </w:rPr>
      </w:pPr>
      <w:r>
        <w:rPr>
          <w:rFonts w:ascii="Times New Roman" w:cs="Times New Roman" w:eastAsia="Times New Roman" w:hAnsi="Times New Roman"/>
          <w:sz w:val="17"/>
          <w:szCs w:val="17"/>
          <w:color w:val="auto"/>
        </w:rPr>
        <w:t>On February 25, 2025, the Board accepted the recommendation of the Nominating and Corporate Governance Committee of the Board (“Nominating Committee”) and voted to nominate Bruce Culleton, M.D., Pablo Legorreta and Uma Sinha, Ph.D. for election at the annual general meeting for a term of three years to serve until the 2028 annual meeting of shareholders, and until their respective successors have been elected and qualified.</w:t>
      </w:r>
    </w:p>
    <w:p>
      <w:pPr>
        <w:spacing w:after="0" w:line="56" w:lineRule="exact"/>
        <w:rPr>
          <w:sz w:val="20"/>
          <w:szCs w:val="20"/>
          <w:color w:val="auto"/>
        </w:rPr>
      </w:pPr>
    </w:p>
    <w:p>
      <w:pPr>
        <w:ind w:left="1300" w:right="1720" w:firstLine="360"/>
        <w:spacing w:after="0" w:line="282" w:lineRule="auto"/>
        <w:rPr>
          <w:sz w:val="20"/>
          <w:szCs w:val="20"/>
          <w:color w:val="auto"/>
        </w:rPr>
      </w:pPr>
      <w:r>
        <w:rPr>
          <w:rFonts w:ascii="Times New Roman" w:cs="Times New Roman" w:eastAsia="Times New Roman" w:hAnsi="Times New Roman"/>
          <w:sz w:val="18"/>
          <w:szCs w:val="18"/>
          <w:color w:val="auto"/>
        </w:rPr>
        <w:t>If each of the Class III directors is elected and the domestication proposal is approved, the members of the Board of ProKidney Delaware will remain the same following the domestication.</w:t>
      </w:r>
    </w:p>
    <w:p>
      <w:pPr>
        <w:spacing w:after="0" w:line="54" w:lineRule="exact"/>
        <w:rPr>
          <w:sz w:val="20"/>
          <w:szCs w:val="20"/>
          <w:color w:val="auto"/>
        </w:rPr>
      </w:pPr>
    </w:p>
    <w:p>
      <w:pPr>
        <w:ind w:left="1300" w:right="1600" w:firstLine="360"/>
        <w:spacing w:after="0" w:line="255" w:lineRule="auto"/>
        <w:rPr>
          <w:sz w:val="20"/>
          <w:szCs w:val="20"/>
          <w:color w:val="auto"/>
        </w:rPr>
      </w:pPr>
      <w:r>
        <w:rPr>
          <w:rFonts w:ascii="Times New Roman" w:cs="Times New Roman" w:eastAsia="Times New Roman" w:hAnsi="Times New Roman"/>
          <w:sz w:val="18"/>
          <w:szCs w:val="18"/>
          <w:color w:val="auto"/>
        </w:rPr>
        <w:t>Set forth below are the names of the persons nominated for election as directors and those directors whose terms do not expire this year, their ages, their offices in the Company, if any, their principal occupations or employment for at least the past five years, the length of their tenure as directors and the names of other public companies in which such persons hold or have held directorships during the past five years as of [•], 2025. Additionally, information about the specific experience, qualifications, attributes or skills that led to the Board’s conclusion at the time of filing of this proxy statement/prospectus that each person listed below should serve as a director is set forth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6"/>
                <w:szCs w:val="16"/>
                <w:color w:val="auto"/>
              </w:rPr>
            </w:pPr>
          </w:p>
        </w:tc>
        <w:tc>
          <w:tcPr>
            <w:tcW w:w="518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Pablo Legorreta</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Director</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Bruce Culleton, M.D.</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300" w:type="dxa"/>
            <w:vAlign w:val="bottom"/>
          </w:tcPr>
          <w:p>
            <w:pPr>
              <w:spacing w:after="0"/>
              <w:rPr>
                <w:sz w:val="20"/>
                <w:szCs w:val="20"/>
                <w:color w:val="auto"/>
              </w:rPr>
            </w:pPr>
          </w:p>
        </w:tc>
      </w:tr>
      <w:tr>
        <w:trPr>
          <w:trHeight w:val="247"/>
        </w:trPr>
        <w:tc>
          <w:tcPr>
            <w:tcW w:w="130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F. Doyle</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62</w:t>
            </w: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Jennifer Fox</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53</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spacing w:after="0"/>
              <w:rPr>
                <w:sz w:val="20"/>
                <w:szCs w:val="20"/>
                <w:color w:val="auto"/>
              </w:rPr>
            </w:pPr>
          </w:p>
        </w:tc>
      </w:tr>
      <w:tr>
        <w:trPr>
          <w:trHeight w:val="247"/>
        </w:trPr>
        <w:tc>
          <w:tcPr>
            <w:tcW w:w="130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José Ignacio Jiménez Santos</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Alan M. Lotvin, M.D.</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spacing w:after="0"/>
              <w:rPr>
                <w:sz w:val="20"/>
                <w:szCs w:val="20"/>
                <w:color w:val="auto"/>
              </w:rPr>
            </w:pPr>
          </w:p>
        </w:tc>
      </w:tr>
      <w:tr>
        <w:trPr>
          <w:trHeight w:val="247"/>
        </w:trPr>
        <w:tc>
          <w:tcPr>
            <w:tcW w:w="130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J.G. Pereira, M.D.</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Uma Sinha, Ph.D.</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spacing w:after="0"/>
              <w:rPr>
                <w:sz w:val="20"/>
                <w:szCs w:val="20"/>
                <w:color w:val="auto"/>
              </w:rPr>
            </w:pPr>
          </w:p>
        </w:tc>
      </w:tr>
      <w:tr>
        <w:trPr>
          <w:trHeight w:val="481"/>
        </w:trPr>
        <w:tc>
          <w:tcPr>
            <w:tcW w:w="1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00" w:type="dxa"/>
            <w:vAlign w:val="bottom"/>
            <w:gridSpan w:val="2"/>
          </w:tcPr>
          <w:p>
            <w:pPr>
              <w:jc w:val="right"/>
              <w:ind w:right="4032"/>
              <w:spacing w:after="0"/>
              <w:rPr>
                <w:sz w:val="20"/>
                <w:szCs w:val="20"/>
                <w:color w:val="auto"/>
              </w:rPr>
            </w:pPr>
            <w:r>
              <w:rPr>
                <w:rFonts w:ascii="Times New Roman" w:cs="Times New Roman" w:eastAsia="Times New Roman" w:hAnsi="Times New Roman"/>
                <w:sz w:val="18"/>
                <w:szCs w:val="18"/>
                <w:color w:val="auto"/>
              </w:rPr>
              <w:t>52</w:t>
            </w: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Class III Director Nominees for Election for a Three-Year Term Expiring at the Company’s 2028 Annual Meeting of Shareholders</w:t>
      </w:r>
    </w:p>
    <w:p>
      <w:pPr>
        <w:spacing w:after="0" w:line="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Bruce Culleton, M.D.</w:t>
      </w:r>
    </w:p>
    <w:p>
      <w:pPr>
        <w:spacing w:after="0" w:line="119" w:lineRule="exact"/>
        <w:rPr>
          <w:sz w:val="20"/>
          <w:szCs w:val="20"/>
          <w:color w:val="auto"/>
        </w:rPr>
      </w:pPr>
    </w:p>
    <w:p>
      <w:pPr>
        <w:ind w:left="300" w:right="379" w:firstLine="360"/>
        <w:spacing w:after="0" w:line="272" w:lineRule="auto"/>
        <w:rPr>
          <w:sz w:val="20"/>
          <w:szCs w:val="20"/>
          <w:color w:val="auto"/>
        </w:rPr>
      </w:pPr>
      <w:r>
        <w:rPr>
          <w:rFonts w:ascii="Times New Roman" w:cs="Times New Roman" w:eastAsia="Times New Roman" w:hAnsi="Times New Roman"/>
          <w:sz w:val="17"/>
          <w:szCs w:val="17"/>
          <w:color w:val="auto"/>
        </w:rPr>
        <w:t>Dr. Culleton has served on our Board and as our Chief Executive Officer, as well as a director on the board of directors of ProKidney Corp. GP Limited (“GP”) (the “GP Board”), since November 2023. Prior to his appointment as Chief Executive Officer, Dr. Culleton served as the Company’s Executive Vice President, Clinical Development</w:t>
      </w:r>
    </w:p>
    <w:p>
      <w:pPr>
        <w:spacing w:after="0" w:line="2" w:lineRule="exact"/>
        <w:rPr>
          <w:sz w:val="20"/>
          <w:szCs w:val="20"/>
          <w:color w:val="auto"/>
        </w:rPr>
      </w:pPr>
    </w:p>
    <w:p>
      <w:pPr>
        <w:ind w:left="300" w:right="359" w:hanging="8"/>
        <w:spacing w:after="0" w:line="260" w:lineRule="auto"/>
        <w:tabs>
          <w:tab w:leader="none" w:pos="4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since July 2023. He has more than two decades of experience in industry and academia with a primary focus on kidney health.</w:t>
      </w:r>
    </w:p>
    <w:p>
      <w:pPr>
        <w:spacing w:after="0" w:line="73"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Prior to joining the Company, Dr. Culleton served as the Vice President and General Manager of CVS Kidney Care, LLC, a subsidiary of CVS Health Corporation (NYSE: CVS), a health solutions company, from June 2022 to July 2023. Previously, he served as Vice President and Chief Medical Officer at CVS Kidney Care from October 2017 to June 2022. Before joining CVS Health Corporation, he was Vice President, Global Clinical Development and World Wide Vice President, Medical Affairs, Medication and Procedural Solutions at Becton, Dickinson and Company (NYSE: BDX), a global medical technology company, from 2016 to 2017; and previously Vice President, Renal Therapeutic Area at Baxter International Inc. (NYSE: BAX), a healthcare company, from 2007 to 2016. Prior to beginning his industry career in 2007, Dr. Culleton was a Clinical Associate Professor, Department of Medicine at the University of Calgary. Dr. Culleton holds a Bachelor’s degree in Medical Science and a Doctor of Medicine degree from Memorial University of Newfoundland, and a Master’s degree in Business Administration from Northwestern University, Kellogg School of Management. He completed a specialization in Internal Medicine and Nephrology through the Royal College of Physicians and Surgeons of Canada, as well as a fellowship in Clinical Epidemiology at Boston University, Framingham Heart Study. We believe that Dr. Culleton’s qualifications to serve as a member of the Board include his knowledge of our business as our Chief Executive Officer and his extensive leadership experience in the healthcare industry.</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Pablo Legorreta</w:t>
      </w:r>
    </w:p>
    <w:p>
      <w:pPr>
        <w:spacing w:after="0" w:line="11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Mr. Legorreta has served as Chairman of the Board and a director on the GP Board since the Closing (as defined below). Mr. Legorreta served on the Legacy GP Board from August 2021 until the Closing, as a director of the board of ProKidney-KY (the “ProKidney-KY Board”) since January 2019, and as a manager of ProKidney LLC, a limited liability company incorporated under the laws of Bermuda, since January 2019. Legacy GP was dissolved on January 8, 2024, in accordance with the laws of Ireland.</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Legorreta is the founder and has served as Chief Executive Officer of Royalty Pharma plc</w:t>
      </w:r>
    </w:p>
    <w:p>
      <w:pPr>
        <w:spacing w:after="0" w:line="27"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(Nasdaq: RPRX), a rapidly growing biopharma company and one of the largest dedicated life sciences investors in the world, since September 1996. Mr. Legorreta has also served as the Chairman of the board of directors of Royalty Pharma plc since April 2020. Mr. Legorreta has over 25 years of experience building and managing Royalty Pharma plc. Additionally, Mr. Legorreta is a co-founder of Pharmakon Advisors, LP, a leading provider of debt capital to the life sciences industry, where he has served as a managing member, since April 2009. Mr. Legorreta has served as a director of Epizyme, Inc. (Nasdaq: EPZM), a fully integrated, commercial-stage biopharmaceutical company developing and delivering novel epigenetic therapies, since November 2019. Mr. Legorreta has served on the Board of Governors of the New York Academy of Sciences since January 2015, the Board of Trustees of Rockefeller University since March 2017, and the Board of Trustees and Compensation, Research and Innovation and Development Committees of the Hospital for Special Surgery since January 2015. Mr. Legorreta has also served on the boards of Brown University; Pasteur Foundation (French: Institut Pasteur), a French non-profit private foundation dedicated to the study of biology, micro-organisms, diseases, and vaccines; Open Medical Institute, an international initiative for medical professionals, which through education and research, aims to improve healthcare on a global scale; and The Park Avenue Armory, a nonprofit cultural institution within the historic Seventh Regiment Armory. Mr. Legorreta is the founder and Chairman of Alianza Me´dica para la Salud, a non-profit organization dedicated to enhancing the quality of health care in Latin America by providing doctors and healthcare providers with continued education opportunities. Since its foundation in December 2010, AMSA has provided over 500 scholarships to Mexican and Latin American doctors and healthcare providers to study abroad. Mr. Legorreta is also a founding member of Mount Sinai’s new Institute for Health Equity Research, which is created in May 2020 in part as a response to the health inequities made apparent by COVID-19.</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Mr. Legorreta received his B.A. degree in Industrial Engineering from Universidad Iberoamericana in Mexico City. We believe that Mr. Legorreta’s experience in investing in pharmaceutical royalties and managing a growing life sciences investment company, as well as significant background in investment banking and debt financing provide him with the qualifications and skills to serve as the Chairman and a member of the Board.</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Uma Sinha, Ph.D.</w:t>
      </w:r>
    </w:p>
    <w:p>
      <w:pPr>
        <w:spacing w:after="0" w:line="119" w:lineRule="exact"/>
        <w:rPr>
          <w:sz w:val="20"/>
          <w:szCs w:val="20"/>
          <w:color w:val="auto"/>
        </w:rPr>
      </w:pPr>
    </w:p>
    <w:p>
      <w:pPr>
        <w:ind w:left="300" w:right="799" w:firstLine="360"/>
        <w:spacing w:after="0" w:line="261" w:lineRule="auto"/>
        <w:rPr>
          <w:sz w:val="20"/>
          <w:szCs w:val="20"/>
          <w:color w:val="auto"/>
        </w:rPr>
      </w:pPr>
      <w:r>
        <w:rPr>
          <w:rFonts w:ascii="Times New Roman" w:cs="Times New Roman" w:eastAsia="Times New Roman" w:hAnsi="Times New Roman"/>
          <w:sz w:val="18"/>
          <w:szCs w:val="18"/>
          <w:color w:val="auto"/>
        </w:rPr>
        <w:t>Dr. Sinha has served on the Board since the Closing. Dr. Sinha was a member of the board of directors of Social Capital Suvretta Holdings Corp. III (“SCS”) from September 2021 until the Closing. In April, 2016,</w:t>
      </w: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Dr. Sinha was appointed the Chief Scientific Officer of BridgeBio Pharma, Inc. (“BridgeBio”) (Nasdaq: BBIO) and serves as the Chief Scientific Officer of other BridgeBio subsidiaries, including Eidos Therapeutics. Prior to that, Dr. Sinha served as Chief Scientific Officer of Global Blood Therapeutics, Inc., a clinical-stage biopharmaceutical company, from 2014 to 2015 and as Senior Vice President of research from 2013 to 2014. She was Vice President, head of biology at Portola Pharmaceuticals, Inc., a clinical-stage biotechnology company, from 2010 to 2012 and was the Vice President of translational biology from 2004 to 2010. Previously, Dr. Sinha held senior research positions at Millennium Pharmaceuticals, Inc., a biopharmaceutical company, and COR Therapeutics, Inc., a biopharmaceutical company. Dr. Sinha was formerly a director of Eidos Therapeutics (Nasdaq: EIDX) from December 2019 through February 2021. Dr. Sinha received her Ph.D. in biochemistry from the University of Georgia and her B.Sc. with honors in chemistry from Presidency College. We believe Dr. Sinha’s qualifications to serve on the Board include her significant scientific experience in the biopharmaceutical industry.</w:t>
      </w:r>
    </w:p>
    <w:p>
      <w:pPr>
        <w:spacing w:after="0" w:line="323" w:lineRule="exact"/>
        <w:rPr>
          <w:sz w:val="20"/>
          <w:szCs w:val="20"/>
          <w:color w:val="auto"/>
        </w:rPr>
      </w:pPr>
    </w:p>
    <w:p>
      <w:pPr>
        <w:ind w:left="300" w:right="1419"/>
        <w:spacing w:after="0" w:line="39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II Director Continuing in Office Until the Company’s 2027 Annual Meeting of Shareholders </w:t>
      </w:r>
      <w:r>
        <w:rPr>
          <w:rFonts w:ascii="Times New Roman" w:cs="Times New Roman" w:eastAsia="Times New Roman" w:hAnsi="Times New Roman"/>
          <w:sz w:val="18"/>
          <w:szCs w:val="18"/>
          <w:i w:val="1"/>
          <w:iCs w:val="1"/>
          <w:color w:val="auto"/>
        </w:rPr>
        <w:t>Jennifer Fox</w:t>
      </w:r>
    </w:p>
    <w:p>
      <w:pPr>
        <w:spacing w:after="0" w:line="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Ms. Fox has served on the Board and as the Chair of its Audit Committee since July 2022. She also has been a board member and chair of the audit committee at Apogee Therapeutics, Inc. (Nasdaq; APGE) since July 2023. She has served as the co-chair of Life Science Cares New York since August 2022, where she is also a member of its National Committee, since December 2023. Ms. Fox has served as the Chief Business Officer and Chief Financial Officer of Zenas BioPharma since December 2023. Prior to that role, Ms. Fox served as the Chief Financial Officer of Nuvation Bio Inc. from October 2020 to November 2023. Previous to that, Ms. Fox served as Managing Director, Co-Head of North America Healthcare Corporate and Investment Banking Group at Citigroup from June 2015 to October 2020. From February 2006 to June 2015, Ms. Fox served as Managing Director at Deutsche Bank, most recently also as Co-Head of Life Sciences Investment Banking Group. Prior to that, Ms. Fox served as Senior Managing Director Healthcare Investment Banking at Bear Stearns, Vice President Healthcare Investment Banking at Bank of America and Financial Analyst, Investment Banking Analyst, Associate, Vice President, Health Care Investment Banking at Prudential Vector Healthcare Group and Prudential Securities Incorporated. Ms. Fox received B.S. degrees in Finance and Marketing from Manhattan College. We believe that Ms. Fox is qualified to serve on the Board because she has over 25 years of experience in the healthcare investment banking industry and has been a lead advisor to life sciences companies on over 200 financing and strategic transactions.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José Ignacio Jiménez Santos</w:t>
      </w:r>
    </w:p>
    <w:p>
      <w:pPr>
        <w:spacing w:after="0" w:line="11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Mr. Jiménez Santos has served on the Board since the Closing and was a member of the Legacy GP Board from August 2021 until the Closing. Mr. Jiménez Santos has served as the Chief Executive Officer of Afore Inbursa since August 2015 and the Chief Investment Officer of Grupo Financiero Inbursa, SAB de C.V., a public company registered on the Mexican Stock Exchange, since August 2013. Mr. Jiménez Santos served on the board of directors of Procesar SA de C.V., a private company that provides data processing services, from May 2019 to May 2022. Mr. Jiménez Santos also serves on the board of directors of Glycosyn, a private biotechnology company developing products based on unique bioactive sugars found in human milk.</w:t>
      </w:r>
    </w:p>
    <w:p>
      <w:pPr>
        <w:spacing w:after="0" w:line="81"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Mr. Jiménez Santos received his bachelor’s degree in economics and finance from the Instituto Tecnológico Autonomo de México. We believe that Mr. Jiménez Santos’ combined experience in finance, international investments and the biotechnology industry provide him with the qualifications and skills to serve as a member of the Board.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1419"/>
        <w:spacing w:after="0" w:line="39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I Directors Continuing in Office Until the Company’s 2026 Annual Meeting of Shareholders </w:t>
      </w:r>
      <w:r>
        <w:rPr>
          <w:rFonts w:ascii="Times New Roman" w:cs="Times New Roman" w:eastAsia="Times New Roman" w:hAnsi="Times New Roman"/>
          <w:sz w:val="18"/>
          <w:szCs w:val="18"/>
          <w:i w:val="1"/>
          <w:iCs w:val="1"/>
          <w:color w:val="auto"/>
        </w:rPr>
        <w:t>William F. Doyle</w:t>
      </w:r>
    </w:p>
    <w:p>
      <w:pPr>
        <w:spacing w:after="0" w:line="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Mr. Doyle has served on the Board since the Closing. Mr. Doyle was a member of the Legacy GP Board from January 2022 until the Closing and has served on the ProKidney-KY Board, since January 2022. Mr. Doyle is a recognized expert in medical devices commercialization with over 30 years’ experience in the advanced technology and healthcare industries as an entrepreneur, executive and investor. He has served as Executive Chairman of NovoCure Limited (Nasdaq: NVCR), a commercial-stage oncology company which is currently developing Tumor Treating Fields, a new therapy for solid tumor cancers (“NovoCure”), since May 2016 and a member of the board of directors of NovoCure since February, 2004.</w:t>
      </w:r>
    </w:p>
    <w:p>
      <w:pPr>
        <w:spacing w:after="0" w:line="81" w:lineRule="exact"/>
        <w:rPr>
          <w:sz w:val="20"/>
          <w:szCs w:val="20"/>
          <w:color w:val="auto"/>
        </w:rPr>
      </w:pPr>
    </w:p>
    <w:p>
      <w:pPr>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Previously, Mr. Doyle was a member of the Johnson &amp; Johnson’s (NYSE: JNJ) Medical Devices and Diagnostics Group Operating Committee and was the Vice President, Licensing and Acquisitions from 1994 to 1999. While at Johnson &amp; Johnson, Mr. Doyle was also the Worldwide President of Biosense-Webster, Inc. and a member of the board of directors of Johnson &amp; Johnson Development Corporation, Johnson &amp; Johnson’s venture capital subsidiary.</w:t>
      </w:r>
    </w:p>
    <w:p>
      <w:pPr>
        <w:spacing w:after="0" w:line="7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Mr. Doyle has served as a member of the board of directors of Elanco Animal Health, Inc. (NYSE: ELAN), a global leader in animal health dedicated to innovating and delivering products and services to prevent and treat disease in farm animals and pets, creating value for farmers, pet owners, veterinarians, stakeholders, and society as a whole, since October 2020. Previously, Mr. Doyle served as a member of the board of directors of OptiNose, Inc. (Nasdaq: OPTN), a pharmaceutical company focused on patients treated by ear, nose and throat (ENT) and allergy specialists, from June 2004 to October 2020, and Zoetis, Inc. (NYSE: ZTS), a leading animal health company, dedicated to supporting its customers and their businesses, from February 2015 to March 2016 and Minerva Neurosciences, Inc. (Nasdaq: NERV), a clinical-stage biopharmaceutical company focused on the development of therapies to treat central nervous system disorders, from November 2017 to May 2023. Mr. Doyle earned his S.B. in Materials Science and Engineering from Massachusetts Institute of Technology and his M.B.A. from Harvard Business School. We believe Mr. Doyle is qualified to serve on the Board due to his business and investment experience and his extensive knowledge of ProKidney and the healthcare industry.</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Alan M. Lotvin, M.D.</w:t>
      </w:r>
    </w:p>
    <w:p>
      <w:pPr>
        <w:spacing w:after="0" w:line="11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Dr. Lotvin has served on the Board since the Closing. Dr. Lotvin was a member of the Legacy GP Board from January 2022 until the Closing and has served on the ProKidney KY-Board since January 2022. Dr. Lotvin has served as the Chief Executive Officer and a Director at Sequel Med Tech, LLC, a medical devices company, since June 2023. Prior to that, Dr. Lotvin served as Executive Vice President at CVS Health Corp (NYSE: CVS), a leading health solutions company, from November 2012 to April 2023, and the President of CVS Caremark since</w:t>
      </w:r>
    </w:p>
    <w:p>
      <w:pPr>
        <w:spacing w:after="0" w:line="3"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March 2020. Prior to that, Dr. Lotvin served as the Executive Vice President—Transformation at CVS Health Corporation from June 2018 to February 2020 and the Executive Vice President—Specialty Pharmacy at CVS Caremark from November 2012 to May 2018. Dr. Lotvin has extensive experience in the pharmacy benefit management (“PBM”) and specialty pharmacy industries. Before joining CVS Health Corp, Dr. Lotvin was the President and Chief Executive Officer of ICORE Healthcare, a Magellan Health Services company, and prior to that, Dr. Lotvin held senior positions in the PBM industry. Dr. Lotvin earned his B.S. in Biochemistry from Stony Brook University, his M.D. in Medicine from SUNY Downstate Health Sciences University, and his M.A. in Medical Informatics from Columbia University Graduate School of Arts and Sciences. We believe Dr. Lotvin is qualified to serve on the Board due to his extensive knowledge of ProKidney and the healthcare industry.</w:t>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Brian J. G. Pereira, M.D.</w:t>
      </w:r>
    </w:p>
    <w:p>
      <w:pPr>
        <w:spacing w:after="0" w:line="11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Dr. Pereira has served on the Board since the Closing and was a member of the Legacy GP Board from January 2022 until the Closing. Dr. Pereira has served as the Chief Executive Officer and member of the board of directors of Visterra Inc., a clinical-stage biotechnology company committed to developing innovative antibody-based therapies for the treatment of patients with kidney diseases and other hard-to-treat diseases. Visterra Inc was acquired by Otsuka in 2018 and is a subsidiary of Otsuka America Inc., a global healthcare company listed on the Tokyo Stock Exchange. Dr. Pereira is a nationally recognized expert on kidney diseases, is the former Editor of the widely read textbook “Chronic Kidney Disease, Dialysis and Transplantation,” and has over 200 scientific papers to his credit. He currently serves on the board of directors of Africa Healthcare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Network, Ltd, a dialysis provider, and as the Chairman of the board of directors of KalVista Pharmaceuticals, Inc. (Nasdaq: KALV), a pharmaceutical company focused on the discovery, development, and commercialization of small molecule protease inhibitors for diseases with significant unmet need. He was the former Executive Chairman of the board of directors of Abeona Therapeutics Inc. (Nasdaq: ABEO), a clinical-stage biopharmaceutical company developing gene and cell therapies for serious diseases and member of the board of directors of Cullinan Pearl Corp, a privately held biotechnology company and subsidiary of Cullinan Oncology, Inc. (Nasdaq: CGEM), an oncology company and has served on several for-profit and non-profit company Boards. Dr. Pereira is a graduate of St. John’s Medical College, Bangalore, India and has an MBA from the Kellogg Business School, Northwestern University. Dr. Pereira obtained his D.M. in Nephrology and M.D. in Internal Medicine from Post Graduate Institute, Chandigarh, India. We believe Dr. Pereira’s qualifications to serve on the Board include his extensive experience with pharmaceutical companies, and his years of experience providing services to pharmaceutical and biotechnology organizations, including evaluating business plans involving clinical trials.</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An “independent director” is defined generally as a person who has no material relationship with the listed company (either directly or as a partner, shareholder or officer of an organization that has a relationship with the company). The Board has reviewed the materiality of any relationship that each of our directors has with ProKidney Corp., either directly or indirectly. Based upon this review, the Board has determined that each of William F. Doyle, Alan M. Lotvin, M.D., Brian J. G. Pereira, M.D., Uma Sinha, Ph.D, José Ignacio Jiménez Santos and Jennifer Fox is an independent director under applicable SEC and the Nasdaq Stock Market LLC listing Nasdaq rules (the “Nasdaq Listing Rules”).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among any of ProKidney’s directors or executive officers.</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Insider Trading Policy and Prohibitions on Hedging and Pledging Company Securities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We maintain an insider trading policy that, among other things, governs the buying and selling of our securities by all of our personnel, including directors, officers and employees. Our policy is designed to prevent violations of insider trading laws by our personnel and to avoid even the appearance of improper conduct in this regard by our personnel. The policy prohibits covered persons from purchasing, selling or otherwise disposing of our securities while in possession of material non-public information (except in limited circumstances, such as pursuant to a previously established trading plan). In addition, the policy prohibits all employees and directors from engaging in any transaction in which they may profit from short-term speculative swings in the value of our securities such as through short sales, derivative securities and hedging transactions including forward sale or purchase contracts, equity swaps, collars or exchange funds. The policy also prohibits our insiders from holding our securities in a margin account or pledging our securities as collateral for a loan. The policy provides for quarterly and other trading blackouts and includes the procedures covered persons must follow before transacting in our securities including trading pre-clearance. A copy of the policy is filed as an exhibit to our Annual Report on Form 10-K for the year ended December 31, 2024.</w:t>
      </w:r>
    </w:p>
    <w:p>
      <w:pPr>
        <w:spacing w:after="0" w:line="79"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Although we have not adopted an insider trading policy governing the purchase or sale of our securities by the Company, as part of the oversight of risk, the Board, or one or more of its committees, approves any transaction, plan or arrangement by or with the Company with respect to our securities on a case-by-case basis, and as part of their procedures to review and approve any such transaction, plan or arrangement, the Board or committee consults with legal counsel to ensure compliance with applicable insider trading laws, rules and regulations, and listing standards.</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Committees of the Board and Meetings</w:t>
      </w:r>
    </w:p>
    <w:p>
      <w:pPr>
        <w:spacing w:after="0" w:line="117" w:lineRule="exact"/>
        <w:rPr>
          <w:sz w:val="20"/>
          <w:szCs w:val="20"/>
          <w:color w:val="auto"/>
        </w:rPr>
      </w:pPr>
    </w:p>
    <w:p>
      <w:pPr>
        <w:ind w:left="300" w:right="3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Meeting Attendance. </w:t>
      </w:r>
      <w:r>
        <w:rPr>
          <w:rFonts w:ascii="Times New Roman" w:cs="Times New Roman" w:eastAsia="Times New Roman" w:hAnsi="Times New Roman"/>
          <w:sz w:val="18"/>
          <w:szCs w:val="18"/>
          <w:color w:val="auto"/>
        </w:rPr>
        <w:t>During the fiscal year ended December 31, 2024, there were five meetings of the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various committees of the Board met a total of fourteen times. No director attended fewer than 75% of the total number of meetings of the Board and of committees of the Board on which he or she served during fiscal 2024, except for William F. Doyle, who attended six of the eleven meetings of the Board and committees. The Board has adopted a policy under which each member of the Board makes reasonable best efforts to attend each annual general meeting of our shareholders.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Our Audit Committee met four times during fiscal 2024. This committee currently has three members, Jennifer Fox, who serves as the chairperson, Brian J. G. Pereira, M.D. and Alan M. Lotvin, M.D. Additionally, William F. Doyle served on the Audit Committee until August 2024. Each member of the Audit Committee qualifies as an independent director under the Nasdaq Listing Rules and the independence requirements of Rule 10A-3 under the Exchange Act. The Board has determined that each of Ms. Fox and Dr. Pereira qualifies as an “audit committee financial expert” as such term is defined in Item 407(d)(5) of Regulation S-K and possesses financial sophistication, as defined under the rules of the Nasdaq. Please also see the report of the Audit Committee set forth elsewhere in this proxy statement/prospectus.</w:t>
      </w:r>
    </w:p>
    <w:p>
      <w:pPr>
        <w:spacing w:after="0" w:line="84"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Our Audit Committee’s role and responsibilities are set forth in the Audit Committee’s written charter and its primary purpose is to discharge the responsibilities of the Board with respect to corporate accounting and financial reporting processes, systems of internal control and financial statement audits, and to oversee our independent registered public accounting firm. Specific responsibilities of the Audit Committee include:</w:t>
      </w:r>
    </w:p>
    <w:p>
      <w:pPr>
        <w:spacing w:after="0" w:line="18" w:lineRule="exact"/>
        <w:rPr>
          <w:sz w:val="20"/>
          <w:szCs w:val="20"/>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oversee corporate accounting and financial reporting processes;</w:t>
      </w:r>
    </w:p>
    <w:p>
      <w:pPr>
        <w:spacing w:after="0" w:line="63"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ProKidney’s interim and year-end operating results;</w:t>
      </w:r>
    </w:p>
    <w:p>
      <w:pPr>
        <w:spacing w:after="0" w:line="13" w:lineRule="exact"/>
        <w:rPr>
          <w:rFonts w:ascii="Times New Roman" w:cs="Times New Roman" w:eastAsia="Times New Roman" w:hAnsi="Times New Roman"/>
          <w:sz w:val="18"/>
          <w:szCs w:val="18"/>
          <w:color w:val="auto"/>
        </w:rPr>
      </w:pPr>
    </w:p>
    <w:p>
      <w:pPr>
        <w:ind w:left="1000" w:right="459" w:hanging="348"/>
        <w:spacing w:after="0" w:line="28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63"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ProKidney’s internal quality control procedures, any material issues with such procedures, and any steps taken to deal with such issues when required by applicable law; and</w:t>
      </w:r>
    </w:p>
    <w:p>
      <w:pPr>
        <w:spacing w:after="0" w:line="1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w:t>
      </w:r>
    </w:p>
    <w:p>
      <w:pPr>
        <w:spacing w:after="0" w:line="54" w:lineRule="exact"/>
        <w:rPr>
          <w:sz w:val="20"/>
          <w:szCs w:val="20"/>
          <w:color w:val="auto"/>
        </w:rPr>
      </w:pPr>
    </w:p>
    <w:p>
      <w:pPr>
        <w:ind w:left="300" w:right="999" w:firstLine="360"/>
        <w:spacing w:after="0" w:line="282" w:lineRule="auto"/>
        <w:rPr>
          <w:sz w:val="20"/>
          <w:szCs w:val="20"/>
          <w:color w:val="auto"/>
        </w:rPr>
      </w:pPr>
      <w:r>
        <w:rPr>
          <w:rFonts w:ascii="Times New Roman" w:cs="Times New Roman" w:eastAsia="Times New Roman" w:hAnsi="Times New Roman"/>
          <w:sz w:val="18"/>
          <w:szCs w:val="18"/>
          <w:color w:val="auto"/>
        </w:rPr>
        <w:t>The Board has adopted a written charter for the Audit Committee, which is available on our website at https://www.prokidney.com under Investors—Corporate Governance—Governance Overview.</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Talent and Compensation Committee</w:t>
      </w:r>
    </w:p>
    <w:p>
      <w:pPr>
        <w:spacing w:after="0" w:line="119"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Our Talent and Compensation Committee met three times during fiscal 2024. Our Talent and Compensation Committee consists of Alan M. Lotvin, M.D., who serves as the chairperson, William F. Doyle, and Uma Sinha, Ph.D. John M. Maraganore, Ph.D., our former director, served on the Talent and Compensation Committee during fiscal year 2024 until his term of service ended in May 2024. All members of the Talent and Compensation Committee qualify as independent under the definition promulgated by Nasdaq.</w:t>
      </w:r>
    </w:p>
    <w:p>
      <w:pPr>
        <w:spacing w:after="0" w:line="75"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The primary purpose of the Talent and Compensation Committee is to discharge the responsibilities of the Board in overseeing the compensation policies, plans and programs and to review and determine the compensation to be paid to executive officers, directors and other senior management, as appropriate. Specific responsibilities of the Talent and Compensation Committee include:</w:t>
      </w:r>
    </w:p>
    <w:p>
      <w:pPr>
        <w:spacing w:after="0" w:line="18" w:lineRule="exact"/>
        <w:rPr>
          <w:sz w:val="20"/>
          <w:szCs w:val="20"/>
          <w:color w:val="auto"/>
        </w:rPr>
      </w:pPr>
    </w:p>
    <w:p>
      <w:pPr>
        <w:ind w:left="1000" w:right="699" w:hanging="348"/>
        <w:spacing w:after="0" w:line="28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the chief executive officer, other executive officers and senior management;</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compensation of directors;</w:t>
      </w:r>
    </w:p>
    <w:p>
      <w:pPr>
        <w:spacing w:after="0" w:line="63" w:lineRule="exact"/>
        <w:rPr>
          <w:rFonts w:ascii="Times New Roman" w:cs="Times New Roman" w:eastAsia="Times New Roman" w:hAnsi="Times New Roman"/>
          <w:sz w:val="18"/>
          <w:szCs w:val="18"/>
          <w:color w:val="auto"/>
        </w:rPr>
      </w:pPr>
    </w:p>
    <w:p>
      <w:pPr>
        <w:ind w:left="1000" w:right="919" w:hanging="348"/>
        <w:spacing w:after="0" w:line="28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ProKidney Incentive Equity Plan (the “Incentive Equity Plan”) and other benefit programs;</w:t>
      </w:r>
    </w:p>
    <w:p>
      <w:pPr>
        <w:spacing w:after="0" w:line="1"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the executive officers and other senior management; and</w:t>
      </w:r>
    </w:p>
    <w:p>
      <w:pPr>
        <w:spacing w:after="0" w:line="13" w:lineRule="exact"/>
        <w:rPr>
          <w:rFonts w:ascii="Times New Roman" w:cs="Times New Roman" w:eastAsia="Times New Roman" w:hAnsi="Times New Roman"/>
          <w:sz w:val="18"/>
          <w:szCs w:val="18"/>
          <w:color w:val="auto"/>
        </w:rPr>
      </w:pPr>
    </w:p>
    <w:p>
      <w:pPr>
        <w:ind w:left="1000" w:right="83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the employees, including the overall compensation philosophy.</w:t>
      </w:r>
    </w:p>
    <w:p>
      <w:pPr>
        <w:spacing w:after="0" w:line="54" w:lineRule="exact"/>
        <w:rPr>
          <w:sz w:val="20"/>
          <w:szCs w:val="20"/>
          <w:color w:val="auto"/>
        </w:rPr>
      </w:pPr>
    </w:p>
    <w:p>
      <w:pPr>
        <w:ind w:left="300" w:right="1059" w:firstLine="360"/>
        <w:spacing w:after="0" w:line="312" w:lineRule="auto"/>
        <w:rPr>
          <w:sz w:val="20"/>
          <w:szCs w:val="20"/>
          <w:color w:val="auto"/>
        </w:rPr>
      </w:pPr>
      <w:r>
        <w:rPr>
          <w:rFonts w:ascii="Times New Roman" w:cs="Times New Roman" w:eastAsia="Times New Roman" w:hAnsi="Times New Roman"/>
          <w:sz w:val="17"/>
          <w:szCs w:val="17"/>
          <w:color w:val="auto"/>
        </w:rPr>
        <w:t>The Talent and Compensation Committee has adopted the following processes and procedures for the consideration and determination of executive and director compensation: In establishing compensation for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executives, the Talent and Compensation Committee seeks to provide compensation that is competitive in light of current market conditions and industry practices. Accordingly, the Talent and Compensation Committee will generally review market data which is comprised of proxy-disclosed data from peer companies and data from nationally recognized published compensation surveys for the life science industry, adjusted for relevant criteria including headcount, company stage of development and market capitalization. The market data assists the committee in gaining perspective on the compensation levels and practices at the peer companies and to assess the relative competitiveness of the compensation paid to our executives and Board. The market data thus guides the Talent and Compensation Committee in its efforts to set executive compensation levels and program targets at competitive levels for comparable roles in the marketplace. The Talent and Compensation Committee then considers other factors, such as the criticality of each executive officer’s role in the company, depth and breadth of experience, internal equity, performance, retention concerns and relevant compensation trends in the marketplace, in making its final compensation determinations.</w:t>
      </w:r>
    </w:p>
    <w:p>
      <w:pPr>
        <w:spacing w:after="0" w:line="82" w:lineRule="exact"/>
        <w:rPr>
          <w:sz w:val="20"/>
          <w:szCs w:val="20"/>
          <w:color w:val="auto"/>
        </w:rPr>
      </w:pPr>
    </w:p>
    <w:p>
      <w:pPr>
        <w:ind w:left="300" w:right="319" w:firstLine="360"/>
        <w:spacing w:after="0" w:line="269" w:lineRule="auto"/>
        <w:rPr>
          <w:sz w:val="20"/>
          <w:szCs w:val="20"/>
          <w:color w:val="auto"/>
        </w:rPr>
      </w:pPr>
      <w:r>
        <w:rPr>
          <w:rFonts w:ascii="Times New Roman" w:cs="Times New Roman" w:eastAsia="Times New Roman" w:hAnsi="Times New Roman"/>
          <w:sz w:val="17"/>
          <w:szCs w:val="17"/>
          <w:color w:val="auto"/>
        </w:rPr>
        <w:t>The Talent and Compensation Committee has the authority to directly retain the services of independent consultants and other experts to assist in fulfilling its responsibilities. The Talent and Compensation Committee has engaged the services of Frederic W. Cook &amp; Co., Inc. (“FW Cook”) to review and provide recommendations concerning the components of the Company’s executive and director compensation program. FW Cook performs services solely on behalf of the Talent and Compensation Committee. FW Cook assists the Talent and Compensation Committee in defining the appropriate market of our peer companies for executive compensation and practices and in benchmarking our executive compensation program against the peer group. FW Cook also assists the Talent and Compensation Committee in benchmarking our director compensation program and practices against those of our peers. The Talent and Compensation Committee has assessed the independence of FW Cook pursuant to SEC rules and the corporate governance rules of The Nasdaq Stock Market and concluded that no conflict of interest exists that would prevent FW Cook from independently representing the Talent and Compensation Committee.</w:t>
      </w:r>
    </w:p>
    <w:p>
      <w:pPr>
        <w:spacing w:after="0" w:line="74"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The Talent and Compensation Committee reviews the performance of each named executive officer in light of the above factors and determines whether the named executive officer should receive any increase in base salary, annual bonus award or receive a discretionary equity award based on such evaluation.</w:t>
      </w:r>
    </w:p>
    <w:p>
      <w:pPr>
        <w:spacing w:after="0" w:line="68"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The Board has adopted a written charter for the Talent and Compensation Committee, which is available on our website at https://www.prokidney.com under Investors—Corporate Governance—Governance Overview.</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Nominating Committee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Nominating Committee met one time during fiscal 2024 and has four members consisting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William F. Doyle, who serves as the chairperson, Brian J.G. Pereira, M.D., Uma Sinha, Ph.D., and José Ignacio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Jiménez Santos. From January to May 2024, the Nominating Committee consisted of John M. Maraganore, Ph.D.,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former director, who served on the committee and as the chairperson until his term of service ended in</w:t>
      </w:r>
    </w:p>
    <w:p>
      <w:pPr>
        <w:spacing w:after="0" w:line="9" w:lineRule="exact"/>
        <w:rPr>
          <w:sz w:val="20"/>
          <w:szCs w:val="20"/>
          <w:color w:val="auto"/>
        </w:rPr>
      </w:pPr>
    </w:p>
    <w:p>
      <w:pPr>
        <w:ind w:left="300" w:right="299"/>
        <w:spacing w:after="0" w:line="290" w:lineRule="auto"/>
        <w:rPr>
          <w:sz w:val="20"/>
          <w:szCs w:val="20"/>
          <w:color w:val="auto"/>
        </w:rPr>
      </w:pPr>
      <w:r>
        <w:rPr>
          <w:rFonts w:ascii="Times New Roman" w:cs="Times New Roman" w:eastAsia="Times New Roman" w:hAnsi="Times New Roman"/>
          <w:sz w:val="17"/>
          <w:szCs w:val="17"/>
          <w:color w:val="auto"/>
        </w:rPr>
        <w:t>May 2024, Brian J.G. Pereira, M.D., Uma Sinha, Ph.D., and José Ignacio Jiménez Santos. The Board has determined that all members of the Nominating Committee qualify as independent under the definition promulgated by Nasdaq.</w:t>
      </w:r>
    </w:p>
    <w:p>
      <w:pPr>
        <w:spacing w:after="0" w:line="49"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The purpose of the nominating and corporate governance committee is to assist the Board in discharging the responsibilities set forth in the Nominating Committee’s written charter and include:</w:t>
      </w:r>
    </w:p>
    <w:p>
      <w:pPr>
        <w:spacing w:after="0" w:line="54" w:lineRule="exact"/>
        <w:rPr>
          <w:sz w:val="20"/>
          <w:szCs w:val="20"/>
          <w:color w:val="auto"/>
        </w:rPr>
      </w:pPr>
    </w:p>
    <w:p>
      <w:pPr>
        <w:ind w:left="1000" w:right="37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shareholders, to serve on the Board;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regarding the composition and chairmanship of the committees of the Board;</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regarding corporate governance guidelines and matters, including in relation to corporate social responsibility; and</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performance of the Board, including its individual directors and committees.</w:t>
      </w:r>
    </w:p>
    <w:p>
      <w:pPr>
        <w:spacing w:after="0" w:line="54" w:lineRule="exact"/>
        <w:rPr>
          <w:sz w:val="20"/>
          <w:szCs w:val="20"/>
          <w:color w:val="auto"/>
        </w:rPr>
      </w:pPr>
    </w:p>
    <w:p>
      <w:pPr>
        <w:jc w:val="both"/>
        <w:ind w:left="300" w:right="699" w:firstLine="360"/>
        <w:spacing w:after="0" w:line="266" w:lineRule="auto"/>
        <w:rPr>
          <w:sz w:val="20"/>
          <w:szCs w:val="20"/>
          <w:color w:val="auto"/>
        </w:rPr>
      </w:pPr>
      <w:r>
        <w:rPr>
          <w:rFonts w:ascii="Times New Roman" w:cs="Times New Roman" w:eastAsia="Times New Roman" w:hAnsi="Times New Roman"/>
          <w:sz w:val="18"/>
          <w:szCs w:val="18"/>
          <w:color w:val="auto"/>
        </w:rPr>
        <w:t>The Board has adopted a written charter for the nominating and corporate governance committee, which is available on our website at https://www.prokidney.com under Investors—Corporate Governance—Governance Overview.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Generally, our Nominating Committee considers candidates recommended by shareholders as well as from other sources such as other directors or officers, third party search firms or other appropriate sources. Once identified, the Nominating Committee will evaluate a candidate’s qualifications in accordance with our Nominating and Governance Committee Policy Regarding Qualifications of Directors appended to our Nominating Committee’s written charter. Threshold criteria include: personal integrity and sound judgment, business and professional skills and experience, independence, knowledge of our industry, possible conflicts of interest, diversity, the extent to which the candidate would fill a present need on the Board, and concern for the long-term interests of our shareholders. Our Nominating Committee has not adopted a formal diversity policy in connection with the consideration of director nominations or the selection of nominees. However, the Nominating Committee will consider issues of diversity among its members in identifying and considering nominees for director, and strive where appropriate to achieve a diverse balance of backgrounds, perspectives, experience, age, gender, ethnicity and country of citizenship on the Board and its committees.</w:t>
      </w:r>
    </w:p>
    <w:p>
      <w:pPr>
        <w:spacing w:after="0" w:line="82"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If a shareholder wishes to propose a candidate for consideration as a nominee for election to the Board, it must follow the procedures described in the Existing Organizational Documents and in “</w:t>
      </w:r>
      <w:r>
        <w:rPr>
          <w:rFonts w:ascii="Times New Roman" w:cs="Times New Roman" w:eastAsia="Times New Roman" w:hAnsi="Times New Roman"/>
          <w:sz w:val="18"/>
          <w:szCs w:val="18"/>
          <w:i w:val="1"/>
          <w:iCs w:val="1"/>
          <w:color w:val="auto"/>
        </w:rPr>
        <w:t>Stockholder Nominations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Proposals</w:t>
      </w:r>
      <w:r>
        <w:rPr>
          <w:rFonts w:ascii="Times New Roman" w:cs="Times New Roman" w:eastAsia="Times New Roman" w:hAnsi="Times New Roman"/>
          <w:sz w:val="18"/>
          <w:szCs w:val="18"/>
          <w:color w:val="auto"/>
        </w:rPr>
        <w:t>” at the end of this proxy statement/prospectus. In general, persons recommended by shareholders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in accordance with our Policy on Shareholder Recommendation of Candidates for Election as Directors appended to our Nominating Committee’s written charter. Any such recommendation should be made in writing to the Nominating Committee, care of our Corporate Secretary at our principal office and should be accompanied by the following information concerning each recommending shareholder and the beneficial owner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any, on whose behalf the nomination is made:</w:t>
      </w:r>
    </w:p>
    <w:p>
      <w:pPr>
        <w:spacing w:after="0" w:line="84" w:lineRule="exact"/>
        <w:rPr>
          <w:sz w:val="20"/>
          <w:szCs w:val="20"/>
          <w:color w:val="auto"/>
        </w:rPr>
      </w:pPr>
    </w:p>
    <w:p>
      <w:pPr>
        <w:ind w:left="1000" w:right="169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person that would be required to be disclosed in a proxy statement/prospectus;</w:t>
      </w:r>
    </w:p>
    <w:p>
      <w:pPr>
        <w:spacing w:after="0" w:line="53"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biographical and share ownership information about the shareholder and any other proponent, including a description of any derivative transactions in the Company’s securities;</w:t>
      </w:r>
    </w:p>
    <w:p>
      <w:pPr>
        <w:spacing w:after="0" w:line="5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certain arrangements and understandings between the proposing shareholder and any beneficial owner and any other person in connection with such shareholder nomination; and</w:t>
      </w:r>
    </w:p>
    <w:p>
      <w:pPr>
        <w:spacing w:after="0" w:line="53" w:lineRule="exact"/>
        <w:rPr>
          <w:rFonts w:ascii="Times New Roman" w:cs="Times New Roman" w:eastAsia="Times New Roman" w:hAnsi="Times New Roman"/>
          <w:sz w:val="18"/>
          <w:szCs w:val="18"/>
          <w:color w:val="auto"/>
        </w:rPr>
      </w:pPr>
    </w:p>
    <w:p>
      <w:pPr>
        <w:ind w:left="1000" w:right="899" w:hanging="348"/>
        <w:spacing w:after="0" w:line="312" w:lineRule="auto"/>
        <w:tabs>
          <w:tab w:leader="none" w:pos="10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whether or not either such shareholder or beneficial owner intends to deliver a proxy statement/prospectus and form of proxy to holders of voting shares sufficient to carry the proposal.</w:t>
      </w:r>
    </w:p>
    <w:p>
      <w:pPr>
        <w:spacing w:after="0" w:line="32" w:lineRule="exact"/>
        <w:rPr>
          <w:sz w:val="20"/>
          <w:szCs w:val="20"/>
          <w:color w:val="auto"/>
        </w:rPr>
      </w:pPr>
    </w:p>
    <w:p>
      <w:pPr>
        <w:ind w:left="300" w:right="959" w:firstLine="360"/>
        <w:spacing w:after="0" w:line="282" w:lineRule="auto"/>
        <w:rPr>
          <w:sz w:val="20"/>
          <w:szCs w:val="20"/>
          <w:color w:val="auto"/>
        </w:rPr>
      </w:pPr>
      <w:r>
        <w:rPr>
          <w:rFonts w:ascii="Times New Roman" w:cs="Times New Roman" w:eastAsia="Times New Roman" w:hAnsi="Times New Roman"/>
          <w:sz w:val="18"/>
          <w:szCs w:val="18"/>
          <w:color w:val="auto"/>
        </w:rPr>
        <w:t>The recommendation must also be accompanied by the following information concerning the proposed nominee:</w:t>
      </w:r>
    </w:p>
    <w:p>
      <w:pPr>
        <w:spacing w:after="0" w:line="54" w:lineRule="exact"/>
        <w:rPr>
          <w:sz w:val="20"/>
          <w:szCs w:val="20"/>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biographical information concerning the proposed nominee;</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concerning the proposed nominee required to be disclosed in solicitations of proxies for election of directors;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about any other security holder of the Company who supports the proposed nominee;</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relationships between the proposed nominee and the recommending shareholder or any beneficial owner, including any agreements or understandings regarding the nomination; and</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disclosures relating to shareholder nominees for directors, including completed questionnaires and disclosures required by the Existing Organizational Documents.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One of the key functions of the Board is to oversee ProKidney’s risk management process. The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our Audit Committee has the responsibility to consider and discuss our major financial risk exposures and the steps our management will take to monitor and control such exposures, including guidelines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and policies to govern the process by which risk assessment and management is undertaken. The Audit Committee also monitors compliance with legal and regulatory requirements. Our Talent and Compensation Committee also assesses and monitors whether our compensation plans, policies and programs comply with applicable legal and regulatory requirements.</w:t>
      </w:r>
    </w:p>
    <w:p>
      <w:pPr>
        <w:spacing w:after="0" w:line="7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Board does not have a policy regarding the separation of the roles of Chief Executive Officer and Chairman of the Board, as the Board believes it is in the best interest of the Company to make that determination based on the position and direction of the Company and the membership of the Board. Currently, two separate individuals serve in the positions of Chief Executive Officer and Chairman of the Board. We believe that our current leadership structure is optimal for the Company at this time.</w:t>
      </w:r>
    </w:p>
    <w:p>
      <w:pPr>
        <w:spacing w:after="0" w:line="75"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Our Board has six independent members and two non-independent directors, our Chief Executive Officer and the Chairman of the board. We believe that the number of independent, experienced directors that make up the Board, along with the oversight of the Board by the Non-Executive Chairman, benefits our company and our shareholders. All of our independent directors have demonstrated leadership in other organizations and are familiar with board of director processes.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 Communications to the Board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Generally, shareholders who have questions or concerns should contact our Investor Relations team at</w:t>
      </w:r>
    </w:p>
    <w:p>
      <w:pPr>
        <w:spacing w:after="0" w:line="27" w:lineRule="exact"/>
        <w:rPr>
          <w:sz w:val="20"/>
          <w:szCs w:val="20"/>
          <w:color w:val="auto"/>
        </w:rPr>
      </w:pPr>
    </w:p>
    <w:p>
      <w:pPr>
        <w:jc w:val="both"/>
        <w:ind w:left="300" w:right="419" w:hanging="8"/>
        <w:spacing w:after="0" w:line="253" w:lineRule="auto"/>
        <w:tabs>
          <w:tab w:leader="none" w:pos="7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999-7028. However, any shareholders who wish to address questions regarding our business directly with the Board, or any individual director, should direct his or her questions in writing to the Chairman of the Board at 2000 Frontis Plaza Blvd., Suite 250, Winston-Salem, North Carolina 27103 / to individual Board members via e-mail at ir@prokidney.com / using the “Investor Contact” page of our website at www.prokidney.com.</w:t>
      </w:r>
    </w:p>
    <w:p>
      <w:pPr>
        <w:spacing w:after="0" w:line="8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Communications will be distributed to the Board, or to any individual director or directors as appropriate, depending on the facts and circumstances outlined in the communications. Items that are unrelated to the duties and responsibilities of the Board may be excluded, such as:</w:t>
      </w:r>
    </w:p>
    <w:p>
      <w:pPr>
        <w:spacing w:after="0" w:line="68" w:lineRule="exact"/>
        <w:rPr>
          <w:sz w:val="20"/>
          <w:szCs w:val="20"/>
          <w:color w:val="auto"/>
        </w:rPr>
      </w:pPr>
    </w:p>
    <w:p>
      <w:pPr>
        <w:ind w:left="640" w:hanging="34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junk mail and mass mailings;</w:t>
      </w:r>
    </w:p>
    <w:p>
      <w:pPr>
        <w:spacing w:after="0" w:line="11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resumes and other forms of job inquiries;</w:t>
      </w:r>
    </w:p>
    <w:p>
      <w:pPr>
        <w:spacing w:after="0" w:line="11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surveys; and</w:t>
      </w:r>
    </w:p>
    <w:p>
      <w:pPr>
        <w:spacing w:after="0" w:line="11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solicitations or advertisements.</w:t>
      </w:r>
    </w:p>
    <w:p>
      <w:pPr>
        <w:spacing w:after="0" w:line="117"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In addition, any material that is unduly hostile, threatening, or illegal in nature may be excluded, in which case it will be made available to any outside director upon request.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as of [•], 2025 regarding our executive officers who are not also directors. We have employment agreements with all of our executive officers.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6"/>
                <w:szCs w:val="16"/>
                <w:color w:val="auto"/>
              </w:rPr>
            </w:pPr>
          </w:p>
        </w:tc>
        <w:tc>
          <w:tcPr>
            <w:tcW w:w="518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5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rPr>
                <w:sz w:val="21"/>
                <w:szCs w:val="21"/>
                <w:color w:val="auto"/>
              </w:rPr>
            </w:pPr>
          </w:p>
        </w:tc>
      </w:tr>
      <w:tr>
        <w:trPr>
          <w:trHeight w:val="23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James Coulston, CPA</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7"/>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Darin J. Weber, Ph.D.</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Regulatory Officer</w:t>
            </w: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Todd C. Girolamo, J.D., MBA</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James Coulston, CPA</w:t>
      </w:r>
    </w:p>
    <w:p>
      <w:pPr>
        <w:spacing w:after="0" w:line="119" w:lineRule="exact"/>
        <w:rPr>
          <w:sz w:val="20"/>
          <w:szCs w:val="20"/>
          <w:color w:val="auto"/>
        </w:rPr>
      </w:pPr>
    </w:p>
    <w:p>
      <w:pPr>
        <w:ind w:left="300" w:right="619" w:firstLine="360"/>
        <w:spacing w:after="0" w:line="272" w:lineRule="auto"/>
        <w:rPr>
          <w:sz w:val="20"/>
          <w:szCs w:val="20"/>
          <w:color w:val="auto"/>
        </w:rPr>
      </w:pPr>
      <w:r>
        <w:rPr>
          <w:rFonts w:ascii="Times New Roman" w:cs="Times New Roman" w:eastAsia="Times New Roman" w:hAnsi="Times New Roman"/>
          <w:sz w:val="17"/>
          <w:szCs w:val="17"/>
          <w:color w:val="auto"/>
        </w:rPr>
        <w:t>Mr. Coulston has served as our Chief Financial Officer since the Closing, having served the Chief Financial Officer of ProKidney-US since January 2022. Prior to that, Mr. Coulston served as ProKidney-US’s Senior Vice President, Finance from January 2021 to December 2021 and ProKidney-US’s Vice President, Finance from February 2019 to December 2020. Before joining ProKidney, from August 2015 to January 2019, Mr. Coulston served as the Executive Director, Finance of Banner Life Sciences LLC, a privately held clinical-stage pharmaceutical company combining a proven history of formulation expertise with proprietary technologies to create specialty pharmaceuticals that solve real unmet clinical needs, where Mr. Coulston oversaw the financial, human resources, and IT activities. From 2007 to 2015, Mr. Coulston held finance roles of increasing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spacing w:after="0" w:line="256" w:lineRule="auto"/>
        <w:rPr>
          <w:sz w:val="20"/>
          <w:szCs w:val="20"/>
          <w:color w:val="auto"/>
        </w:rPr>
      </w:pPr>
      <w:r>
        <w:rPr>
          <w:rFonts w:ascii="Times New Roman" w:cs="Times New Roman" w:eastAsia="Times New Roman" w:hAnsi="Times New Roman"/>
          <w:sz w:val="18"/>
          <w:szCs w:val="18"/>
          <w:color w:val="auto"/>
        </w:rPr>
        <w:t>responsibility at Targacept Inc. (Nasdaq: TRGT), a clinical-stage biopharmaceutical company developing novel NNR Therapeutics™ before it merged with and into Catalyst Biosciences, Inc. (Nasdaq: CBIO), a clinical-stage biopharmaceutical company focused on creating and developing novel medicines to address serious medical conditions, including Senior Director, Finance and Controller. Mr. Coulston earned his B.S. and master degree in Accounting from North Carolina State University and is a Certified Public Accountant in the state of North Carolina.</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Darin J. Weber, Ph.D.</w:t>
      </w:r>
    </w:p>
    <w:p>
      <w:pPr>
        <w:spacing w:after="0" w:line="119"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Dr. Weber has served as our Chief Regulatory Officer since December 2022, having served as ProKidney-US’s Senior Vice President of Regulatory Development since September 2020, where he is responsible for leading the development and implementation of ProKidney’s regulatory strategy in all markets, worldwide, and interfacing with regulatory authorities. Prior to his current position, he served as Senior Vice President of Regulatory Development from the Closing until December 2022. Dr. Weber has over 25 years of experience in cellular and tissue-based regenerative medicine products, with previous roles as Senior Vice President of Regulatory and Quality at Medeor Therapeutics, from February 2016 to December 2019; Executive Vice President of Global Regulatory Affairs and Quality Management at Mesoblast, from June 2011 to February 2016; Senior Consultant for Cell and Gene Therapies at Biologics Consulting Group from February 2004 to May 2011, and positions of increasing responsibility at the FDA’s CBER, including as Chief of Cellular Therapies Branch in the Office of Cellular, Tissues and Gene Therapies, (now known as the Office of Tissues and Advanced Therapies) from September 1996 to January 2004. He is a long-serving member of United States Pharmacopeia (USP) expert committees for human tissues and advanced therapies. Dr. Weber received his B.S. in Molecular Biology from The Evergreen State College and a Ph.D. in Biochemistry and Biophysics from Oregon State University.</w:t>
      </w:r>
    </w:p>
    <w:p>
      <w:pPr>
        <w:spacing w:after="0" w:line="3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Todd C. Girolamo</w:t>
      </w:r>
    </w:p>
    <w:p>
      <w:pPr>
        <w:spacing w:after="0" w:line="119" w:lineRule="exact"/>
        <w:rPr>
          <w:sz w:val="20"/>
          <w:szCs w:val="20"/>
          <w:color w:val="auto"/>
        </w:rPr>
      </w:pPr>
    </w:p>
    <w:p>
      <w:pPr>
        <w:ind w:left="300" w:right="359" w:firstLine="360"/>
        <w:spacing w:after="0" w:line="270" w:lineRule="auto"/>
        <w:rPr>
          <w:sz w:val="20"/>
          <w:szCs w:val="20"/>
          <w:color w:val="auto"/>
        </w:rPr>
      </w:pPr>
      <w:r>
        <w:rPr>
          <w:rFonts w:ascii="Times New Roman" w:cs="Times New Roman" w:eastAsia="Times New Roman" w:hAnsi="Times New Roman"/>
          <w:sz w:val="17"/>
          <w:szCs w:val="17"/>
          <w:color w:val="auto"/>
        </w:rPr>
        <w:t>Mr. Girolamo has served as our Chief Legal Officer since the Closing and as the Chief Legal Officer of ProKidney-US since March 2022. Prior to that, Mr. Girolamo spent 11 years at Caladrius Biosciences, Inc. (Nasdaq: CLBS) (now Lisata Therapeutics, Inc. (Nasdaq: LSTA)), where he served as Chief Legal Officer, Senior Vice President of Corporate Development and Corporate Secretary. Mr. Girolamo began his legal career at Cahill Gordon</w:t>
      </w:r>
    </w:p>
    <w:p>
      <w:pPr>
        <w:spacing w:after="0" w:line="3" w:lineRule="exact"/>
        <w:rPr>
          <w:sz w:val="20"/>
          <w:szCs w:val="20"/>
          <w:color w:val="auto"/>
        </w:rPr>
      </w:pPr>
    </w:p>
    <w:p>
      <w:pPr>
        <w:ind w:left="300" w:right="499" w:hanging="8"/>
        <w:spacing w:after="0" w:line="252" w:lineRule="auto"/>
        <w:tabs>
          <w:tab w:leader="none" w:pos="4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Reindel in 1990 and later at Reid &amp; Priest, practicing in the areas of securities law, intellectual property, employment law and general commercial litigation. After private practice, Mr. Girolamo spent 12 years on Wall Street in institutional equities as a series 24, 7 and 63 licensed principal at Oppenheimer &amp; Co., CIBC World Markets, Leerink Swann and Summer Street Research Partners where he specialized in equity research, sales, and trading of biotechnology, pharmaceuticals and medical technology market sectors. Mr. Girolamo then served as an analyst and portfolio manager at Lion’s Path Capital managing a long-short portfolio of biopharma and med-tech equities.</w:t>
      </w:r>
    </w:p>
    <w:p>
      <w:pPr>
        <w:spacing w:after="0" w:line="80"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Mr. Girolamo received an A.B. with honors from Harvard College, a J.D. from the University of Pennsylvania Law School and an MBA from Columbia Business School.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9"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discusses the material components of the executive compensation program for our named executive officers (the “NEOs”) who are identified in the Summary Compensation Table below. This discussion may contain forward-looking statements that are based on our current plans, considerations, expectations and determinations regarding future compensation programs.</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2024, ProKidney’s NEOs were:</w:t>
      </w:r>
    </w:p>
    <w:p>
      <w:pPr>
        <w:spacing w:after="0" w:line="117" w:lineRule="exact"/>
        <w:rPr>
          <w:sz w:val="20"/>
          <w:szCs w:val="20"/>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Bruce Culleton, M.D.,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Todd C. Girolamo J.D., MBA, Chief Legal Officer;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Ulrich Ernst, Ph.D., Executive Vice President, Technical Operations. </w:t>
      </w:r>
    </w:p>
    <w:p>
      <w:pPr>
        <w:spacing w:after="0" w:line="117" w:lineRule="exact"/>
        <w:rPr>
          <w:sz w:val="20"/>
          <w:szCs w:val="20"/>
          <w:color w:val="auto"/>
        </w:rPr>
      </w:pPr>
    </w:p>
    <w:p>
      <w:pPr>
        <w:ind w:left="300" w:right="12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compensation for the years ended December 31, 2024 and 2023 earned by, awarded to or paid to our NEOs.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Bonus</w:t>
            </w: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6"/>
                <w:szCs w:val="16"/>
                <w:color w:val="auto"/>
              </w:rPr>
            </w:pPr>
          </w:p>
        </w:tc>
        <w:tc>
          <w:tcPr>
            <w:tcW w:w="7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Position(s)</w:t>
            </w:r>
          </w:p>
        </w:tc>
        <w:tc>
          <w:tcPr>
            <w:tcW w:w="12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(1)</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(2)</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90"/>
        </w:trPr>
        <w:tc>
          <w:tcPr>
            <w:tcW w:w="244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Bruce Culleton, M.D.</w:t>
            </w:r>
            <w:r>
              <w:rPr>
                <w:rFonts w:ascii="Times New Roman" w:cs="Times New Roman" w:eastAsia="Times New Roman" w:hAnsi="Times New Roman"/>
                <w:sz w:val="29"/>
                <w:szCs w:val="29"/>
                <w:color w:val="auto"/>
                <w:vertAlign w:val="superscript"/>
              </w:rPr>
              <w:t>(3)</w:t>
            </w:r>
          </w:p>
        </w:tc>
        <w:tc>
          <w:tcPr>
            <w:tcW w:w="12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375,000</w:t>
            </w:r>
          </w:p>
        </w:tc>
        <w:tc>
          <w:tcPr>
            <w:tcW w:w="1020" w:type="dxa"/>
            <w:vAlign w:val="bottom"/>
            <w:gridSpan w:val="2"/>
            <w:shd w:val="clear" w:color="auto" w:fill="CCEEFF"/>
          </w:tcPr>
          <w:p>
            <w:pPr>
              <w:jc w:val="right"/>
              <w:spacing w:after="0" w:line="291" w:lineRule="exact"/>
              <w:rPr>
                <w:sz w:val="20"/>
                <w:szCs w:val="20"/>
                <w:color w:val="auto"/>
              </w:rPr>
            </w:pPr>
            <w:r>
              <w:rPr>
                <w:rFonts w:ascii="Times New Roman" w:cs="Times New Roman" w:eastAsia="Times New Roman" w:hAnsi="Times New Roman"/>
                <w:sz w:val="18"/>
                <w:szCs w:val="18"/>
                <w:color w:val="auto"/>
              </w:rPr>
              <w:t>15,802</w:t>
            </w:r>
            <w:r>
              <w:rPr>
                <w:rFonts w:ascii="Times New Roman" w:cs="Times New Roman" w:eastAsia="Times New Roman" w:hAnsi="Times New Roman"/>
                <w:sz w:val="29"/>
                <w:szCs w:val="29"/>
                <w:color w:val="auto"/>
                <w:vertAlign w:val="superscript"/>
              </w:rPr>
              <w:t>(4)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1,015,802</w:t>
            </w:r>
          </w:p>
        </w:tc>
        <w:tc>
          <w:tcPr>
            <w:tcW w:w="0" w:type="dxa"/>
            <w:vAlign w:val="bottom"/>
          </w:tcPr>
          <w:p>
            <w:pPr>
              <w:spacing w:after="0"/>
              <w:rPr>
                <w:sz w:val="1"/>
                <w:szCs w:val="1"/>
                <w:color w:val="auto"/>
              </w:rPr>
            </w:pPr>
          </w:p>
        </w:tc>
      </w:tr>
      <w:tr>
        <w:trPr>
          <w:trHeight w:val="283"/>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2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244,961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8,345,464</w:t>
            </w:r>
          </w:p>
        </w:tc>
        <w:tc>
          <w:tcPr>
            <w:tcW w:w="10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120,824</w:t>
            </w:r>
          </w:p>
        </w:tc>
        <w:tc>
          <w:tcPr>
            <w:tcW w:w="1020" w:type="dxa"/>
            <w:vAlign w:val="bottom"/>
            <w:gridSpan w:val="2"/>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891</w:t>
            </w:r>
            <w:r>
              <w:rPr>
                <w:rFonts w:ascii="Times New Roman" w:cs="Times New Roman" w:eastAsia="Times New Roman" w:hAnsi="Times New Roman"/>
                <w:sz w:val="29"/>
                <w:szCs w:val="29"/>
                <w:color w:val="auto"/>
                <w:vertAlign w:val="superscript"/>
              </w:rPr>
              <w:t>(5)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8,712,140</w:t>
            </w:r>
          </w:p>
        </w:tc>
        <w:tc>
          <w:tcPr>
            <w:tcW w:w="0" w:type="dxa"/>
            <w:vAlign w:val="bottom"/>
          </w:tcPr>
          <w:p>
            <w:pPr>
              <w:spacing w:after="0"/>
              <w:rPr>
                <w:sz w:val="1"/>
                <w:szCs w:val="1"/>
                <w:color w:val="auto"/>
              </w:rPr>
            </w:pPr>
          </w:p>
        </w:tc>
      </w:tr>
      <w:tr>
        <w:trPr>
          <w:trHeight w:val="284"/>
        </w:trPr>
        <w:tc>
          <w:tcPr>
            <w:tcW w:w="2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Todd C. Girolamo</w:t>
            </w:r>
          </w:p>
        </w:tc>
        <w:tc>
          <w:tcPr>
            <w:tcW w:w="12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20" w:type="dxa"/>
            <w:vAlign w:val="bottom"/>
          </w:tcPr>
          <w:p>
            <w:pPr>
              <w:spacing w:after="0"/>
              <w:rPr>
                <w:sz w:val="24"/>
                <w:szCs w:val="24"/>
                <w:color w:val="auto"/>
              </w:rPr>
            </w:pP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625,041</w:t>
            </w:r>
          </w:p>
        </w:tc>
        <w:tc>
          <w:tcPr>
            <w:tcW w:w="10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195,075</w:t>
            </w:r>
          </w:p>
        </w:tc>
        <w:tc>
          <w:tcPr>
            <w:tcW w:w="1020" w:type="dxa"/>
            <w:vAlign w:val="bottom"/>
            <w:gridSpan w:val="2"/>
          </w:tcPr>
          <w:p>
            <w:pPr>
              <w:jc w:val="right"/>
              <w:spacing w:after="0" w:line="284" w:lineRule="exact"/>
              <w:rPr>
                <w:sz w:val="20"/>
                <w:szCs w:val="20"/>
                <w:color w:val="auto"/>
              </w:rPr>
            </w:pPr>
            <w:r>
              <w:rPr>
                <w:rFonts w:ascii="Times New Roman" w:cs="Times New Roman" w:eastAsia="Times New Roman" w:hAnsi="Times New Roman"/>
                <w:sz w:val="18"/>
                <w:szCs w:val="18"/>
                <w:color w:val="auto"/>
              </w:rPr>
              <w:t>15,783</w:t>
            </w:r>
            <w:r>
              <w:rPr>
                <w:rFonts w:ascii="Times New Roman" w:cs="Times New Roman" w:eastAsia="Times New Roman" w:hAnsi="Times New Roman"/>
                <w:sz w:val="29"/>
                <w:szCs w:val="29"/>
                <w:color w:val="auto"/>
                <w:vertAlign w:val="superscript"/>
              </w:rPr>
              <w:t>(6)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1,260,899</w:t>
            </w:r>
          </w:p>
        </w:tc>
        <w:tc>
          <w:tcPr>
            <w:tcW w:w="0" w:type="dxa"/>
            <w:vAlign w:val="bottom"/>
          </w:tcPr>
          <w:p>
            <w:pPr>
              <w:spacing w:after="0"/>
              <w:rPr>
                <w:sz w:val="1"/>
                <w:szCs w:val="1"/>
                <w:color w:val="auto"/>
              </w:rPr>
            </w:pPr>
          </w:p>
        </w:tc>
      </w:tr>
      <w:tr>
        <w:trPr>
          <w:trHeight w:val="34"/>
        </w:trPr>
        <w:tc>
          <w:tcPr>
            <w:tcW w:w="2440" w:type="dxa"/>
            <w:vAlign w:val="bottom"/>
            <w:vMerge w:val="continue"/>
          </w:tcPr>
          <w:p>
            <w:pPr>
              <w:spacing w:after="0"/>
              <w:rPr>
                <w:sz w:val="2"/>
                <w:szCs w:val="2"/>
                <w:color w:val="auto"/>
              </w:rPr>
            </w:pPr>
          </w:p>
        </w:tc>
        <w:tc>
          <w:tcPr>
            <w:tcW w:w="48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20" w:type="dxa"/>
            <w:vAlign w:val="bottom"/>
          </w:tcPr>
          <w:p>
            <w:pPr>
              <w:spacing w:after="0"/>
              <w:rPr>
                <w:sz w:val="2"/>
                <w:szCs w:val="2"/>
                <w:color w:val="auto"/>
              </w:rPr>
            </w:pPr>
          </w:p>
        </w:tc>
        <w:tc>
          <w:tcPr>
            <w:tcW w:w="38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
                <w:szCs w:val="2"/>
                <w:color w:val="auto"/>
              </w:rPr>
            </w:pPr>
          </w:p>
        </w:tc>
        <w:tc>
          <w:tcPr>
            <w:tcW w:w="460" w:type="dxa"/>
            <w:vAlign w:val="bottom"/>
            <w:vMerge w:val="restart"/>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1,753,456</w:t>
            </w:r>
          </w:p>
        </w:tc>
        <w:tc>
          <w:tcPr>
            <w:tcW w:w="100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8"/>
                <w:szCs w:val="18"/>
                <w:color w:val="auto"/>
              </w:rPr>
              <w:t>101,660</w:t>
            </w:r>
          </w:p>
        </w:tc>
        <w:tc>
          <w:tcPr>
            <w:tcW w:w="1020" w:type="dxa"/>
            <w:vAlign w:val="bottom"/>
            <w:gridSpan w:val="2"/>
            <w:vMerge w:val="restart"/>
          </w:tcPr>
          <w:p>
            <w:pPr>
              <w:jc w:val="right"/>
              <w:spacing w:after="0" w:line="284" w:lineRule="exact"/>
              <w:rPr>
                <w:sz w:val="20"/>
                <w:szCs w:val="20"/>
                <w:color w:val="auto"/>
              </w:rPr>
            </w:pPr>
            <w:r>
              <w:rPr>
                <w:rFonts w:ascii="Times New Roman" w:cs="Times New Roman" w:eastAsia="Times New Roman" w:hAnsi="Times New Roman"/>
                <w:sz w:val="18"/>
                <w:szCs w:val="18"/>
                <w:color w:val="auto"/>
              </w:rPr>
              <w:t>14,926</w:t>
            </w:r>
            <w:r>
              <w:rPr>
                <w:rFonts w:ascii="Times New Roman" w:cs="Times New Roman" w:eastAsia="Times New Roman" w:hAnsi="Times New Roman"/>
                <w:sz w:val="29"/>
                <w:szCs w:val="29"/>
                <w:color w:val="auto"/>
                <w:vertAlign w:val="superscript"/>
              </w:rPr>
              <w:t>(6)</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2,295,042</w:t>
            </w:r>
          </w:p>
        </w:tc>
        <w:tc>
          <w:tcPr>
            <w:tcW w:w="0" w:type="dxa"/>
            <w:vAlign w:val="bottom"/>
          </w:tcPr>
          <w:p>
            <w:pPr>
              <w:spacing w:after="0" w:line="20" w:lineRule="exact"/>
              <w:rPr>
                <w:sz w:val="1"/>
                <w:szCs w:val="1"/>
                <w:color w:val="auto"/>
              </w:rPr>
            </w:pPr>
          </w:p>
        </w:tc>
      </w:tr>
      <w:tr>
        <w:trPr>
          <w:trHeight w:val="250"/>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Legal Officer</w:t>
            </w:r>
          </w:p>
        </w:tc>
        <w:tc>
          <w:tcPr>
            <w:tcW w:w="480" w:type="dxa"/>
            <w:vAlign w:val="bottom"/>
            <w:gridSpan w:val="2"/>
            <w:vMerge w:val="continue"/>
          </w:tcPr>
          <w:p>
            <w:pPr>
              <w:spacing w:after="0"/>
              <w:rPr>
                <w:sz w:val="21"/>
                <w:szCs w:val="21"/>
                <w:color w:val="auto"/>
              </w:rPr>
            </w:pPr>
          </w:p>
        </w:tc>
        <w:tc>
          <w:tcPr>
            <w:tcW w:w="7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Ulrich Ernst, Ph.D.</w:t>
            </w:r>
            <w:r>
              <w:rPr>
                <w:rFonts w:ascii="Times New Roman" w:cs="Times New Roman" w:eastAsia="Times New Roman" w:hAnsi="Times New Roman"/>
                <w:sz w:val="28"/>
                <w:szCs w:val="28"/>
                <w:color w:val="auto"/>
                <w:vertAlign w:val="superscript"/>
              </w:rPr>
              <w:t>(7)</w:t>
            </w:r>
          </w:p>
        </w:tc>
        <w:tc>
          <w:tcPr>
            <w:tcW w:w="12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328,846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665,285</w:t>
            </w:r>
          </w:p>
        </w:tc>
        <w:tc>
          <w:tcPr>
            <w:tcW w:w="10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144,205</w:t>
            </w:r>
          </w:p>
        </w:tc>
        <w:tc>
          <w:tcPr>
            <w:tcW w:w="102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17"/>
                <w:szCs w:val="17"/>
                <w:color w:val="auto"/>
              </w:rPr>
              <w:t>50,381</w:t>
            </w:r>
            <w:r>
              <w:rPr>
                <w:rFonts w:ascii="Times New Roman" w:cs="Times New Roman" w:eastAsia="Times New Roman" w:hAnsi="Times New Roman"/>
                <w:sz w:val="28"/>
                <w:szCs w:val="28"/>
                <w:color w:val="auto"/>
                <w:vertAlign w:val="superscript"/>
              </w:rPr>
              <w:t>(8)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1,188,717</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Executive Vice</w:t>
            </w: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Technical</w:t>
            </w: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Operations</w:t>
            </w:r>
          </w:p>
        </w:tc>
        <w:tc>
          <w:tcPr>
            <w:tcW w:w="120" w:type="dxa"/>
            <w:vAlign w:val="bottom"/>
            <w:tcBorders>
              <w:right w:val="single" w:sz="8" w:color="CCEEFF"/>
            </w:tcBorders>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440" w:type="dxa"/>
            <w:vAlign w:val="bottom"/>
            <w:shd w:val="clear" w:color="auto" w:fill="CCEEFF"/>
          </w:tcPr>
          <w:p>
            <w:pPr>
              <w:spacing w:after="0"/>
              <w:rPr>
                <w:sz w:val="4"/>
                <w:szCs w:val="4"/>
                <w:color w:val="auto"/>
              </w:rPr>
            </w:pPr>
          </w:p>
        </w:tc>
        <w:tc>
          <w:tcPr>
            <w:tcW w:w="120" w:type="dxa"/>
            <w:vAlign w:val="bottom"/>
            <w:tcBorders>
              <w:right w:val="single" w:sz="8" w:color="CCEEFF"/>
            </w:tcBorders>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-33655</wp:posOffset>
            </wp:positionV>
            <wp:extent cx="3429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79" w:hanging="348"/>
        <w:spacing w:after="0" w:line="233"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grant date fair value of stock options granted during 2024, as computed in accordance with ASC Topic 718, not including any estimates of forfeiture. See Notes 2 and 10 of “Notes to Consolidated Financial Statements” in our Annual Report on Form 10-K for the year ended December 31, 2024 for a discussion of assumptions used in determining the grant date fair value of our option awards for fiscal year ended December 31, 2024. Note that amounts reported in this column reflect the accounting cost for these stock options and do not correspond to actual economic value that may be received by the executives from the stock options.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bonuses earned by the named executive officers pursuant to our Non-Equity Incentive Compensation Plan for performance.</w:t>
      </w:r>
    </w:p>
    <w:p>
      <w:pPr>
        <w:spacing w:after="0" w:line="41" w:lineRule="exact"/>
        <w:rPr>
          <w:rFonts w:ascii="Times New Roman" w:cs="Times New Roman" w:eastAsia="Times New Roman" w:hAnsi="Times New Roman"/>
          <w:sz w:val="14"/>
          <w:szCs w:val="14"/>
          <w:color w:val="auto"/>
        </w:rPr>
      </w:pPr>
    </w:p>
    <w:p>
      <w:pPr>
        <w:ind w:left="640" w:right="55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Culleton commenced employment as our Executive Vice President, Clinical Development and Commercialization on July 17, 2023. Dr. Culleton was appointed as Chief Executive Officer effective November 15, 2023.</w:t>
      </w:r>
    </w:p>
    <w:p>
      <w:pPr>
        <w:ind w:left="640"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all other compensation paid to Dr. Culleton including: (1) matching contributions to the 401(k) plan of $14,067 and</w:t>
      </w:r>
    </w:p>
    <w:p>
      <w:pPr>
        <w:spacing w:after="0" w:line="3" w:lineRule="exact"/>
        <w:rPr>
          <w:rFonts w:ascii="Times New Roman" w:cs="Times New Roman" w:eastAsia="Times New Roman" w:hAnsi="Times New Roman"/>
          <w:sz w:val="14"/>
          <w:szCs w:val="14"/>
          <w:color w:val="auto"/>
        </w:rPr>
      </w:pPr>
    </w:p>
    <w:p>
      <w:pPr>
        <w:ind w:left="640" w:right="67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insurance premiums with respect to a group life insurance policy, a group short-term disability policy, a group long-term disability policy, an accidental death and dismemberment policy, and flexible spending accounts.</w:t>
      </w:r>
    </w:p>
    <w:p>
      <w:pPr>
        <w:spacing w:after="0" w:line="14" w:lineRule="exact"/>
        <w:rPr>
          <w:rFonts w:ascii="Times New Roman" w:cs="Times New Roman" w:eastAsia="Times New Roman" w:hAnsi="Times New Roman"/>
          <w:sz w:val="14"/>
          <w:szCs w:val="14"/>
          <w:color w:val="auto"/>
        </w:rPr>
      </w:pPr>
    </w:p>
    <w:p>
      <w:pPr>
        <w:ind w:left="640" w:right="379" w:hanging="348"/>
        <w:spacing w:after="0" w:line="24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all other compensation paid to Dr. Culleton including insurance premiums with respect to a group life insurance policy, a group short-term disability policy, a group long-term disability policy, an accidental death and dismemberment policy, and flexible spending accounts.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all other compensation paid to Mr. Girolamo including: (1) the matching contributions to the 401(k) plan of $14,048 and</w:t>
      </w:r>
    </w:p>
    <w:p>
      <w:pPr>
        <w:spacing w:after="0" w:line="3" w:lineRule="exact"/>
        <w:rPr>
          <w:rFonts w:ascii="Times New Roman" w:cs="Times New Roman" w:eastAsia="Times New Roman" w:hAnsi="Times New Roman"/>
          <w:sz w:val="14"/>
          <w:szCs w:val="14"/>
          <w:color w:val="auto"/>
        </w:rPr>
      </w:pPr>
    </w:p>
    <w:p>
      <w:pPr>
        <w:ind w:left="640" w:right="339"/>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$13,488 for the years ended December 31, 2024 and 2023, respectively and (2) insurance premiums with respect to a group life insurance policy, a group short-term disability policy, a group long-term disability policy, an accidental death and dismemberment policy, and flexible spending accounts.</w:t>
      </w:r>
    </w:p>
    <w:p>
      <w:pPr>
        <w:spacing w:after="0" w:line="14" w:lineRule="exact"/>
        <w:rPr>
          <w:rFonts w:ascii="Times New Roman" w:cs="Times New Roman" w:eastAsia="Times New Roman" w:hAnsi="Times New Roman"/>
          <w:sz w:val="14"/>
          <w:szCs w:val="14"/>
          <w:color w:val="auto"/>
        </w:rPr>
      </w:pPr>
    </w:p>
    <w:p>
      <w:pPr>
        <w:ind w:left="640" w:right="57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Ernst commenced employment as our Executive Vice President, Technical Operations on March 25, 2024. Dr. Ernst was terminated effective March 3, 2025.</w:t>
      </w:r>
    </w:p>
    <w:p>
      <w:pPr>
        <w:ind w:left="640" w:right="359" w:hanging="348"/>
        <w:spacing w:after="0" w:line="24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all other compensation paid to Dr. Ernst including (1) $49,058 of relocation assistance and (2) insurance premiums with respect to a group life insurance policy, a group short-term disability policy, a group long-term disability policy, an accidental death and dismemberment policy, and flexible spending accounts.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Executive Officers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executive compensation program is designed to:</w:t>
      </w:r>
    </w:p>
    <w:p>
      <w:pPr>
        <w:spacing w:after="0" w:line="117" w:lineRule="exact"/>
        <w:rPr>
          <w:sz w:val="20"/>
          <w:szCs w:val="20"/>
          <w:color w:val="auto"/>
        </w:rPr>
      </w:pPr>
    </w:p>
    <w:p>
      <w:pPr>
        <w:ind w:left="1000" w:right="339" w:hanging="348"/>
        <w:spacing w:after="0" w:line="26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senior management leaders who are capable of advancing our mission and strategy and, ultimately, creating and maintaining long-term equity value. Such leaders must engage in a collaborative approach and possess the ability to execute our business strategy in an industry characterized by competitiveness and growth;</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senior management in a manner aligned with our financial performance; and</w:t>
      </w:r>
    </w:p>
    <w:p>
      <w:pPr>
        <w:spacing w:after="0" w:line="117" w:lineRule="exact"/>
        <w:rPr>
          <w:rFonts w:ascii="Times New Roman" w:cs="Times New Roman" w:eastAsia="Times New Roman" w:hAnsi="Times New Roman"/>
          <w:sz w:val="18"/>
          <w:szCs w:val="18"/>
          <w:color w:val="auto"/>
        </w:rPr>
      </w:pPr>
    </w:p>
    <w:p>
      <w:pPr>
        <w:ind w:left="1000" w:right="117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senior management’s interests with our equity owners’ long-term interests through equity participation and ownership.</w:t>
      </w:r>
    </w:p>
    <w:p>
      <w:pPr>
        <w:spacing w:after="0" w:line="54"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Decisions with respect to the compensation of our executive officers, including our named executive officers, are made by the Talent and Compensation Committee of the Board. Compensation for our executive officers has the following components: base salary, cash bonus opportunities, long-term incentive compensation, broad-based employee benefits, and severance benefits. Base salaries, broad-based employee benefits, supplemental executive perquisites and severance benefits are designed to attract and retain senior management talent. We also use cash bonuses and long-term equity awards to promote performance-based pay that aligns the interests of our NEOs with the long-term interests of our equity owners and to enhance executive retention.</w:t>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base salaries for our NEOs are subject to adjustments made by the Talent and Compensation Committee, including in connection with our annual review of our NEOs’ base salaries. We did not increase base salaries for our NEOs during 2024.</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Non-Equity Incentive Compensation</w:t>
      </w:r>
    </w:p>
    <w:p>
      <w:pPr>
        <w:spacing w:after="0" w:line="119" w:lineRule="exact"/>
        <w:rPr>
          <w:sz w:val="20"/>
          <w:szCs w:val="20"/>
          <w:color w:val="auto"/>
        </w:rPr>
      </w:pPr>
    </w:p>
    <w:p>
      <w:pPr>
        <w:ind w:left="300" w:right="299" w:firstLine="360"/>
        <w:spacing w:after="0" w:line="274" w:lineRule="auto"/>
        <w:rPr>
          <w:sz w:val="20"/>
          <w:szCs w:val="20"/>
          <w:color w:val="auto"/>
        </w:rPr>
      </w:pPr>
      <w:r>
        <w:rPr>
          <w:rFonts w:ascii="Times New Roman" w:cs="Times New Roman" w:eastAsia="Times New Roman" w:hAnsi="Times New Roman"/>
          <w:sz w:val="17"/>
          <w:szCs w:val="17"/>
          <w:color w:val="auto"/>
        </w:rPr>
        <w:t>We use annual cash incentive bonuses for the NEOs to motivate their achievement of short-term performance goals and tie a portion of their cash compensation to performance. Near the beginning of each year, the Talent and Compensation Committee will approve the performance targets, target amounts, target award opportunities and other terms and conditions of annual cash bonuses for the NEOs, subject to the terms of their employment agreements. Following the end of each year, the Talent and Compensation Committee will determine the extent to which the performance targets were achieved and the amount of the award that is payable to the named executive officers.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2024, the Talent and Compensation Committee approved a corporate goal achievement of 100%.</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Actual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1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3940" w:type="dxa"/>
            <w:vAlign w:val="bottom"/>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Base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w:t>
            </w:r>
          </w:p>
        </w:tc>
        <w:tc>
          <w:tcPr>
            <w:tcW w:w="0" w:type="dxa"/>
            <w:vAlign w:val="bottom"/>
          </w:tcPr>
          <w:p>
            <w:pPr>
              <w:spacing w:after="0"/>
              <w:rPr>
                <w:sz w:val="1"/>
                <w:szCs w:val="1"/>
                <w:color w:val="auto"/>
              </w:rPr>
            </w:pPr>
          </w:p>
        </w:tc>
      </w:tr>
      <w:tr>
        <w:trPr>
          <w:trHeight w:val="190"/>
        </w:trPr>
        <w:tc>
          <w:tcPr>
            <w:tcW w:w="1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6"/>
                <w:szCs w:val="16"/>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6"/>
                <w:szCs w:val="16"/>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0" w:type="dxa"/>
            <w:vAlign w:val="bottom"/>
          </w:tcPr>
          <w:p>
            <w:pPr>
              <w:spacing w:after="0"/>
              <w:rPr>
                <w:sz w:val="1"/>
                <w:szCs w:val="1"/>
                <w:color w:val="auto"/>
              </w:rPr>
            </w:pPr>
          </w:p>
        </w:tc>
      </w:tr>
      <w:tr>
        <w:trPr>
          <w:trHeight w:val="23"/>
        </w:trPr>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Culleton, M.D.</w:t>
            </w:r>
          </w:p>
        </w:tc>
        <w:tc>
          <w:tcPr>
            <w:tcW w:w="120" w:type="dxa"/>
            <w:vAlign w:val="bottom"/>
            <w:shd w:val="clear" w:color="auto" w:fill="CCEEFF"/>
          </w:tcPr>
          <w:p>
            <w:pPr>
              <w:spacing w:after="0"/>
              <w:rPr>
                <w:sz w:val="21"/>
                <w:szCs w:val="21"/>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7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$375,000</w:t>
            </w:r>
          </w:p>
        </w:tc>
        <w:tc>
          <w:tcPr>
            <w:tcW w:w="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4"/>
              </w:rPr>
              <w:t>60.0%</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$120,824</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49.3%</w:t>
            </w:r>
          </w:p>
        </w:tc>
        <w:tc>
          <w:tcPr>
            <w:tcW w:w="0" w:type="dxa"/>
            <w:vAlign w:val="bottom"/>
          </w:tcPr>
          <w:p>
            <w:pPr>
              <w:spacing w:after="0"/>
              <w:rPr>
                <w:sz w:val="1"/>
                <w:szCs w:val="1"/>
                <w:color w:val="auto"/>
              </w:rPr>
            </w:pPr>
          </w:p>
        </w:tc>
      </w:tr>
      <w:tr>
        <w:trPr>
          <w:trHeight w:val="239"/>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Todd C. Girolamo</w:t>
            </w: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c>
          <w:tcPr>
            <w:tcW w:w="780" w:type="dxa"/>
            <w:vAlign w:val="bottom"/>
            <w:gridSpan w:val="2"/>
          </w:tcPr>
          <w:p>
            <w:pPr>
              <w:jc w:val="center"/>
              <w:ind w:left="15"/>
              <w:spacing w:after="0"/>
              <w:rPr>
                <w:sz w:val="20"/>
                <w:szCs w:val="20"/>
                <w:color w:val="auto"/>
              </w:rPr>
            </w:pPr>
            <w:r>
              <w:rPr>
                <w:rFonts w:ascii="Times New Roman" w:cs="Times New Roman" w:eastAsia="Times New Roman" w:hAnsi="Times New Roman"/>
                <w:sz w:val="18"/>
                <w:szCs w:val="18"/>
                <w:color w:val="auto"/>
              </w:rPr>
              <w:t>$195,075</w:t>
            </w: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4"/>
              </w:rPr>
              <w:t>45.9%</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$101,660</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23.9%</w:t>
            </w:r>
          </w:p>
        </w:tc>
        <w:tc>
          <w:tcPr>
            <w:tcW w:w="0" w:type="dxa"/>
            <w:vAlign w:val="bottom"/>
          </w:tcPr>
          <w:p>
            <w:pPr>
              <w:spacing w:after="0"/>
              <w:rPr>
                <w:sz w:val="1"/>
                <w:szCs w:val="1"/>
                <w:color w:val="auto"/>
              </w:rPr>
            </w:pPr>
          </w:p>
        </w:tc>
      </w:tr>
      <w:tr>
        <w:trPr>
          <w:trHeight w:val="215"/>
        </w:trPr>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Executive Vice President, Technical</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Ulrich Ernst, Ph.D.</w:t>
            </w:r>
          </w:p>
        </w:tc>
        <w:tc>
          <w:tcPr>
            <w:tcW w:w="120" w:type="dxa"/>
            <w:vAlign w:val="bottom"/>
            <w:shd w:val="clear" w:color="auto" w:fill="CCEEFF"/>
          </w:tcPr>
          <w:p>
            <w:pPr>
              <w:spacing w:after="0"/>
              <w:rPr>
                <w:sz w:val="20"/>
                <w:szCs w:val="20"/>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7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$144,205</w:t>
            </w:r>
          </w:p>
        </w:tc>
        <w:tc>
          <w:tcPr>
            <w:tcW w:w="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4"/>
              </w:rPr>
              <w:t>43.9%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54"/>
        </w:trPr>
        <w:tc>
          <w:tcPr>
            <w:tcW w:w="17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Share-Based Awards</w:t>
      </w:r>
    </w:p>
    <w:p>
      <w:pPr>
        <w:spacing w:after="0" w:line="11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use share-based awards to promote our interests by providing the executives with the opportunity to acquire equity interests as an incentive for their remaining in our service and aligning the executives’ interests with those of ProKidney. Share-based awards will be awarded under the Incentive Equity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Policies and Practices Related to the Grant of Certain Equity Awards</w:t>
      </w:r>
    </w:p>
    <w:p>
      <w:pPr>
        <w:spacing w:after="0" w:line="11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Our equity awards, including stock options, are granted in connection with the Company’s yearly compensation cycle and regularly scheduled meetings of the Talent and Compensation Committee. Typically, our practice is to price yearly compensation cycle option award grants on or about March 1 of each year. The Talent and Compensation Committee does not grant equity awards in anticipation of the release of material non-public information. Similarly, we do not time the release of material non-public information based on equity award grant dates.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Compensation</w:t>
      </w:r>
    </w:p>
    <w:p>
      <w:pPr>
        <w:spacing w:after="0" w:line="119"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We maintain various broad-based employee benefit plans, including medical, dental, vision, life and disability insurance and 401(k) plans, paid vacation, sick leave and holidays and employee assistance program benefits in which the NEOs participate.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Below are descriptions of the employment agreements with each of our NEOs (the “Employment Agreements”) setting forth the terms and conditions of such executive’s employment with us.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Bruce Culleton, M.D.</w:t>
      </w:r>
    </w:p>
    <w:p>
      <w:pPr>
        <w:spacing w:after="0" w:line="11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On December 3, 2023, we entered into an employment agreement with Dr. Culleton, pursuant to which he serves as Chief Executive Officer of the Company and its subsidiaries and affiliates effective November 15, 2023. The agreement provides for a base salary of not less than $625,000 per year and a target cash bonus opportunity of 60% of base salary, which was prorated for the 2023 fiscal year. Additionally, Dr. Culleton is eligible to receive long-term incentive awards under the Incentive Equity Plan and is eligible for participation in the Company’s employee health and welfare benefit and retirement programs and certain severance benefits described below. Prior to his appointment as Chief Executive Officer, Dr. Culleton served as the Company’s Executive Vice President, Clinical Development and Commercialization from July 17, 2023 to November 15, 2023. In that role, Dr. Culleton’s annual base salary was $495,000.</w:t>
      </w: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Todd Girolamo, J.D., MBA</w:t>
      </w:r>
    </w:p>
    <w:p>
      <w:pPr>
        <w:spacing w:after="0" w:line="119"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On December 1, 2022, we entered into an employment agreement with Mr. Girolamo, pursuant to which he serves as Chief Legal Officer of the Company and its subsidiaries and affiliates effective October 1, 2022. The agreement provides for a base salary of not less than $425,000 per year, a target cash bonus opportunity of 40% of base salary, eligibility to receive long-term incentive awards under the Incentive Equity Plan, eligibility for participation in the Company’s employee health and welfare benefit and retirement programs and certain severance benefits described below.</w:t>
      </w:r>
    </w:p>
    <w:p>
      <w:pPr>
        <w:spacing w:after="0" w:line="7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We entered into a relocation assistance agreement with Mr. Girolamo in connection with his employment as Chief Legal Officer of the Company and its subsidiaries and affiliates. The agreement provides for certain remuneration related to Mr. Girolamo’s relocation to the Winston-Salem, North Carolina area within two years from the date of his hire. This agreement provides for a payment of $35,000 for accommodations and ground transportation, as needed while commuting to North Carolina, and a miscellaneous allowance equivalent to one-month base salary. The agreement also provides for the reimbursement of reasonable and customary moving expenses (the “Relocation Costs”) up to an amount not to exceed $50,000, which will be grossed-up to cover the associated tax liability. The Relocation Costs are subject to repayment provisions if Mr. Girolamo’s employment with the Company is terminated within two years of his relocation date.</w:t>
      </w: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Ulrich Ernst, Ph.D.</w:t>
      </w:r>
    </w:p>
    <w:p>
      <w:pPr>
        <w:spacing w:after="0" w:line="11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Effective March 25, 2024, we entered into an employment agreement with Mr. Ernst, pursuant to which he served as Executive Vice President, Technical Operations of the Company and its subsidiaries and affiliates effective March 25, 2024. The agreement provided for a base salary of not less than $450,000 per year, a target cash bonus opportunity of 40% of base salary, eligibility to receive long-term incentive awards under the Incentive Equity Plan, eligibility for participation in the Company’s employee health and welfare benefit and retirement programs and certain severance benefits described below. In addition, the Company agreed to provide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right="1340"/>
        <w:spacing w:after="0" w:line="258" w:lineRule="auto"/>
        <w:rPr>
          <w:sz w:val="20"/>
          <w:szCs w:val="20"/>
          <w:color w:val="auto"/>
        </w:rPr>
      </w:pPr>
      <w:r>
        <w:rPr>
          <w:rFonts w:ascii="Times New Roman" w:cs="Times New Roman" w:eastAsia="Times New Roman" w:hAnsi="Times New Roman"/>
          <w:sz w:val="18"/>
          <w:szCs w:val="18"/>
          <w:color w:val="auto"/>
        </w:rPr>
        <w:t>relocation assistance in an amount not to exceed $159,000. On March 3, 2025, we terminated Mr. Ernst’s employment with us. In accordance with his employment agreement, Mr. Ernst will receive salary continuation for a period of nine months following his termination date, payable in accordance with the Company’s normal payroll cycle and continued participation in the Company’s group health plan at active employee rates for a period of nine months following his termination date.</w:t>
      </w:r>
    </w:p>
    <w:p>
      <w:pPr>
        <w:spacing w:after="0" w:line="3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Change-In-Control</w:t>
      </w:r>
    </w:p>
    <w:p>
      <w:pPr>
        <w:spacing w:after="0" w:line="121" w:lineRule="exact"/>
        <w:rPr>
          <w:sz w:val="20"/>
          <w:szCs w:val="20"/>
          <w:color w:val="auto"/>
        </w:rPr>
      </w:pPr>
    </w:p>
    <w:p>
      <w:pPr>
        <w:ind w:left="1300" w:right="1360" w:firstLine="360"/>
        <w:spacing w:after="0" w:line="254" w:lineRule="auto"/>
        <w:rPr>
          <w:sz w:val="20"/>
          <w:szCs w:val="20"/>
          <w:color w:val="auto"/>
        </w:rPr>
      </w:pPr>
      <w:r>
        <w:rPr>
          <w:rFonts w:ascii="Times New Roman" w:cs="Times New Roman" w:eastAsia="Times New Roman" w:hAnsi="Times New Roman"/>
          <w:sz w:val="18"/>
          <w:szCs w:val="18"/>
          <w:color w:val="auto"/>
        </w:rPr>
        <w:t>Under the Employment Agreements for each of our NEOs, if the executive’s employment is terminated by the Company without Cause or by the executive for Good Reason (each as defined in the applicable Employment Agreement) (a “Qualifying Termination Absent a Change in Control”), subject to the executive’s timely execution and non-revocation of a release of claims, the executive will receive (i) any earned but unpaid bonus for any prior completed fiscal year, payable when such payments would otherwise be paid, (ii) severance payments in the form of base salary continuation payable over the applicable post-termination severance period set forth in the table below and (iii) continued participation in the Company’s group health plan for the applicable post-termination severance period set forth in the table below.</w:t>
      </w:r>
    </w:p>
    <w:p>
      <w:pPr>
        <w:spacing w:after="0" w:line="84" w:lineRule="exact"/>
        <w:rPr>
          <w:sz w:val="20"/>
          <w:szCs w:val="20"/>
          <w:color w:val="auto"/>
        </w:rPr>
      </w:pPr>
    </w:p>
    <w:p>
      <w:pPr>
        <w:ind w:left="1300" w:right="1340" w:firstLine="360"/>
        <w:spacing w:after="0" w:line="254" w:lineRule="auto"/>
        <w:rPr>
          <w:sz w:val="20"/>
          <w:szCs w:val="20"/>
          <w:color w:val="auto"/>
        </w:rPr>
      </w:pPr>
      <w:r>
        <w:rPr>
          <w:rFonts w:ascii="Times New Roman" w:cs="Times New Roman" w:eastAsia="Times New Roman" w:hAnsi="Times New Roman"/>
          <w:sz w:val="18"/>
          <w:szCs w:val="18"/>
          <w:color w:val="auto"/>
        </w:rPr>
        <w:t>In the event that the executive’s employment is terminated by the Company without Cause or by the executive for Good Reason within the applicable protection period set forth in the table below following a Change in Control (as defined in the Incentive Equity Plan) (a “Qualifying Termination Following a Change in Control”), subject to the executive’s timely execution and non-revocation of a release of claims, the executive will receive (i) a lump-sum severance payment equal to the applicable severance multiple set forth in the table below multiplied by the sum of the executive’s (A) then-current base salary and (B) then-current target bonus opportunity, (ii) continued participation in the Company’s group health plan for the applicable post-termination benefits period set forth in the table below and (iii) full vesting of any equity awards then outstanding held by the executive.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Qualifying Termination</w:t>
            </w:r>
          </w:p>
        </w:tc>
        <w:tc>
          <w:tcPr>
            <w:tcW w:w="220" w:type="dxa"/>
            <w:vAlign w:val="bottom"/>
          </w:tcPr>
          <w:p>
            <w:pPr>
              <w:spacing w:after="0"/>
              <w:rPr>
                <w:sz w:val="13"/>
                <w:szCs w:val="13"/>
                <w:color w:val="auto"/>
              </w:rPr>
            </w:pPr>
          </w:p>
        </w:tc>
        <w:tc>
          <w:tcPr>
            <w:tcW w:w="29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Qualifying Termination Following</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Absent a Change in Control</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80" w:type="dxa"/>
            <w:vAlign w:val="bottom"/>
            <w:gridSpan w:val="4"/>
          </w:tcPr>
          <w:p>
            <w:pPr>
              <w:jc w:val="center"/>
              <w:ind w:right="697"/>
              <w:spacing w:after="0"/>
              <w:rPr>
                <w:sz w:val="20"/>
                <w:szCs w:val="20"/>
                <w:color w:val="auto"/>
              </w:rPr>
            </w:pPr>
            <w:r>
              <w:rPr>
                <w:rFonts w:ascii="Times New Roman" w:cs="Times New Roman" w:eastAsia="Times New Roman" w:hAnsi="Times New Roman"/>
                <w:sz w:val="14"/>
                <w:szCs w:val="14"/>
                <w:b w:val="1"/>
                <w:bCs w:val="1"/>
                <w:color w:val="auto"/>
              </w:rPr>
              <w:t>a Change in Control</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NEO</w:t>
            </w:r>
          </w:p>
        </w:tc>
        <w:tc>
          <w:tcPr>
            <w:tcW w:w="17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Post-Termination</w:t>
            </w:r>
          </w:p>
        </w:tc>
        <w:tc>
          <w:tcPr>
            <w:tcW w:w="22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Protection</w:t>
            </w:r>
          </w:p>
        </w:tc>
        <w:tc>
          <w:tcPr>
            <w:tcW w:w="220" w:type="dxa"/>
            <w:vAlign w:val="bottom"/>
          </w:tcPr>
          <w:p>
            <w:pPr>
              <w:spacing w:after="0"/>
              <w:rPr>
                <w:sz w:val="12"/>
                <w:szCs w:val="12"/>
                <w:color w:val="auto"/>
              </w:rPr>
            </w:pPr>
          </w:p>
        </w:tc>
        <w:tc>
          <w:tcPr>
            <w:tcW w:w="6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20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Post-Termination</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480" w:type="dxa"/>
            <w:vAlign w:val="bottom"/>
            <w:gridSpan w:val="2"/>
            <w:vMerge w:val="continue"/>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Severance Period</w:t>
            </w:r>
          </w:p>
        </w:tc>
        <w:tc>
          <w:tcPr>
            <w:tcW w:w="2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Benefits Period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Culleton, Chief Executive Officer</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 months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18 months</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1.5X</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 months</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Todd Girolamo, Chief Legal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 months</w:t>
            </w:r>
          </w:p>
        </w:tc>
        <w:tc>
          <w:tcPr>
            <w:tcW w:w="2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18 months</w:t>
            </w:r>
          </w:p>
        </w:tc>
        <w:tc>
          <w:tcPr>
            <w:tcW w:w="2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1X</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 months</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Ulrich Ernst, Ph.D., Former Executive Vice</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3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 Technical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months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18 months</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1X</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 months</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Year-End</w:t>
      </w:r>
    </w:p>
    <w:p>
      <w:pPr>
        <w:spacing w:after="0" w:line="121"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grants of stock options and grants of unvested stock awards outstanding on the last day of the fiscal year ended December 31, 2024, including both awards subject to performance conditions and non-performance-based awards, to each of the executive officers named in the Summary Compensation Table.</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66"/>
        </w:trPr>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Incentive</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 Payout</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80" w:type="dxa"/>
            <w:vAlign w:val="bottom"/>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8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of Shares</w:t>
            </w: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Units</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Units or</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80" w:type="dxa"/>
            <w:vAlign w:val="bottom"/>
          </w:tcPr>
          <w:p>
            <w:pPr>
              <w:spacing w:after="0"/>
              <w:rPr>
                <w:sz w:val="11"/>
                <w:szCs w:val="11"/>
                <w:color w:val="auto"/>
              </w:rPr>
            </w:pPr>
          </w:p>
        </w:tc>
        <w:tc>
          <w:tcPr>
            <w:tcW w:w="5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or Units</w:t>
            </w:r>
          </w:p>
        </w:tc>
        <w:tc>
          <w:tcPr>
            <w:tcW w:w="80" w:type="dxa"/>
            <w:vAlign w:val="bottom"/>
          </w:tcPr>
          <w:p>
            <w:pPr>
              <w:spacing w:after="0"/>
              <w:rPr>
                <w:sz w:val="11"/>
                <w:szCs w:val="11"/>
                <w:color w:val="auto"/>
              </w:rPr>
            </w:pPr>
          </w:p>
        </w:tc>
        <w:tc>
          <w:tcPr>
            <w:tcW w:w="5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or Units</w:t>
            </w: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 Other</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80" w:type="dxa"/>
            <w:vAlign w:val="bottom"/>
          </w:tcPr>
          <w:p>
            <w:pPr>
              <w:spacing w:after="0"/>
              <w:rPr>
                <w:sz w:val="11"/>
                <w:szCs w:val="11"/>
                <w:color w:val="auto"/>
              </w:rPr>
            </w:pPr>
          </w:p>
        </w:tc>
        <w:tc>
          <w:tcPr>
            <w:tcW w:w="5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of Stock</w:t>
            </w:r>
          </w:p>
        </w:tc>
        <w:tc>
          <w:tcPr>
            <w:tcW w:w="80" w:type="dxa"/>
            <w:vAlign w:val="bottom"/>
          </w:tcPr>
          <w:p>
            <w:pPr>
              <w:spacing w:after="0"/>
              <w:rPr>
                <w:sz w:val="11"/>
                <w:szCs w:val="11"/>
                <w:color w:val="auto"/>
              </w:rPr>
            </w:pPr>
          </w:p>
        </w:tc>
        <w:tc>
          <w:tcPr>
            <w:tcW w:w="5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of Stock</w:t>
            </w: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Rights</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Rights</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6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w:t>
            </w:r>
          </w:p>
        </w:tc>
        <w:tc>
          <w:tcPr>
            <w:tcW w:w="80" w:type="dxa"/>
            <w:vAlign w:val="bottom"/>
          </w:tcPr>
          <w:p>
            <w:pPr>
              <w:spacing w:after="0"/>
              <w:rPr>
                <w:sz w:val="11"/>
                <w:szCs w:val="11"/>
                <w:color w:val="auto"/>
              </w:rPr>
            </w:pPr>
          </w:p>
        </w:tc>
        <w:tc>
          <w:tcPr>
            <w:tcW w:w="5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gridSpan w:val="2"/>
          </w:tcPr>
          <w:p>
            <w:pPr>
              <w:jc w:val="center"/>
              <w:ind w:left="9"/>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80" w:type="dxa"/>
            <w:vAlign w:val="bottom"/>
          </w:tcPr>
          <w:p>
            <w:pPr>
              <w:spacing w:after="0"/>
              <w:rPr>
                <w:sz w:val="11"/>
                <w:szCs w:val="11"/>
                <w:color w:val="auto"/>
              </w:rPr>
            </w:pPr>
          </w:p>
        </w:tc>
        <w:tc>
          <w:tcPr>
            <w:tcW w:w="5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Share</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1"/>
              </w:rPr>
              <w:t>Not Vested</w:t>
            </w:r>
          </w:p>
        </w:tc>
        <w:tc>
          <w:tcPr>
            <w:tcW w:w="80" w:type="dxa"/>
            <w:vAlign w:val="bottom"/>
          </w:tcPr>
          <w:p>
            <w:pPr>
              <w:spacing w:after="0"/>
              <w:rPr>
                <w:sz w:val="11"/>
                <w:szCs w:val="11"/>
                <w:color w:val="auto"/>
              </w:rPr>
            </w:pPr>
          </w:p>
        </w:tc>
        <w:tc>
          <w:tcPr>
            <w:tcW w:w="5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0" w:type="dxa"/>
            <w:vAlign w:val="bottom"/>
          </w:tcPr>
          <w:p>
            <w:pPr>
              <w:spacing w:after="0"/>
              <w:rPr>
                <w:sz w:val="1"/>
                <w:szCs w:val="1"/>
                <w:color w:val="auto"/>
              </w:rPr>
            </w:pPr>
          </w:p>
        </w:tc>
      </w:tr>
      <w:tr>
        <w:trPr>
          <w:trHeight w:val="20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Date</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center"/>
              <w:ind w:right="30"/>
              <w:spacing w:after="0" w:line="203" w:lineRule="exact"/>
              <w:rPr>
                <w:sz w:val="20"/>
                <w:szCs w:val="20"/>
                <w:color w:val="auto"/>
              </w:rPr>
            </w:pPr>
            <w:r>
              <w:rPr>
                <w:rFonts w:ascii="Times New Roman" w:cs="Times New Roman" w:eastAsia="Times New Roman" w:hAnsi="Times New Roman"/>
                <w:sz w:val="13"/>
                <w:szCs w:val="13"/>
                <w:b w:val="1"/>
                <w:bCs w:val="1"/>
                <w:color w:val="auto"/>
                <w:w w:val="84"/>
              </w:rPr>
              <w:t>($)</w:t>
            </w:r>
            <w:r>
              <w:rPr>
                <w:rFonts w:ascii="Times New Roman" w:cs="Times New Roman" w:eastAsia="Times New Roman" w:hAnsi="Times New Roman"/>
                <w:sz w:val="20"/>
                <w:szCs w:val="20"/>
                <w:b w:val="1"/>
                <w:bCs w:val="1"/>
                <w:color w:val="auto"/>
                <w:w w:val="84"/>
                <w:vertAlign w:val="superscript"/>
              </w:rPr>
              <w:t>(1)</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0" w:type="dxa"/>
            <w:vAlign w:val="bottom"/>
          </w:tcPr>
          <w:p>
            <w:pPr>
              <w:spacing w:after="0"/>
              <w:rPr>
                <w:sz w:val="1"/>
                <w:szCs w:val="1"/>
                <w:color w:val="auto"/>
              </w:rPr>
            </w:pPr>
          </w:p>
        </w:tc>
      </w:tr>
      <w:tr>
        <w:trPr>
          <w:trHeight w:val="19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Bruce Culleton,</w:t>
            </w:r>
          </w:p>
        </w:tc>
        <w:tc>
          <w:tcPr>
            <w:tcW w:w="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4"/>
                <w:szCs w:val="14"/>
                <w:color w:val="auto"/>
              </w:rPr>
              <w:t>12/3/2023</w:t>
            </w:r>
            <w:r>
              <w:rPr>
                <w:rFonts w:ascii="Times New Roman" w:cs="Times New Roman" w:eastAsia="Times New Roman" w:hAnsi="Times New Roman"/>
                <w:sz w:val="22"/>
                <w:szCs w:val="22"/>
                <w:color w:val="auto"/>
                <w:vertAlign w:val="superscript"/>
              </w:rPr>
              <w:t>(2)</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250,000</w:t>
            </w:r>
          </w:p>
        </w:tc>
        <w:tc>
          <w:tcPr>
            <w:tcW w:w="8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250,000</w:t>
            </w:r>
          </w:p>
        </w:tc>
        <w:tc>
          <w:tcPr>
            <w:tcW w:w="7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500,000</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$ 1.69</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12/3/2033</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0"/>
        </w:trPr>
        <w:tc>
          <w:tcPr>
            <w:tcW w:w="1000" w:type="dxa"/>
            <w:vAlign w:val="bottom"/>
            <w:shd w:val="clear" w:color="auto" w:fill="CCEEFF"/>
          </w:tcPr>
          <w:p>
            <w:pPr>
              <w:ind w:left="140"/>
              <w:spacing w:after="0" w:line="110" w:lineRule="exact"/>
              <w:rPr>
                <w:sz w:val="20"/>
                <w:szCs w:val="20"/>
                <w:color w:val="auto"/>
              </w:rPr>
            </w:pPr>
            <w:r>
              <w:rPr>
                <w:rFonts w:ascii="Times New Roman" w:cs="Times New Roman" w:eastAsia="Times New Roman" w:hAnsi="Times New Roman"/>
                <w:sz w:val="12"/>
                <w:szCs w:val="12"/>
                <w:color w:val="auto"/>
              </w:rPr>
              <w:t>M.D.</w:t>
            </w:r>
          </w:p>
        </w:tc>
        <w:tc>
          <w:tcPr>
            <w:tcW w:w="80" w:type="dxa"/>
            <w:vAlign w:val="bottom"/>
            <w:tcBorders>
              <w:right w:val="single" w:sz="8" w:color="CCEEFF"/>
            </w:tcBorders>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line="258" w:lineRule="exact"/>
              <w:rPr>
                <w:sz w:val="20"/>
                <w:szCs w:val="20"/>
                <w:color w:val="auto"/>
              </w:rPr>
            </w:pPr>
            <w:r>
              <w:rPr>
                <w:rFonts w:ascii="Times New Roman" w:cs="Times New Roman" w:eastAsia="Times New Roman" w:hAnsi="Times New Roman"/>
                <w:sz w:val="14"/>
                <w:szCs w:val="14"/>
                <w:color w:val="auto"/>
              </w:rPr>
              <w:t>12/3/2023</w:t>
            </w:r>
            <w:r>
              <w:rPr>
                <w:rFonts w:ascii="Times New Roman" w:cs="Times New Roman" w:eastAsia="Times New Roman" w:hAnsi="Times New Roman"/>
                <w:sz w:val="23"/>
                <w:szCs w:val="23"/>
                <w:color w:val="auto"/>
                <w:vertAlign w:val="superscript"/>
              </w:rPr>
              <w:t>(3)</w:t>
            </w: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500,000</w:t>
            </w:r>
          </w:p>
        </w:tc>
        <w:tc>
          <w:tcPr>
            <w:tcW w:w="820" w:type="dxa"/>
            <w:vAlign w:val="bottom"/>
            <w:gridSpan w:val="2"/>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1,500,000</w:t>
            </w: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$ 1.69</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12/3/2033</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Chief</w:t>
            </w:r>
          </w:p>
        </w:tc>
        <w:tc>
          <w:tcPr>
            <w:tcW w:w="80" w:type="dxa"/>
            <w:vAlign w:val="bottom"/>
            <w:tcBorders>
              <w:right w:val="single" w:sz="8" w:color="CCEEFF"/>
            </w:tcBorders>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Executive</w:t>
            </w:r>
          </w:p>
        </w:tc>
        <w:tc>
          <w:tcPr>
            <w:tcW w:w="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jc w:val="right"/>
              <w:spacing w:after="0" w:line="200" w:lineRule="exact"/>
              <w:rPr>
                <w:sz w:val="20"/>
                <w:szCs w:val="20"/>
                <w:color w:val="auto"/>
              </w:rPr>
            </w:pPr>
            <w:r>
              <w:rPr>
                <w:rFonts w:ascii="Times New Roman" w:cs="Times New Roman" w:eastAsia="Times New Roman" w:hAnsi="Times New Roman"/>
                <w:sz w:val="14"/>
                <w:szCs w:val="14"/>
                <w:color w:val="auto"/>
              </w:rPr>
              <w:t>8/1/2023</w:t>
            </w:r>
            <w:r>
              <w:rPr>
                <w:rFonts w:ascii="Times New Roman" w:cs="Times New Roman" w:eastAsia="Times New Roman" w:hAnsi="Times New Roman"/>
                <w:sz w:val="23"/>
                <w:szCs w:val="23"/>
                <w:color w:val="auto"/>
                <w:vertAlign w:val="superscript"/>
              </w:rPr>
              <w:t>(4)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161,666</w:t>
            </w:r>
          </w:p>
        </w:tc>
        <w:tc>
          <w:tcPr>
            <w:tcW w:w="8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323,334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$13.08</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8/1/2033</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Officer</w:t>
            </w:r>
          </w:p>
        </w:tc>
        <w:tc>
          <w:tcPr>
            <w:tcW w:w="8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Todd C.</w:t>
            </w:r>
          </w:p>
        </w:tc>
        <w:tc>
          <w:tcPr>
            <w:tcW w:w="8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3"/>
                <w:szCs w:val="13"/>
                <w:color w:val="auto"/>
              </w:rPr>
              <w:t>3/1/2024</w:t>
            </w:r>
            <w:r>
              <w:rPr>
                <w:rFonts w:ascii="Times New Roman" w:cs="Times New Roman" w:eastAsia="Times New Roman" w:hAnsi="Times New Roman"/>
                <w:sz w:val="20"/>
                <w:szCs w:val="20"/>
                <w:color w:val="auto"/>
                <w:vertAlign w:val="superscript"/>
              </w:rPr>
              <w:t>(5)</w:t>
            </w:r>
          </w:p>
        </w:tc>
        <w:tc>
          <w:tcPr>
            <w:tcW w:w="8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56,250</w:t>
            </w:r>
          </w:p>
        </w:tc>
        <w:tc>
          <w:tcPr>
            <w:tcW w:w="82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color w:val="auto"/>
              </w:rPr>
              <w:t>243,750</w:t>
            </w:r>
          </w:p>
        </w:tc>
        <w:tc>
          <w:tcPr>
            <w:tcW w:w="8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$ 1.61</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3/1/2034</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0"/>
        </w:trPr>
        <w:tc>
          <w:tcPr>
            <w:tcW w:w="1000" w:type="dxa"/>
            <w:vAlign w:val="bottom"/>
          </w:tcPr>
          <w:p>
            <w:pPr>
              <w:ind w:left="140"/>
              <w:spacing w:after="0" w:line="110" w:lineRule="exact"/>
              <w:rPr>
                <w:sz w:val="20"/>
                <w:szCs w:val="20"/>
                <w:color w:val="auto"/>
              </w:rPr>
            </w:pPr>
            <w:r>
              <w:rPr>
                <w:rFonts w:ascii="Times New Roman" w:cs="Times New Roman" w:eastAsia="Times New Roman" w:hAnsi="Times New Roman"/>
                <w:sz w:val="12"/>
                <w:szCs w:val="12"/>
                <w:color w:val="auto"/>
              </w:rPr>
              <w:t>Girolamo</w:t>
            </w:r>
          </w:p>
        </w:tc>
        <w:tc>
          <w:tcPr>
            <w:tcW w:w="860" w:type="dxa"/>
            <w:vAlign w:val="bottom"/>
            <w:gridSpan w:val="2"/>
            <w:vMerge w:val="restart"/>
          </w:tcPr>
          <w:p>
            <w:pPr>
              <w:jc w:val="right"/>
              <w:spacing w:after="0" w:line="258" w:lineRule="exact"/>
              <w:rPr>
                <w:sz w:val="20"/>
                <w:szCs w:val="20"/>
                <w:color w:val="auto"/>
              </w:rPr>
            </w:pPr>
            <w:r>
              <w:rPr>
                <w:rFonts w:ascii="Times New Roman" w:cs="Times New Roman" w:eastAsia="Times New Roman" w:hAnsi="Times New Roman"/>
                <w:sz w:val="14"/>
                <w:szCs w:val="14"/>
                <w:color w:val="auto"/>
              </w:rPr>
              <w:t>3/1/2024</w:t>
            </w:r>
            <w:r>
              <w:rPr>
                <w:rFonts w:ascii="Times New Roman" w:cs="Times New Roman" w:eastAsia="Times New Roman" w:hAnsi="Times New Roman"/>
                <w:sz w:val="23"/>
                <w:szCs w:val="23"/>
                <w:color w:val="auto"/>
                <w:vertAlign w:val="superscript"/>
              </w:rPr>
              <w:t>(6)</w:t>
            </w:r>
          </w:p>
        </w:tc>
        <w:tc>
          <w:tcPr>
            <w:tcW w:w="80" w:type="dxa"/>
            <w:vAlign w:val="bottom"/>
          </w:tcPr>
          <w:p>
            <w:pPr>
              <w:spacing w:after="0"/>
              <w:rPr>
                <w:sz w:val="9"/>
                <w:szCs w:val="9"/>
                <w:color w:val="auto"/>
              </w:rPr>
            </w:pP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4"/>
                <w:szCs w:val="14"/>
                <w:color w:val="auto"/>
              </w:rPr>
              <w:t>234,742</w:t>
            </w:r>
          </w:p>
        </w:tc>
        <w:tc>
          <w:tcPr>
            <w:tcW w:w="80" w:type="dxa"/>
            <w:vAlign w:val="bottom"/>
          </w:tcPr>
          <w:p>
            <w:pPr>
              <w:spacing w:after="0"/>
              <w:rPr>
                <w:sz w:val="9"/>
                <w:szCs w:val="9"/>
                <w:color w:val="auto"/>
              </w:rPr>
            </w:pPr>
          </w:p>
        </w:tc>
        <w:tc>
          <w:tcPr>
            <w:tcW w:w="68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$ 1.61</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3/1/2034</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Chief Legal</w:t>
            </w: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860" w:type="dxa"/>
            <w:vAlign w:val="bottom"/>
            <w:gridSpan w:val="2"/>
          </w:tcPr>
          <w:p>
            <w:pPr>
              <w:jc w:val="right"/>
              <w:spacing w:after="0" w:line="245" w:lineRule="exact"/>
              <w:rPr>
                <w:sz w:val="20"/>
                <w:szCs w:val="20"/>
                <w:color w:val="auto"/>
              </w:rPr>
            </w:pPr>
            <w:r>
              <w:rPr>
                <w:rFonts w:ascii="Times New Roman" w:cs="Times New Roman" w:eastAsia="Times New Roman" w:hAnsi="Times New Roman"/>
                <w:sz w:val="14"/>
                <w:szCs w:val="14"/>
                <w:color w:val="auto"/>
              </w:rPr>
              <w:t>1/16/2023</w:t>
            </w:r>
            <w:r>
              <w:rPr>
                <w:rFonts w:ascii="Times New Roman" w:cs="Times New Roman" w:eastAsia="Times New Roman" w:hAnsi="Times New Roman"/>
                <w:sz w:val="23"/>
                <w:szCs w:val="23"/>
                <w:color w:val="auto"/>
                <w:vertAlign w:val="superscript"/>
              </w:rPr>
              <w:t>(5)</w:t>
            </w:r>
          </w:p>
        </w:tc>
        <w:tc>
          <w:tcPr>
            <w:tcW w:w="8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138,958</w:t>
            </w:r>
          </w:p>
        </w:tc>
        <w:tc>
          <w:tcPr>
            <w:tcW w:w="82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color w:val="auto"/>
              </w:rPr>
              <w:t>151,042</w:t>
            </w:r>
          </w:p>
        </w:tc>
        <w:tc>
          <w:tcPr>
            <w:tcW w:w="8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$ 8.43</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1/16/2033</w:t>
            </w: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86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4"/>
                <w:szCs w:val="14"/>
                <w:color w:val="auto"/>
              </w:rPr>
              <w:t>10/20/2022</w:t>
            </w:r>
            <w:r>
              <w:rPr>
                <w:rFonts w:ascii="Times New Roman" w:cs="Times New Roman" w:eastAsia="Times New Roman" w:hAnsi="Times New Roman"/>
                <w:sz w:val="23"/>
                <w:szCs w:val="23"/>
                <w:color w:val="auto"/>
                <w:vertAlign w:val="superscript"/>
              </w:rPr>
              <w:t>(7)</w:t>
            </w:r>
          </w:p>
        </w:tc>
        <w:tc>
          <w:tcPr>
            <w:tcW w:w="8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377,429</w:t>
            </w:r>
          </w:p>
        </w:tc>
        <w:tc>
          <w:tcPr>
            <w:tcW w:w="82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color w:val="auto"/>
              </w:rPr>
              <w:t>319,364</w:t>
            </w:r>
          </w:p>
        </w:tc>
        <w:tc>
          <w:tcPr>
            <w:tcW w:w="80" w:type="dxa"/>
            <w:vAlign w:val="bottom"/>
          </w:tcPr>
          <w:p>
            <w:pPr>
              <w:spacing w:after="0"/>
              <w:rPr>
                <w:sz w:val="19"/>
                <w:szCs w:val="19"/>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$10.33</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10/20/2032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p>
        </w:tc>
        <w:tc>
          <w:tcPr>
            <w:tcW w:w="860" w:type="dxa"/>
            <w:vAlign w:val="bottom"/>
            <w:gridSpan w:val="2"/>
          </w:tcPr>
          <w:p>
            <w:pPr>
              <w:jc w:val="right"/>
              <w:spacing w:after="0" w:line="239" w:lineRule="exact"/>
              <w:rPr>
                <w:sz w:val="20"/>
                <w:szCs w:val="20"/>
                <w:color w:val="auto"/>
              </w:rPr>
            </w:pPr>
            <w:r>
              <w:rPr>
                <w:rFonts w:ascii="Times New Roman" w:cs="Times New Roman" w:eastAsia="Times New Roman" w:hAnsi="Times New Roman"/>
                <w:sz w:val="14"/>
                <w:szCs w:val="14"/>
                <w:color w:val="auto"/>
              </w:rPr>
              <w:t>1/17/2022</w:t>
            </w:r>
            <w:r>
              <w:rPr>
                <w:rFonts w:ascii="Times New Roman" w:cs="Times New Roman" w:eastAsia="Times New Roman" w:hAnsi="Times New Roman"/>
                <w:sz w:val="23"/>
                <w:szCs w:val="23"/>
                <w:color w:val="auto"/>
                <w:vertAlign w:val="superscript"/>
              </w:rPr>
              <w:t>(8)</w:t>
            </w:r>
          </w:p>
        </w:tc>
        <w:tc>
          <w:tcPr>
            <w:tcW w:w="80" w:type="dxa"/>
            <w:vAlign w:val="bottom"/>
          </w:tcPr>
          <w:p>
            <w:pPr>
              <w:spacing w:after="0"/>
              <w:rPr>
                <w:sz w:val="20"/>
                <w:szCs w:val="2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163,856</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$276,917</w:t>
            </w:r>
          </w:p>
        </w:tc>
        <w:tc>
          <w:tcPr>
            <w:tcW w:w="8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Ulrich Ernst,</w:t>
            </w:r>
          </w:p>
        </w:tc>
        <w:tc>
          <w:tcPr>
            <w:tcW w:w="80" w:type="dxa"/>
            <w:vAlign w:val="bottom"/>
            <w:tcBorders>
              <w:right w:val="single" w:sz="8" w:color="CCEEFF"/>
            </w:tcBorders>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3"/>
                <w:szCs w:val="13"/>
                <w:color w:val="auto"/>
              </w:rPr>
              <w:t>7/17/2024</w:t>
            </w:r>
            <w:r>
              <w:rPr>
                <w:rFonts w:ascii="Times New Roman" w:cs="Times New Roman" w:eastAsia="Times New Roman" w:hAnsi="Times New Roman"/>
                <w:sz w:val="20"/>
                <w:szCs w:val="20"/>
                <w:color w:val="auto"/>
                <w:vertAlign w:val="superscript"/>
              </w:rPr>
              <w:t>(9)</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165,000</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$ 2.30</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7/17/2034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0"/>
        </w:trPr>
        <w:tc>
          <w:tcPr>
            <w:tcW w:w="1000" w:type="dxa"/>
            <w:vAlign w:val="bottom"/>
            <w:shd w:val="clear" w:color="auto" w:fill="CCEEFF"/>
          </w:tcPr>
          <w:p>
            <w:pPr>
              <w:ind w:left="140"/>
              <w:spacing w:after="0" w:line="110" w:lineRule="exact"/>
              <w:rPr>
                <w:sz w:val="20"/>
                <w:szCs w:val="20"/>
                <w:color w:val="auto"/>
              </w:rPr>
            </w:pPr>
            <w:r>
              <w:rPr>
                <w:rFonts w:ascii="Times New Roman" w:cs="Times New Roman" w:eastAsia="Times New Roman" w:hAnsi="Times New Roman"/>
                <w:sz w:val="12"/>
                <w:szCs w:val="12"/>
                <w:color w:val="auto"/>
              </w:rPr>
              <w:t>Ph.D.</w:t>
            </w:r>
          </w:p>
        </w:tc>
        <w:tc>
          <w:tcPr>
            <w:tcW w:w="80" w:type="dxa"/>
            <w:vAlign w:val="bottom"/>
            <w:tcBorders>
              <w:right w:val="single" w:sz="8" w:color="CCEEFF"/>
            </w:tcBorders>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line="258" w:lineRule="exact"/>
              <w:rPr>
                <w:sz w:val="20"/>
                <w:szCs w:val="20"/>
                <w:color w:val="auto"/>
              </w:rPr>
            </w:pPr>
            <w:r>
              <w:rPr>
                <w:rFonts w:ascii="Times New Roman" w:cs="Times New Roman" w:eastAsia="Times New Roman" w:hAnsi="Times New Roman"/>
                <w:sz w:val="14"/>
                <w:szCs w:val="14"/>
                <w:color w:val="auto"/>
              </w:rPr>
              <w:t>4/1/2024</w:t>
            </w:r>
            <w:r>
              <w:rPr>
                <w:rFonts w:ascii="Times New Roman" w:cs="Times New Roman" w:eastAsia="Times New Roman" w:hAnsi="Times New Roman"/>
                <w:sz w:val="23"/>
                <w:szCs w:val="23"/>
                <w:color w:val="auto"/>
                <w:vertAlign w:val="superscript"/>
              </w:rPr>
              <w:t>(4)</w:t>
            </w: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335,000</w:t>
            </w: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$ 1.60</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4/1/2034</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Former</w:t>
            </w:r>
          </w:p>
        </w:tc>
        <w:tc>
          <w:tcPr>
            <w:tcW w:w="80" w:type="dxa"/>
            <w:vAlign w:val="bottom"/>
            <w:tcBorders>
              <w:right w:val="single" w:sz="8" w:color="CCEEFF"/>
            </w:tcBorders>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Executive Vice</w:t>
            </w:r>
          </w:p>
        </w:tc>
        <w:tc>
          <w:tcPr>
            <w:tcW w:w="8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President,</w:t>
            </w:r>
          </w:p>
        </w:tc>
        <w:tc>
          <w:tcPr>
            <w:tcW w:w="8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Technical</w:t>
            </w:r>
          </w:p>
        </w:tc>
        <w:tc>
          <w:tcPr>
            <w:tcW w:w="8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Operations</w:t>
            </w:r>
          </w:p>
        </w:tc>
        <w:tc>
          <w:tcPr>
            <w:tcW w:w="80" w:type="dxa"/>
            <w:vAlign w:val="bottom"/>
            <w:tcBorders>
              <w:right w:val="single" w:sz="8" w:color="CCEEFF"/>
            </w:tcBorders>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000" w:type="dxa"/>
            <w:vAlign w:val="bottom"/>
            <w:shd w:val="clear" w:color="auto" w:fill="CCEEFF"/>
          </w:tcPr>
          <w:p>
            <w:pPr>
              <w:spacing w:after="0"/>
              <w:rPr>
                <w:sz w:val="4"/>
                <w:szCs w:val="4"/>
                <w:color w:val="auto"/>
              </w:rPr>
            </w:pPr>
          </w:p>
        </w:tc>
        <w:tc>
          <w:tcPr>
            <w:tcW w:w="80" w:type="dxa"/>
            <w:vAlign w:val="bottom"/>
            <w:tcBorders>
              <w:right w:val="single" w:sz="8" w:color="CCEEFF"/>
            </w:tcBorders>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-33655</wp:posOffset>
            </wp:positionV>
            <wp:extent cx="2540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93980</wp:posOffset>
            </wp:positionV>
            <wp:extent cx="8229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3" w:lineRule="exact"/>
        <w:rPr>
          <w:sz w:val="20"/>
          <w:szCs w:val="20"/>
          <w:color w:val="auto"/>
        </w:rPr>
      </w:pPr>
    </w:p>
    <w:p>
      <w:pPr>
        <w:ind w:left="640" w:right="37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the award is calculated using the closing price of the Company’s Class A ordinary shares on the last trading day of our 2024 fiscal year (December 31, 2024), which was $1.69, multiplied by the number of shares subject to the award.</w:t>
      </w:r>
    </w:p>
    <w:p>
      <w:pPr>
        <w:ind w:left="640" w:right="919" w:hanging="348"/>
        <w:spacing w:after="0" w:line="24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subject to the achievement of both time and performance vesting conditions, with 25% of the shares vesting on November 15, 2024 and the remaining shares vesting in equal quarterly installments over the following three years, subject to the achievement of certain performance milestones.</w:t>
      </w:r>
    </w:p>
    <w:p>
      <w:pPr>
        <w:spacing w:after="0" w:line="14" w:lineRule="exact"/>
        <w:rPr>
          <w:rFonts w:ascii="Times New Roman" w:cs="Times New Roman" w:eastAsia="Times New Roman" w:hAnsi="Times New Roman"/>
          <w:sz w:val="14"/>
          <w:szCs w:val="14"/>
          <w:color w:val="auto"/>
        </w:rPr>
      </w:pPr>
    </w:p>
    <w:p>
      <w:pPr>
        <w:ind w:left="640" w:right="41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25% on November 15, 2024 and the remaining 75% vests in substantially equal quarterly installments over the following 36 months on each quarterly anniversary of the date of grant.</w:t>
      </w:r>
    </w:p>
    <w:p>
      <w:pPr>
        <w:ind w:left="640" w:right="419" w:hanging="348"/>
        <w:spacing w:after="0" w:line="24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25% on the first anniversary of the date of grant and the remaining 75% vests in substantially equal monthly installments for 36 months thereafter. With respect to Dr. Ulrich, his options ceased to vest on March 3, 2025, the date of his termination, with no options exercisable at such date.</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options vest in substantially equal monthly installments over the four-year period beginning on the date of grant.</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option vests 50% on the first anniversary of the date of grant and the remaining 50% vests in substantially equal monthly installments for 12 months thereafter.</w:t>
      </w:r>
    </w:p>
    <w:p>
      <w:pPr>
        <w:ind w:left="640" w:hanging="348"/>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options vest in substantially equal monthly installments over the four-year period beginning on October 19, 2022.</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these awards vest ratably on each of the first, second, third and fourth anniversaries of the date of grant.</w:t>
      </w:r>
    </w:p>
    <w:p>
      <w:pPr>
        <w:spacing w:after="0" w:line="41" w:lineRule="exact"/>
        <w:rPr>
          <w:rFonts w:ascii="Times New Roman" w:cs="Times New Roman" w:eastAsia="Times New Roman" w:hAnsi="Times New Roman"/>
          <w:sz w:val="14"/>
          <w:szCs w:val="14"/>
          <w:color w:val="auto"/>
        </w:rPr>
      </w:pPr>
    </w:p>
    <w:p>
      <w:pPr>
        <w:ind w:left="640" w:right="57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 subject to the achievement of performance vesting conditions, of which 82,500 vested in 2025 upon satisfaction of the performance condition. The remainder of the options were cancelled upon Dr. Ulrich's termination on March 3, 2025.</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All of ProKidney’s NEOs are eligible to participate in its employee benefit plans, including its medical, dental, vision, life and disability insurance plans, in each case on the same basis as all of ProKidney’s other employees. ProKidney generally provides perquisites or personal benefits to its NEOs in limited circumstances.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ind w:left="300" w:right="619" w:firstLine="360"/>
        <w:spacing w:after="0" w:line="289" w:lineRule="auto"/>
        <w:rPr>
          <w:sz w:val="20"/>
          <w:szCs w:val="20"/>
          <w:color w:val="auto"/>
        </w:rPr>
      </w:pPr>
      <w:r>
        <w:rPr>
          <w:rFonts w:ascii="Times New Roman" w:cs="Times New Roman" w:eastAsia="Times New Roman" w:hAnsi="Times New Roman"/>
          <w:sz w:val="17"/>
          <w:szCs w:val="17"/>
          <w:color w:val="auto"/>
        </w:rPr>
        <w:t>ProKidney maintains a 401(k) plan for its ProKidney-US employees. The 401(k) plan is intended to qualify under Section 401(k) of the Code, so that contributions to the 401(k) plan by ProKidney-US employees or by ProKidney, and the investment earnings thereon, are not taxable to the employees until withdrawn from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401(k) plan, and so that contributions by ProKidney, if any, will be deductible by ProKidney when made. Full- time employees are eligible to participate in the ProKidney-US plan. Under the 401(k) plan, ProKidney-US employees may elect to reduce their current compensation by up to the statutorily prescribed annual limit and to have the amount of such reduction contributed to the 401(k) plan. The 401(k) plan permits ProKidney to make contributions up to the limits allowed by law on behalf of all eligible ProKidney-US employees. As of December 31, 2024, ProKidney matched 100% of participating ProKidney-US employees’ contribution up to 4% of salary to the ProKidney 401(k) plan.</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have any qualified or non-qualified defined benefit plans.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have any nonqualified defined contribution plans or other deferred compensation plan.</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Equity Awards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Times New Roman" w:cs="Times New Roman" w:eastAsia="Times New Roman" w:hAnsi="Times New Roman"/>
          <w:sz w:val="17"/>
          <w:szCs w:val="17"/>
          <w:color w:val="auto"/>
        </w:rPr>
        <w:t>Our equity awards, including stock options, are granted in connection with the Company’s yearly compensation cycle and regularly scheduled meetings of the Talent and Compensation Committee. Typically, our practice is to price yearly compensation cycle option award grants on or about March 1 of each year. The Compensation Committee does not grant equity awards in anticipation of the release of material non-public information. Similarly, we do not time the release of material non-public information based on equity award grant dates.</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the total compensation paid or accrued during the fiscal year ended December 31, 2024 to each of our non-employee directors. Directors who are employed by us are not compensated for their service on the Board.</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w:t>
            </w:r>
          </w:p>
        </w:tc>
        <w:tc>
          <w:tcPr>
            <w:tcW w:w="16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Pablo Legorreta</w:t>
            </w:r>
          </w:p>
        </w:tc>
        <w:tc>
          <w:tcPr>
            <w:tcW w:w="8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6"/>
              </w:rPr>
              <w:t>76,000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188,387</w:t>
            </w:r>
          </w:p>
        </w:tc>
        <w:tc>
          <w:tcPr>
            <w:tcW w:w="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264,387</w:t>
            </w:r>
          </w:p>
        </w:tc>
        <w:tc>
          <w:tcPr>
            <w:tcW w:w="0" w:type="dxa"/>
            <w:vAlign w:val="bottom"/>
          </w:tcPr>
          <w:p>
            <w:pPr>
              <w:spacing w:after="0"/>
              <w:rPr>
                <w:sz w:val="1"/>
                <w:szCs w:val="1"/>
                <w:color w:val="auto"/>
              </w:rPr>
            </w:pPr>
          </w:p>
        </w:tc>
      </w:tr>
      <w:tr>
        <w:trPr>
          <w:trHeight w:val="23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William F. Doyle</w:t>
            </w:r>
          </w:p>
        </w:tc>
        <w:tc>
          <w:tcPr>
            <w:tcW w:w="8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54,750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188,387</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243,137</w:t>
            </w:r>
          </w:p>
        </w:tc>
        <w:tc>
          <w:tcPr>
            <w:tcW w:w="0" w:type="dxa"/>
            <w:vAlign w:val="bottom"/>
          </w:tcPr>
          <w:p>
            <w:pPr>
              <w:spacing w:after="0"/>
              <w:rPr>
                <w:sz w:val="1"/>
                <w:szCs w:val="1"/>
                <w:color w:val="auto"/>
              </w:rPr>
            </w:pPr>
          </w:p>
        </w:tc>
      </w:tr>
      <w:tr>
        <w:trPr>
          <w:trHeight w:val="24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M. Lotvin, M.D.</w:t>
            </w:r>
          </w:p>
        </w:tc>
        <w:tc>
          <w:tcPr>
            <w:tcW w:w="8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6"/>
              </w:rPr>
              <w:t>65,500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188,387</w:t>
            </w:r>
          </w:p>
        </w:tc>
        <w:tc>
          <w:tcPr>
            <w:tcW w:w="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253,887</w:t>
            </w:r>
          </w:p>
        </w:tc>
        <w:tc>
          <w:tcPr>
            <w:tcW w:w="0" w:type="dxa"/>
            <w:vAlign w:val="bottom"/>
          </w:tcPr>
          <w:p>
            <w:pPr>
              <w:spacing w:after="0"/>
              <w:rPr>
                <w:sz w:val="1"/>
                <w:szCs w:val="1"/>
                <w:color w:val="auto"/>
              </w:rPr>
            </w:pPr>
          </w:p>
        </w:tc>
      </w:tr>
      <w:tr>
        <w:trPr>
          <w:trHeight w:val="23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Brian J.G. Pereira, M.D.</w:t>
            </w:r>
          </w:p>
        </w:tc>
        <w:tc>
          <w:tcPr>
            <w:tcW w:w="8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64,500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188,387</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252,887</w:t>
            </w:r>
          </w:p>
        </w:tc>
        <w:tc>
          <w:tcPr>
            <w:tcW w:w="0" w:type="dxa"/>
            <w:vAlign w:val="bottom"/>
          </w:tcPr>
          <w:p>
            <w:pPr>
              <w:spacing w:after="0"/>
              <w:rPr>
                <w:sz w:val="1"/>
                <w:szCs w:val="1"/>
                <w:color w:val="auto"/>
              </w:rPr>
            </w:pPr>
          </w:p>
        </w:tc>
      </w:tr>
      <w:tr>
        <w:trPr>
          <w:trHeight w:val="24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Uma Sinha, Ph.D.</w:t>
            </w:r>
          </w:p>
        </w:tc>
        <w:tc>
          <w:tcPr>
            <w:tcW w:w="8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6"/>
              </w:rPr>
              <w:t>51,000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188,387</w:t>
            </w:r>
          </w:p>
        </w:tc>
        <w:tc>
          <w:tcPr>
            <w:tcW w:w="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239,387</w:t>
            </w:r>
          </w:p>
        </w:tc>
        <w:tc>
          <w:tcPr>
            <w:tcW w:w="0" w:type="dxa"/>
            <w:vAlign w:val="bottom"/>
          </w:tcPr>
          <w:p>
            <w:pPr>
              <w:spacing w:after="0"/>
              <w:rPr>
                <w:sz w:val="1"/>
                <w:szCs w:val="1"/>
                <w:color w:val="auto"/>
              </w:rPr>
            </w:pPr>
          </w:p>
        </w:tc>
      </w:tr>
      <w:tr>
        <w:trPr>
          <w:trHeight w:val="284"/>
        </w:trPr>
        <w:tc>
          <w:tcPr>
            <w:tcW w:w="60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John M. Maraganore, Ph.D.</w:t>
            </w:r>
            <w:r>
              <w:rPr>
                <w:rFonts w:ascii="Times New Roman" w:cs="Times New Roman" w:eastAsia="Times New Roman" w:hAnsi="Times New Roman"/>
                <w:sz w:val="29"/>
                <w:szCs w:val="29"/>
                <w:color w:val="auto"/>
                <w:vertAlign w:val="superscript"/>
              </w:rPr>
              <w:t>(2)</w:t>
            </w:r>
          </w:p>
        </w:tc>
        <w:tc>
          <w:tcPr>
            <w:tcW w:w="8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31,000</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4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José Ignacio Jiménez Santos</w:t>
            </w:r>
          </w:p>
        </w:tc>
        <w:tc>
          <w:tcPr>
            <w:tcW w:w="8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6"/>
              </w:rPr>
              <w:t>45,000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188,387</w:t>
            </w:r>
          </w:p>
        </w:tc>
        <w:tc>
          <w:tcPr>
            <w:tcW w:w="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233,387</w:t>
            </w: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Jennifer Fox</w:t>
            </w:r>
          </w:p>
        </w:tc>
        <w:tc>
          <w:tcPr>
            <w:tcW w:w="8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56,250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204,569</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260,819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7" w:lineRule="exact"/>
        <w:rPr>
          <w:sz w:val="20"/>
          <w:szCs w:val="20"/>
          <w:color w:val="auto"/>
        </w:rPr>
      </w:pPr>
    </w:p>
    <w:p>
      <w:pPr>
        <w:ind w:left="640" w:right="319" w:hanging="348"/>
        <w:spacing w:after="0" w:line="233" w:lineRule="auto"/>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grant date fair value of stock options granted to during 2024, as computed in accordance with ASC Topic 718, not including any estimates of forfeiture. See Notes 2 and 10 of “Notes to Consolidated Financial Statements” of our Annual Report on Form 10-K for the year ended December 31, 2024 for a discussion of assumptions used in determining the grant date fair value of our option awards for fiscal year ended December 31, 2024. Note that amounts reported in this column reflect the accounting cost for these stock options and do not correspond to actual economic value that may be received by the executives from the stock options.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Maraganore’s term as director expired at the annual general meeting of shareholders held on May 30,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the aggregate number of shares subject to options and Class B RSRs held by each of our non-employee directors as of December 31, 2024.</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49"/>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B RSRs</w:t>
            </w:r>
          </w:p>
        </w:tc>
        <w:tc>
          <w:tcPr>
            <w:tcW w:w="0" w:type="dxa"/>
            <w:vAlign w:val="bottom"/>
          </w:tcPr>
          <w:p>
            <w:pPr>
              <w:spacing w:after="0"/>
              <w:rPr>
                <w:sz w:val="1"/>
                <w:szCs w:val="1"/>
                <w:color w:val="auto"/>
              </w:rPr>
            </w:pPr>
          </w:p>
        </w:tc>
      </w:tr>
      <w:tr>
        <w:trPr>
          <w:trHeight w:val="190"/>
        </w:trPr>
        <w:tc>
          <w:tcPr>
            <w:tcW w:w="6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3"/>
        </w:trPr>
        <w:tc>
          <w:tcPr>
            <w:tcW w:w="6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Pablo Legorreta</w:t>
            </w:r>
          </w:p>
        </w:tc>
        <w:tc>
          <w:tcPr>
            <w:tcW w:w="10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110,686</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William F. Doyle</w:t>
            </w:r>
          </w:p>
        </w:tc>
        <w:tc>
          <w:tcPr>
            <w:tcW w:w="10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110,686</w:t>
            </w:r>
          </w:p>
        </w:tc>
        <w:tc>
          <w:tcPr>
            <w:tcW w:w="11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54,619</w:t>
            </w:r>
          </w:p>
        </w:tc>
        <w:tc>
          <w:tcPr>
            <w:tcW w:w="0" w:type="dxa"/>
            <w:vAlign w:val="bottom"/>
          </w:tcPr>
          <w:p>
            <w:pPr>
              <w:spacing w:after="0"/>
              <w:rPr>
                <w:sz w:val="1"/>
                <w:szCs w:val="1"/>
                <w:color w:val="auto"/>
              </w:rPr>
            </w:pPr>
          </w:p>
        </w:tc>
      </w:tr>
      <w:tr>
        <w:trPr>
          <w:trHeight w:val="247"/>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M. Lotvin, M.D.</w:t>
            </w:r>
          </w:p>
        </w:tc>
        <w:tc>
          <w:tcPr>
            <w:tcW w:w="10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110,686</w:t>
            </w:r>
          </w:p>
        </w:tc>
        <w:tc>
          <w:tcPr>
            <w:tcW w:w="11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54,619</w:t>
            </w:r>
          </w:p>
        </w:tc>
        <w:tc>
          <w:tcPr>
            <w:tcW w:w="0" w:type="dxa"/>
            <w:vAlign w:val="bottom"/>
          </w:tcPr>
          <w:p>
            <w:pPr>
              <w:spacing w:after="0"/>
              <w:rPr>
                <w:sz w:val="1"/>
                <w:szCs w:val="1"/>
                <w:color w:val="auto"/>
              </w:rPr>
            </w:pPr>
          </w:p>
        </w:tc>
      </w:tr>
      <w:tr>
        <w:trPr>
          <w:trHeight w:val="23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Brian J.G. Pereira, M.D.</w:t>
            </w:r>
          </w:p>
        </w:tc>
        <w:tc>
          <w:tcPr>
            <w:tcW w:w="10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110,686</w:t>
            </w:r>
          </w:p>
        </w:tc>
        <w:tc>
          <w:tcPr>
            <w:tcW w:w="11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54,619</w:t>
            </w:r>
          </w:p>
        </w:tc>
        <w:tc>
          <w:tcPr>
            <w:tcW w:w="0" w:type="dxa"/>
            <w:vAlign w:val="bottom"/>
          </w:tcPr>
          <w:p>
            <w:pPr>
              <w:spacing w:after="0"/>
              <w:rPr>
                <w:sz w:val="1"/>
                <w:szCs w:val="1"/>
                <w:color w:val="auto"/>
              </w:rPr>
            </w:pPr>
          </w:p>
        </w:tc>
      </w:tr>
      <w:tr>
        <w:trPr>
          <w:trHeight w:val="247"/>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Uma Sinha, Ph.D.</w:t>
            </w:r>
          </w:p>
        </w:tc>
        <w:tc>
          <w:tcPr>
            <w:tcW w:w="10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110,686</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José Ignacio Jiménez Santos</w:t>
            </w:r>
          </w:p>
        </w:tc>
        <w:tc>
          <w:tcPr>
            <w:tcW w:w="10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110,686</w:t>
            </w:r>
          </w:p>
        </w:tc>
        <w:tc>
          <w:tcPr>
            <w:tcW w:w="2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Fox</w:t>
            </w:r>
          </w:p>
        </w:tc>
        <w:tc>
          <w:tcPr>
            <w:tcW w:w="10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290,610</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2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standard compensation arrangements under which our directors are compensated for their service as directors, including as members of the various committees of our board.</w:t>
      </w:r>
    </w:p>
    <w:p>
      <w:pPr>
        <w:spacing w:after="0" w:line="54"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The Board adopted a non-employee director compensation policy in September 2022, as amended in February 2024, April 2024, and November 2024, that is applicable to all of our non-employee directors (the “Non-Employee Director Compensation Policy”). Prior to the adoption of the Non-Employee Director Compensation Policy, we entered into various individual arrangements with our non-employee directors and granted options to them from time to time. The Non-Employee Director Compensation Policy provides that each non-employee director will receive the following compensation for service on the Board:</w:t>
      </w:r>
    </w:p>
    <w:p>
      <w:pPr>
        <w:spacing w:after="0" w:line="79" w:lineRule="exact"/>
        <w:rPr>
          <w:sz w:val="20"/>
          <w:szCs w:val="20"/>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$40,000;</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retainer of $35,000 for service as the non-executive chair of the Board;</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$10,000, $7,500 and $5,000 for service as a non-chair member of the Audit Committee, Talent and Compensation Committee and the Nominating Committee, respectively;</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$20,000, $15,000, and $10,000 for service as Chair of the Audit Committee, Talent and Compensation Committee and the Nominating Committee, respectively;</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option grant (the “Initial Grant”) to purchase a number of Class A ordinary shares as determined by the Board. The options subject to the Initial Grant will vest in equal monthly installments over the 36 months following the date of grant, subject to the Non-Employee Director’s Continuous Service (as defined in the Incentive Equity Plan) on each vesting date; and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option grant (the “Annual Grant”) to purchase a number of Class A ordinary shares equal to</w:t>
      </w:r>
    </w:p>
    <w:p>
      <w:pPr>
        <w:spacing w:after="0" w:line="27" w:lineRule="exact"/>
        <w:rPr>
          <w:rFonts w:ascii="Times New Roman" w:cs="Times New Roman" w:eastAsia="Times New Roman" w:hAnsi="Times New Roman"/>
          <w:sz w:val="18"/>
          <w:szCs w:val="18"/>
          <w:color w:val="auto"/>
        </w:rPr>
      </w:pPr>
    </w:p>
    <w:p>
      <w:pPr>
        <w:ind w:left="1000" w:right="3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0.043% of the total aggregate Class A ordinary shares and Class B ordinary shares outstanding on the date of grant. Such award is made on the date of each of our annual general shareholder meetings. The options subject to the Annual Grant will vest in full on the sooner of the one-year anniversary of the date of grant or the date of Company’s next annual general shareholder meeting, subject to the Non-Employee Director’s Continuous Service (as defined in the Incentive Equity Plan) through such vesting date.</w:t>
      </w:r>
    </w:p>
    <w:p>
      <w:pPr>
        <w:spacing w:after="0" w:line="7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Each non-employee director may make an election to receive a grant of Class A ordinary shares in lieu of all, or a portion of, their cash retainer payments described above. The number of Class A ordinary shares to be granted to the electing director will be computed by dividing the amount of cash compensation otherwise payable by the closing price of the Company’s Class A ordinary shares on the regular payment date of such cash compensation.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aggregate information with respect to all of our equity compensation plans in effect as of December 31, 2024:</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3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80" w:type="dxa"/>
            <w:vAlign w:val="bottom"/>
          </w:tcPr>
          <w:p>
            <w:pPr>
              <w:spacing w:after="0"/>
              <w:rPr>
                <w:sz w:val="12"/>
                <w:szCs w:val="12"/>
                <w:color w:val="auto"/>
              </w:rPr>
            </w:pPr>
          </w:p>
        </w:tc>
        <w:tc>
          <w:tcPr>
            <w:tcW w:w="13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remaining</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3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3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38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80" w:type="dxa"/>
            <w:vAlign w:val="bottom"/>
          </w:tcPr>
          <w:p>
            <w:pPr>
              <w:spacing w:after="0"/>
              <w:rPr>
                <w:sz w:val="12"/>
                <w:szCs w:val="12"/>
                <w:color w:val="auto"/>
              </w:rPr>
            </w:pPr>
          </w:p>
        </w:tc>
        <w:tc>
          <w:tcPr>
            <w:tcW w:w="13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80" w:type="dxa"/>
            <w:vAlign w:val="bottom"/>
          </w:tcPr>
          <w:p>
            <w:pPr>
              <w:spacing w:after="0"/>
              <w:rPr>
                <w:sz w:val="12"/>
                <w:szCs w:val="12"/>
                <w:color w:val="auto"/>
              </w:rPr>
            </w:pPr>
          </w:p>
        </w:tc>
        <w:tc>
          <w:tcPr>
            <w:tcW w:w="13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3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380" w:type="dxa"/>
            <w:vAlign w:val="bottom"/>
          </w:tcPr>
          <w:p>
            <w:pPr>
              <w:spacing w:after="0"/>
              <w:rPr>
                <w:sz w:val="12"/>
                <w:szCs w:val="12"/>
                <w:color w:val="auto"/>
              </w:rPr>
            </w:pPr>
          </w:p>
        </w:tc>
        <w:tc>
          <w:tcPr>
            <w:tcW w:w="13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3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38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23"/>
        </w:trPr>
        <w:tc>
          <w:tcPr>
            <w:tcW w:w="40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440" w:type="dxa"/>
            <w:vAlign w:val="bottom"/>
            <w:gridSpan w:val="4"/>
            <w:vMerge w:val="restart"/>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4"/>
              </w:rPr>
              <w:t>21,449,920</w:t>
            </w:r>
            <w:r>
              <w:rPr>
                <w:rFonts w:ascii="Times New Roman" w:cs="Times New Roman" w:eastAsia="Times New Roman" w:hAnsi="Times New Roman"/>
                <w:sz w:val="29"/>
                <w:szCs w:val="29"/>
                <w:color w:val="auto"/>
                <w:w w:val="94"/>
                <w:vertAlign w:val="superscript"/>
              </w:rPr>
              <w:t>(1)</w:t>
            </w:r>
          </w:p>
        </w:tc>
        <w:tc>
          <w:tcPr>
            <w:tcW w:w="1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r>
              <w:rPr>
                <w:rFonts w:ascii="Times New Roman" w:cs="Times New Roman" w:eastAsia="Times New Roman" w:hAnsi="Times New Roman"/>
                <w:sz w:val="29"/>
                <w:szCs w:val="29"/>
                <w:color w:val="auto"/>
                <w:vertAlign w:val="superscript"/>
              </w:rPr>
              <w:t>(2)</w:t>
            </w:r>
          </w:p>
        </w:tc>
        <w:tc>
          <w:tcPr>
            <w:tcW w:w="174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25,949,342</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48"/>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1440" w:type="dxa"/>
            <w:vAlign w:val="bottom"/>
            <w:gridSpan w:val="4"/>
            <w:vMerge w:val="continue"/>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1740" w:type="dxa"/>
            <w:vAlign w:val="bottom"/>
            <w:gridSpan w:val="4"/>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440" w:type="dxa"/>
            <w:vAlign w:val="bottom"/>
            <w:gridSpan w:val="2"/>
            <w:vMerge w:val="restart"/>
          </w:tcPr>
          <w:p>
            <w:pPr>
              <w:spacing w:after="0"/>
              <w:rPr>
                <w:sz w:val="18"/>
                <w:szCs w:val="18"/>
                <w:color w:val="auto"/>
              </w:rPr>
            </w:pP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1,755,686</w:t>
            </w:r>
            <w:r>
              <w:rPr>
                <w:rFonts w:ascii="Times New Roman" w:cs="Times New Roman" w:eastAsia="Times New Roman" w:hAnsi="Times New Roman"/>
                <w:sz w:val="29"/>
                <w:szCs w:val="29"/>
                <w:color w:val="auto"/>
                <w:vertAlign w:val="superscript"/>
              </w:rPr>
              <w:t>(4)</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440" w:type="dxa"/>
            <w:vAlign w:val="bottom"/>
            <w:gridSpan w:val="2"/>
            <w:vMerge w:val="continue"/>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shd w:val="clear" w:color="auto" w:fill="CCEEFF"/>
          </w:tcPr>
          <w:p>
            <w:pPr>
              <w:spacing w:after="0"/>
              <w:rPr>
                <w:sz w:val="24"/>
                <w:szCs w:val="24"/>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23,205,606</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740" w:type="dxa"/>
            <w:vAlign w:val="bottom"/>
            <w:gridSpan w:val="4"/>
            <w:shd w:val="clear" w:color="auto" w:fill="CCEEFF"/>
          </w:tcPr>
          <w:p>
            <w:pPr>
              <w:jc w:val="right"/>
              <w:ind w:right="100"/>
              <w:spacing w:after="0" w:line="296" w:lineRule="exact"/>
              <w:rPr>
                <w:sz w:val="20"/>
                <w:szCs w:val="20"/>
                <w:color w:val="auto"/>
              </w:rPr>
            </w:pPr>
            <w:r>
              <w:rPr>
                <w:rFonts w:ascii="Times New Roman" w:cs="Times New Roman" w:eastAsia="Times New Roman" w:hAnsi="Times New Roman"/>
                <w:sz w:val="18"/>
                <w:szCs w:val="18"/>
                <w:color w:val="auto"/>
              </w:rPr>
              <w:t>25,949,342</w:t>
            </w:r>
            <w:r>
              <w:rPr>
                <w:rFonts w:ascii="Times New Roman" w:cs="Times New Roman" w:eastAsia="Times New Roman" w:hAnsi="Times New Roman"/>
                <w:sz w:val="29"/>
                <w:szCs w:val="29"/>
                <w:color w:val="auto"/>
                <w:vertAlign w:val="superscript"/>
              </w:rPr>
              <w:t>(5)</w:t>
            </w:r>
          </w:p>
        </w:tc>
        <w:tc>
          <w:tcPr>
            <w:tcW w:w="0" w:type="dxa"/>
            <w:vAlign w:val="bottom"/>
          </w:tcPr>
          <w:p>
            <w:pPr>
              <w:spacing w:after="0"/>
              <w:rPr>
                <w:sz w:val="1"/>
                <w:szCs w:val="1"/>
                <w:color w:val="auto"/>
              </w:rPr>
            </w:pPr>
          </w:p>
        </w:tc>
      </w:tr>
      <w:tr>
        <w:trPr>
          <w:trHeight w:val="54"/>
        </w:trPr>
        <w:tc>
          <w:tcPr>
            <w:tcW w:w="40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47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21,449,920 Class A ordinary shares under the Company’s 2022 Incentive Equity Plan (“2022 Plan”) as of December 31, 2024.</w:t>
      </w:r>
    </w:p>
    <w:p>
      <w:pPr>
        <w:ind w:left="640" w:hanging="348"/>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weighted-average exercise price of options to purchase Class A ordinary shares outstanding at December 31, 2024.</w:t>
      </w:r>
    </w:p>
    <w:p>
      <w:pPr>
        <w:spacing w:after="0" w:line="41" w:lineRule="exact"/>
        <w:rPr>
          <w:rFonts w:ascii="Times New Roman" w:cs="Times New Roman" w:eastAsia="Times New Roman" w:hAnsi="Times New Roman"/>
          <w:sz w:val="14"/>
          <w:szCs w:val="14"/>
          <w:color w:val="auto"/>
        </w:rPr>
      </w:pPr>
    </w:p>
    <w:p>
      <w:pPr>
        <w:ind w:left="640" w:right="339" w:hanging="348"/>
        <w:spacing w:after="0" w:line="24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21,118,536 Class A ordinary shares reserved under the 2022 Plan as of December 31, 2024 and (ii) 4,830,806 Class A ordinary shares reserved under the Company’s Employee Stock Purchase Plan (the “ESPP”). The Company does not currently grant awards under the ESPP.</w:t>
      </w:r>
    </w:p>
    <w:p>
      <w:pPr>
        <w:spacing w:after="0" w:line="14" w:lineRule="exact"/>
        <w:rPr>
          <w:rFonts w:ascii="Times New Roman" w:cs="Times New Roman" w:eastAsia="Times New Roman" w:hAnsi="Times New Roman"/>
          <w:sz w:val="14"/>
          <w:szCs w:val="14"/>
          <w:color w:val="auto"/>
        </w:rPr>
      </w:pPr>
    </w:p>
    <w:p>
      <w:pPr>
        <w:ind w:left="640" w:right="39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Class B ordinary shares issuable upon the vesting of restricted common units of PKLP held by ProKidney Management Equity LLC (“PMEL”).</w:t>
      </w:r>
    </w:p>
    <w:p>
      <w:pPr>
        <w:ind w:left="640" w:right="359" w:hanging="348"/>
        <w:spacing w:after="0" w:line="23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2022 Plan has an evergreen provision that allows for an annual increase in the number of shares available for issuance under the 2022 Plan to be added on the first day of each fiscal year, beginning in fiscal year 2023 and ending on the second day of fiscal year 2032. The evergreen provides for an automatic increase in the number of shares available for issuance equal to the lesser of (i) 5% of the number of outstanding Class A ordinary shares on the last day of the immediately preceding fiscal year on a fully diluted basis and (ii) an amount determined by the Talent and Compensation Committee. This total does not reflect the automatic increase in the number of shares available for issuance under the 2022 Plan that was effective on January 1, 2025 pursuant the evergreen provision.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AUDIT COMMITTEE</w:t>
      </w:r>
    </w:p>
    <w:p>
      <w:pPr>
        <w:spacing w:after="0" w:line="121"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which consists entirely of directors who meet the independence and experience requirements of the Nasdaq Stock Market, has furnished the following report:</w:t>
      </w:r>
    </w:p>
    <w:p>
      <w:pPr>
        <w:spacing w:after="0" w:line="5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assists the Board in overseeing and monitoring the integrity of our financial reporting process, compliance with legal and regulatory requirements and the quality of internal and external audit processes. This committee’s role and responsibilities are set forth in our charter adopted by the Board, which is available on our website at www.prokidney.com. This committee reviews and reassesses our charter annually and recommends any changes to the Board for approval. The Audit Committee is responsible for overseeing our overall financial reporting process, and for the appointment, compensation, retention, and oversight of the work of Ernst &amp; Young LLP. In fulfilling its responsibilities for the financial statements for fiscal year December 31, 2024, the Audit Committee took the following actions:</w:t>
      </w:r>
    </w:p>
    <w:p>
      <w:pPr>
        <w:spacing w:after="0" w:line="84" w:lineRule="exact"/>
        <w:rPr>
          <w:sz w:val="20"/>
          <w:szCs w:val="20"/>
          <w:color w:val="auto"/>
        </w:rPr>
      </w:pPr>
    </w:p>
    <w:p>
      <w:pPr>
        <w:ind w:left="1000" w:right="33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for the fiscal year ended December 31, 2024 with management and Ernst &amp; Young LLP,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Discussed with Ernst &amp; Young LLP the matters required to be discussed in accordance with Auditing Standard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5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written disclosures and the letter from Ernst &amp; Young LLP regarding its independence as required by applicable requirements of the Public Company Accounting Oversight Board regarding Ernst &amp; Young LLP’s communications with the Audit Committee and the Audit Committee further discussed with Ernst &amp; Young LLP their independence. The Audit Committee also considered the status of pending litigation, taxation matters and other areas of oversight relating to the financial reporting and audit process that the committee determined appropriate.</w:t>
      </w:r>
    </w:p>
    <w:p>
      <w:pPr>
        <w:spacing w:after="0" w:line="79" w:lineRule="exact"/>
        <w:rPr>
          <w:sz w:val="20"/>
          <w:szCs w:val="20"/>
          <w:color w:val="auto"/>
        </w:rPr>
      </w:pPr>
    </w:p>
    <w:p>
      <w:pPr>
        <w:jc w:val="both"/>
        <w:ind w:left="300" w:right="479" w:firstLine="360"/>
        <w:spacing w:after="0" w:line="289" w:lineRule="auto"/>
        <w:rPr>
          <w:sz w:val="20"/>
          <w:szCs w:val="20"/>
          <w:color w:val="auto"/>
        </w:rPr>
      </w:pPr>
      <w:r>
        <w:rPr>
          <w:rFonts w:ascii="Times New Roman" w:cs="Times New Roman" w:eastAsia="Times New Roman" w:hAnsi="Times New Roman"/>
          <w:sz w:val="17"/>
          <w:szCs w:val="17"/>
          <w:color w:val="auto"/>
        </w:rPr>
        <w:t>Based on the Audit Committee’s review of the audited financial statements and discussions with management and Ernst &amp; Young LLP, the Audit Committee recommended to the Board that the audited financial statements be included in our Annual Report on Form 10-K for the fiscal year ended December 31, 2024 for filing with the SEC.</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Members of the ProKidney Corp. Audit Committee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Jennifer Fox, Chair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Brian J. G. Pereira, M.D.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Alan M. Lotvin, M.D.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Company’s ordinary shares as of March 17, 2025 by:</w:t>
      </w:r>
    </w:p>
    <w:p>
      <w:pPr>
        <w:spacing w:after="0" w:line="99" w:lineRule="exact"/>
        <w:rPr>
          <w:sz w:val="20"/>
          <w:szCs w:val="20"/>
          <w:color w:val="auto"/>
        </w:rPr>
      </w:pPr>
    </w:p>
    <w:p>
      <w:pPr>
        <w:ind w:left="1000" w:right="91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the Company to be the beneficial owner of more than 5% of the outstanding Company ordinary shares;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Company’s executive officers and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117"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 Ordinary shares subject to options exercisable on or within 60 days after March 17, 2025 are deemed outstanding for the purpose of computing the percentage ownership of the person holding those options but are not deemed outstanding for computing the percentage ownership of any other person.</w:t>
      </w:r>
    </w:p>
    <w:p>
      <w:pPr>
        <w:spacing w:after="0" w:line="84"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The beneficial ownership of the Company ordinary shares is based on 129,536,121 Class A ordinary shares and 163,161,528 Class B ordinary shares issued and outstanding as of March 17, 2025, 2025.</w:t>
      </w:r>
    </w:p>
    <w:p>
      <w:pPr>
        <w:spacing w:after="0" w:line="54" w:lineRule="exact"/>
        <w:rPr>
          <w:sz w:val="20"/>
          <w:szCs w:val="20"/>
          <w:color w:val="auto"/>
        </w:rPr>
      </w:pPr>
    </w:p>
    <w:p>
      <w:pPr>
        <w:ind w:left="300" w:right="103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Class A</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Class B</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23"/>
                <w:szCs w:val="23"/>
                <w:b w:val="1"/>
                <w:bCs w:val="1"/>
                <w:color w:val="auto"/>
                <w:vertAlign w:val="superscript"/>
              </w:rPr>
              <w:t>(1)</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214"/>
        </w:trPr>
        <w:tc>
          <w:tcPr>
            <w:tcW w:w="4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5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240" w:type="dxa"/>
            <w:vAlign w:val="bottom"/>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Bruce Culleton, M.D.</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1,537,020</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8"/>
        </w:trPr>
        <w:tc>
          <w:tcPr>
            <w:tcW w:w="4060" w:type="dxa"/>
            <w:vAlign w:val="bottom"/>
            <w:shd w:val="clear" w:color="auto" w:fill="CCEEFF"/>
          </w:tcPr>
          <w:p>
            <w:pPr>
              <w:ind w:left="180"/>
              <w:spacing w:after="0" w:line="288" w:lineRule="exact"/>
              <w:rPr>
                <w:sz w:val="20"/>
                <w:szCs w:val="20"/>
                <w:color w:val="auto"/>
              </w:rPr>
            </w:pPr>
            <w:r>
              <w:rPr>
                <w:rFonts w:ascii="Times New Roman" w:cs="Times New Roman" w:eastAsia="Times New Roman" w:hAnsi="Times New Roman"/>
                <w:sz w:val="18"/>
                <w:szCs w:val="18"/>
                <w:color w:val="auto"/>
              </w:rPr>
              <w:t>Pablo Legorreta</w:t>
            </w:r>
            <w:r>
              <w:rPr>
                <w:rFonts w:ascii="Times New Roman" w:cs="Times New Roman" w:eastAsia="Times New Roman" w:hAnsi="Times New Roman"/>
                <w:sz w:val="29"/>
                <w:szCs w:val="29"/>
                <w:color w:val="auto"/>
                <w:vertAlign w:val="superscript"/>
              </w:rPr>
              <w:t>(2)(13)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22,666,037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88,107,426</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84"/>
        </w:trPr>
        <w:tc>
          <w:tcPr>
            <w:tcW w:w="406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William F. Doyle</w:t>
            </w:r>
            <w:r>
              <w:rPr>
                <w:rFonts w:ascii="Times New Roman" w:cs="Times New Roman" w:eastAsia="Times New Roman" w:hAnsi="Times New Roman"/>
                <w:sz w:val="29"/>
                <w:szCs w:val="29"/>
                <w:color w:val="auto"/>
                <w:vertAlign w:val="superscript"/>
              </w:rPr>
              <w:t>(3)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48,128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1,514,326</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06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Jennifer Fox</w:t>
            </w:r>
            <w:r>
              <w:rPr>
                <w:rFonts w:ascii="Times New Roman" w:cs="Times New Roman" w:eastAsia="Times New Roman" w:hAnsi="Times New Roman"/>
                <w:sz w:val="29"/>
                <w:szCs w:val="29"/>
                <w:color w:val="auto"/>
                <w:vertAlign w:val="superscript"/>
              </w:rPr>
              <w:t>(4)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154,135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06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José Ignacio Jiménez Santos</w:t>
            </w:r>
            <w:r>
              <w:rPr>
                <w:rFonts w:ascii="Times New Roman" w:cs="Times New Roman" w:eastAsia="Times New Roman" w:hAnsi="Times New Roman"/>
                <w:sz w:val="29"/>
                <w:szCs w:val="29"/>
                <w:color w:val="auto"/>
                <w:vertAlign w:val="superscript"/>
              </w:rPr>
              <w:t>(5)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48,128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06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Alan M. Lotvin</w:t>
            </w:r>
            <w:r>
              <w:rPr>
                <w:rFonts w:ascii="Times New Roman" w:cs="Times New Roman" w:eastAsia="Times New Roman" w:hAnsi="Times New Roman"/>
                <w:sz w:val="29"/>
                <w:szCs w:val="29"/>
                <w:color w:val="auto"/>
                <w:vertAlign w:val="superscript"/>
              </w:rPr>
              <w:t>(6)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1,514,326</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06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Brian J.G. Pereira, M.D</w:t>
            </w:r>
            <w:r>
              <w:rPr>
                <w:rFonts w:ascii="Times New Roman" w:cs="Times New Roman" w:eastAsia="Times New Roman" w:hAnsi="Times New Roman"/>
                <w:sz w:val="29"/>
                <w:szCs w:val="29"/>
                <w:color w:val="auto"/>
                <w:vertAlign w:val="superscript"/>
              </w:rPr>
              <w:t>(7)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48,128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1,514,326</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06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Uma Sinha, Ph.D.</w:t>
            </w:r>
            <w:r>
              <w:rPr>
                <w:rFonts w:ascii="Times New Roman" w:cs="Times New Roman" w:eastAsia="Times New Roman" w:hAnsi="Times New Roman"/>
                <w:sz w:val="29"/>
                <w:szCs w:val="29"/>
                <w:color w:val="auto"/>
                <w:vertAlign w:val="superscript"/>
              </w:rPr>
              <w:t>(8)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06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Todd Girolamo</w:t>
            </w:r>
            <w:r>
              <w:rPr>
                <w:rFonts w:ascii="Times New Roman" w:cs="Times New Roman" w:eastAsia="Times New Roman" w:hAnsi="Times New Roman"/>
                <w:sz w:val="29"/>
                <w:szCs w:val="29"/>
                <w:color w:val="auto"/>
                <w:vertAlign w:val="superscript"/>
              </w:rPr>
              <w:t>(9)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1,020,032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81,928</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06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Ulrich Ernst, Ph.D.</w:t>
            </w:r>
            <w:r>
              <w:rPr>
                <w:rFonts w:ascii="Times New Roman" w:cs="Times New Roman" w:eastAsia="Times New Roman" w:hAnsi="Times New Roman"/>
                <w:sz w:val="29"/>
                <w:szCs w:val="29"/>
                <w:color w:val="auto"/>
                <w:vertAlign w:val="superscript"/>
              </w:rPr>
              <w:t>(10)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Current Directors and Executive Officers as a</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4060" w:type="dxa"/>
            <w:vAlign w:val="bottom"/>
          </w:tcPr>
          <w:p>
            <w:pPr>
              <w:ind w:left="180"/>
              <w:spacing w:after="0" w:line="288" w:lineRule="exact"/>
              <w:rPr>
                <w:sz w:val="20"/>
                <w:szCs w:val="20"/>
                <w:color w:val="auto"/>
              </w:rPr>
            </w:pPr>
            <w:r>
              <w:rPr>
                <w:rFonts w:ascii="Times New Roman" w:cs="Times New Roman" w:eastAsia="Times New Roman" w:hAnsi="Times New Roman"/>
                <w:sz w:val="18"/>
                <w:szCs w:val="18"/>
                <w:b w:val="1"/>
                <w:bCs w:val="1"/>
                <w:i w:val="1"/>
                <w:iCs w:val="1"/>
                <w:color w:val="auto"/>
              </w:rPr>
              <w:t>Group (11 persons)</w:t>
            </w:r>
            <w:r>
              <w:rPr>
                <w:rFonts w:ascii="Times New Roman" w:cs="Times New Roman" w:eastAsia="Times New Roman" w:hAnsi="Times New Roman"/>
                <w:sz w:val="29"/>
                <w:szCs w:val="29"/>
                <w:b w:val="1"/>
                <w:bCs w:val="1"/>
                <w:i w:val="1"/>
                <w:iCs w:val="1"/>
                <w:color w:val="auto"/>
                <w:vertAlign w:val="superscript"/>
              </w:rPr>
              <w:t>(11)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26,790,941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93,732,413</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Greater-than-Five Percent Holders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0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Tolerantia, LLC</w:t>
            </w:r>
            <w:r>
              <w:rPr>
                <w:rFonts w:ascii="Times New Roman" w:cs="Times New Roman" w:eastAsia="Times New Roman" w:hAnsi="Times New Roman"/>
                <w:sz w:val="29"/>
                <w:szCs w:val="29"/>
                <w:color w:val="auto"/>
                <w:vertAlign w:val="superscript"/>
              </w:rPr>
              <w:t>(2)(13)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22,617,909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88,107,426</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 Empresarial de Capitales, S.A. de C.V.</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406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(formerly Inversora Carso, S.A. de C.V.)</w:t>
            </w:r>
            <w:r>
              <w:rPr>
                <w:rFonts w:ascii="Times New Roman" w:cs="Times New Roman" w:eastAsia="Times New Roman" w:hAnsi="Times New Roman"/>
                <w:sz w:val="29"/>
                <w:szCs w:val="29"/>
                <w:color w:val="auto"/>
                <w:vertAlign w:val="superscript"/>
              </w:rPr>
              <w:t>(12)(13)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8,441,462</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63,118,645</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83"/>
        </w:trPr>
        <w:tc>
          <w:tcPr>
            <w:tcW w:w="40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Morgan Stanley Investment Management Inc.</w:t>
            </w:r>
            <w:r>
              <w:rPr>
                <w:rFonts w:ascii="Times New Roman" w:cs="Times New Roman" w:eastAsia="Times New Roman" w:hAnsi="Times New Roman"/>
                <w:sz w:val="29"/>
                <w:szCs w:val="29"/>
                <w:color w:val="auto"/>
                <w:vertAlign w:val="superscript"/>
              </w:rPr>
              <w:t>(14)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13,931,026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Aaron Cowen</w:t>
            </w:r>
            <w:r>
              <w:rPr>
                <w:rFonts w:ascii="Times New Roman" w:cs="Times New Roman" w:eastAsia="Times New Roman" w:hAnsi="Times New Roman"/>
                <w:sz w:val="29"/>
                <w:szCs w:val="29"/>
                <w:color w:val="auto"/>
                <w:vertAlign w:val="superscript"/>
              </w:rPr>
              <w:t>(15)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13,198,766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54"/>
        </w:trPr>
        <w:tc>
          <w:tcPr>
            <w:tcW w:w="40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Indicated beneficial ownership of less than 1%.</w:t>
      </w:r>
    </w:p>
    <w:p>
      <w:pPr>
        <w:spacing w:after="0" w:line="42" w:lineRule="exact"/>
        <w:rPr>
          <w:sz w:val="20"/>
          <w:szCs w:val="20"/>
          <w:color w:val="auto"/>
        </w:rPr>
      </w:pPr>
    </w:p>
    <w:p>
      <w:pPr>
        <w:ind w:left="640" w:right="419" w:hanging="348"/>
        <w:spacing w:after="0" w:line="261" w:lineRule="auto"/>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total voting power represents voting power with respect to all shares of Class A ordinary shares and Class B ordinary shares as a single class. Each share of Class A ordinary shares and Class B ordinary shares is entitled to one vote per share.</w:t>
      </w:r>
    </w:p>
    <w:p>
      <w:pPr>
        <w:spacing w:after="0" w:line="1" w:lineRule="exact"/>
        <w:rPr>
          <w:sz w:val="20"/>
          <w:szCs w:val="20"/>
          <w:color w:val="auto"/>
        </w:rPr>
      </w:pPr>
    </w:p>
    <w:p>
      <w:pPr>
        <w:ind w:left="640" w:right="579" w:hanging="348"/>
        <w:spacing w:after="0" w:line="261" w:lineRule="auto"/>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business address of each of the following entities or individuals is c/o ProKidney Corp., 2000 Frontis Plaza Blvd., Ste 250, Winston-Salem, North Carolina, 27103.</w:t>
      </w:r>
    </w:p>
    <w:p>
      <w:pPr>
        <w:ind w:left="640" w:right="579" w:hanging="348"/>
        <w:spacing w:after="0" w:line="261" w:lineRule="auto"/>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solely on a Schedule 13D/A filed with the SEC on February 6, 2025. Represents 22,666,037 Class A ordinary shares and 88,107,426 Class B ordinary shares held by Tolerantia, LLC (“Tolerantia”), a Delaware limited liability company, which is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439"/>
        <w:spacing w:after="0" w:line="241" w:lineRule="auto"/>
        <w:rPr>
          <w:sz w:val="20"/>
          <w:szCs w:val="20"/>
          <w:color w:val="auto"/>
        </w:rPr>
      </w:pPr>
      <w:r>
        <w:rPr>
          <w:rFonts w:ascii="Times New Roman" w:cs="Times New Roman" w:eastAsia="Times New Roman" w:hAnsi="Times New Roman"/>
          <w:sz w:val="14"/>
          <w:szCs w:val="14"/>
          <w:color w:val="auto"/>
        </w:rPr>
        <w:t>an affiliate controlled and majority-owned by Mr. Pablo Legorreta. Mr. Legorreta controls the voting and disposition of the shares held by Tolerantia. Mr. Legorreta disclaims beneficial ownership of the shares held by Tolerantia except to the extent of his indirect pecuniary interest therein. The business address of Tolerantia is 110, East 59th Street, Suite 2800, New York, New York, 10022.</w:t>
      </w:r>
    </w:p>
    <w:p>
      <w:pPr>
        <w:spacing w:after="0" w:line="15" w:lineRule="exact"/>
        <w:rPr>
          <w:sz w:val="20"/>
          <w:szCs w:val="20"/>
          <w:color w:val="auto"/>
        </w:rPr>
      </w:pPr>
    </w:p>
    <w:p>
      <w:pPr>
        <w:ind w:left="640" w:right="399" w:hanging="348"/>
        <w:spacing w:after="0" w:line="26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up to 48,128 Class A ordinary shares held by Mr. Doyle that are vested and exercisable or will become vested or exercisable within 60 days of March 17, 2025. Also includes 1,514,326 Class B ordinary shares beneficially owned by Mr. Doyle.</w:t>
      </w:r>
    </w:p>
    <w:p>
      <w:pPr>
        <w:ind w:left="640" w:right="439" w:hanging="348"/>
        <w:spacing w:after="0" w:line="26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up to 154,135 Class A ordinary shares held by Ms. Fox that are vested and exercisable or will become vested or exercisable within 60 days of March 17, 2025.</w:t>
      </w:r>
    </w:p>
    <w:p>
      <w:pPr>
        <w:ind w:left="640" w:right="739" w:hanging="348"/>
        <w:spacing w:after="0" w:line="26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up to 48,128 Class A ordinary shares held by Mr. Jiménez Santos that are vested and exercisable or will become vested or exercisable within 60 days of March 17, 2025.</w:t>
      </w:r>
    </w:p>
    <w:p>
      <w:pPr>
        <w:ind w:left="640" w:right="359" w:hanging="348"/>
        <w:spacing w:after="0" w:line="26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up to 48,128 Class A ordinary shares held by Mr. Lotvin that are vested and exercisable or will become vested or exercisable within 60 days of March 17, 2025. Also includes 1,514,326 Class B ordinary shares beneficially owned by Mr. Lotvin.</w:t>
      </w:r>
    </w:p>
    <w:p>
      <w:pPr>
        <w:ind w:left="640" w:right="359" w:hanging="348"/>
        <w:spacing w:after="0" w:line="233"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up to 48,128 Class A ordinary shares held by Dr. Pereira that are vested and exercisable or will become vested or exercisable within 60 days of March 17, 2025. Also includes 163,857 Class B ordinary shares issued as consideration in the Business Combination held by PMEL for the benefit of Dr. Pereira. Additionally includes 1,350,469 Class B ordinary shares held by the Brian J.G. Pereira 2012 Irrevocable Trust, for which Sunita Pereira, who is married to Dr. Pereira, serves as Trustee. Dr. Pereira disclaims beneficial ownership of the Class B ordinary shares reported herein except to the extent of any indirect pecuniary interest therein.</w:t>
      </w:r>
    </w:p>
    <w:p>
      <w:pPr>
        <w:spacing w:after="0" w:line="15" w:lineRule="exact"/>
        <w:rPr>
          <w:rFonts w:ascii="Times New Roman" w:cs="Times New Roman" w:eastAsia="Times New Roman" w:hAnsi="Times New Roman"/>
          <w:sz w:val="14"/>
          <w:szCs w:val="14"/>
          <w:color w:val="auto"/>
        </w:rPr>
      </w:pPr>
    </w:p>
    <w:p>
      <w:pPr>
        <w:ind w:left="640" w:right="379" w:hanging="348"/>
        <w:spacing w:after="0" w:line="26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30,000 Class A ordinary shares held by Dr. Sinha, options to purchase up to 48,128 Class A ordinary shares held by Dr. Sinha that are vested and exercisable or will become vested or exercisable within 60 days of March 17, 2025.</w:t>
      </w:r>
    </w:p>
    <w:p>
      <w:pPr>
        <w:ind w:left="640" w:hanging="348"/>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163,856 Class A ordinary shares held by Mr. Girolamo, options to purchase up to 856,176 Class A ordinary shares held by</w:t>
      </w:r>
    </w:p>
    <w:p>
      <w:pPr>
        <w:spacing w:after="0" w:line="3" w:lineRule="exact"/>
        <w:rPr>
          <w:rFonts w:ascii="Times New Roman" w:cs="Times New Roman" w:eastAsia="Times New Roman" w:hAnsi="Times New Roman"/>
          <w:sz w:val="14"/>
          <w:szCs w:val="14"/>
          <w:color w:val="auto"/>
        </w:rPr>
      </w:pPr>
    </w:p>
    <w:p>
      <w:pPr>
        <w:ind w:left="640" w:right="41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Girolamo that are vested and exercisable or will become vested and exercisable within 60 days of March 17, 2025 and 81,928 Class B ordinary shares beneficially owned by Mr. Girolamo.</w:t>
      </w:r>
    </w:p>
    <w:p>
      <w:pPr>
        <w:spacing w:after="0" w:line="14" w:lineRule="exact"/>
        <w:rPr>
          <w:rFonts w:ascii="Times New Roman" w:cs="Times New Roman" w:eastAsia="Times New Roman" w:hAnsi="Times New Roman"/>
          <w:sz w:val="14"/>
          <w:szCs w:val="14"/>
          <w:color w:val="auto"/>
        </w:rPr>
      </w:pPr>
    </w:p>
    <w:p>
      <w:pPr>
        <w:ind w:left="640" w:right="719" w:hanging="348"/>
        <w:spacing w:after="0" w:line="26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up to 82,500 Class A ordinary shares held by Dr. Ernst that are vested and exercisable within 60 days of March 17, 2025.</w:t>
      </w:r>
    </w:p>
    <w:p>
      <w:pPr>
        <w:ind w:left="640" w:right="419" w:hanging="348"/>
        <w:spacing w:after="0" w:line="24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footnotes 2 through 10. Also includes 2,143,158 shares held in the aggregate by executive officers other than the named executive officers including Class A ordinary shares held directly, options to purchase Class A ordinary shares that are vested and exercisable or will become vested and exercisable within 60 days of March 17, 2025 and Class B ordinary shares.</w:t>
      </w:r>
    </w:p>
    <w:p>
      <w:pPr>
        <w:spacing w:after="0" w:line="14" w:lineRule="exact"/>
        <w:rPr>
          <w:rFonts w:ascii="Times New Roman" w:cs="Times New Roman" w:eastAsia="Times New Roman" w:hAnsi="Times New Roman"/>
          <w:sz w:val="14"/>
          <w:szCs w:val="14"/>
          <w:color w:val="auto"/>
        </w:rPr>
      </w:pPr>
    </w:p>
    <w:p>
      <w:pPr>
        <w:ind w:left="640" w:right="319" w:hanging="348"/>
        <w:spacing w:after="0" w:line="229"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solely on a Schedule 13D filed with the SEC on June 25, 2024. Represents 8,441,462 Class A ordinary shares and 63,118,645 Class B ordinary shares held by Control Empresarial de Capitales, S.A. de C.V. (“CEC”). Members of the Slim family, directly or indirectly, own all of the issued and outstanding voting equity securities of CEC. Therefore, the Slim family may be deemed to beneficially own indirectly the Class B ordinary shares held by CEC. CEC is a sociedad anónima de capital variable organized under the laws of the United Mexican States (“Mexico”). The Slim family has an address of Paseo de las Palmas 736, Colonia Lomas de Chapultepec, 11000 Ciudad de Mexico, Mexico and CEC has an address of Paseo de las Palmas 781, Piso 3, Colonia Lomas de Chapultepec, Seccion III, Miguel Hidalgo, Ciudad de Mexico, Mexico, 11000.</w:t>
      </w:r>
    </w:p>
    <w:p>
      <w:pPr>
        <w:spacing w:after="0" w:line="18" w:lineRule="exact"/>
        <w:rPr>
          <w:rFonts w:ascii="Times New Roman" w:cs="Times New Roman" w:eastAsia="Times New Roman" w:hAnsi="Times New Roman"/>
          <w:sz w:val="14"/>
          <w:szCs w:val="14"/>
          <w:color w:val="auto"/>
        </w:rPr>
      </w:pPr>
    </w:p>
    <w:p>
      <w:pPr>
        <w:ind w:left="640" w:right="339" w:hanging="348"/>
        <w:spacing w:after="0" w:line="233"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14, 2022, CEC entered into the Deed of Undertaking (the “Voting Agreement”). The Voting Agreement provides that from the Closing Date until the third anniversary of the Closing (as defined below), CEC shall vote all ordinary shares beneficially held by it in a manner proportionate to the manner in which all other Class B ordinary shares not held by CEC, including the Class B ordinary shares beneficially held by Tolerantia, are voted, with respect to the election, appointment, or removal of any director to the Board. As a result, Tolerantia may be deemed to share beneficial ownership of CEC’s ordinary shares.</w:t>
      </w:r>
    </w:p>
    <w:p>
      <w:pPr>
        <w:spacing w:after="0" w:line="15" w:lineRule="exact"/>
        <w:rPr>
          <w:rFonts w:ascii="Times New Roman" w:cs="Times New Roman" w:eastAsia="Times New Roman" w:hAnsi="Times New Roman"/>
          <w:sz w:val="14"/>
          <w:szCs w:val="14"/>
          <w:color w:val="auto"/>
        </w:rPr>
      </w:pPr>
    </w:p>
    <w:p>
      <w:pPr>
        <w:ind w:left="640" w:right="319" w:hanging="348"/>
        <w:spacing w:after="0" w:line="233"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solely on a Schedule 13G/A filed with the SEC on November 8, 2024. Consists of 13,931,026 Class A ordinary shares beneficially owned by Morgan Stanley, including 13,906,811 Class A ordinary shares beneficially owned by Morgan Stanley Investment Management Inc. Morgan Stanley Investment Management Inc., a wholly-owned subsidiary of Morgan Stanley, may be deemed to own or beneficially own the shares held by Morgan Stanley as a parent holding company. The address of Morgan Stanley is 1585 Broadway New York, NY 10036.</w:t>
      </w:r>
    </w:p>
    <w:p>
      <w:pPr>
        <w:spacing w:after="0" w:line="15" w:lineRule="exact"/>
        <w:rPr>
          <w:rFonts w:ascii="Times New Roman" w:cs="Times New Roman" w:eastAsia="Times New Roman" w:hAnsi="Times New Roman"/>
          <w:sz w:val="14"/>
          <w:szCs w:val="14"/>
          <w:color w:val="auto"/>
        </w:rPr>
      </w:pPr>
    </w:p>
    <w:p>
      <w:pPr>
        <w:ind w:left="640" w:right="339" w:hanging="348"/>
        <w:spacing w:after="0" w:line="23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solely on a Schedule 13G/A filed with the SEC on October 22, 2024. Consists of 13,198,766 Class A ordinary shares beneficially owned by Mr. Cowen, including 11,428,937 Class A ordinary shares held by Averill Master Fund, Ltd. (“Averill Fund”). Mr. Cowen may be deemed to control Suvretta Capital Management, LLC, the investment manager of the Averill Fund, and therefore may be deemed to beneficially own the Class A ordinary shares held by the Averill Fund. Mr. Cowen disclaims beneficial ownership of the Class A ordinary shares reported herein except to the extent of any indirect pecuniary interest therein. The address of Mr. Cowen is c/o Suvretta Capital Management, LLC, 540 Madison Avenue, 7th Floor, New York, NY 10022.</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21"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On the Closing Date, the Company entered into an exchange agreement (the “Exchange Agreement”) with PKLP and certain Closing ProKidney Unitholders (as defined in the Exchange Agreement) pursuant to which, subject to the procedures and restrictions therein, from and after the waiver or expiration of any contractual lock-up period (including pursuant to the Lock-Up Agreement (as defined below)) the holders of common units of PKLP (or certain permitted transferees thereof) will have the right from time to time at and after 180 days following the closing of the Business Combination (the “Closing”) to exchange their common units and an equal number of Class B ordinary shares on a one-for-one basis for the Class A ordinary shares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Class A ordinary share. The Exchange Agreement provides that, as a general matter, a holder of common units of PKLP will not have the right to exchange common units if the Company determines that such exchange would be prohibited by law or regulation or would violate other agreements with the Company and its subsidiaries to which the holder of common units may be subject, including the second amended and restated limited partnership agreement of PKLP, as amended and the Exchange Agreement. In connection with the Restructuring and the domestication, ProKidney Delaware intends to amend and restate the Exchange Agreement so that it provides for the exchange of common units of ProKidney Holdings for shares of Class A common stock of ProKidney Delaware on the same material terms as the existing agreement.</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121" w:lineRule="exact"/>
        <w:rPr>
          <w:sz w:val="20"/>
          <w:szCs w:val="20"/>
          <w:color w:val="auto"/>
        </w:rPr>
      </w:pPr>
    </w:p>
    <w:p>
      <w:pPr>
        <w:ind w:left="300" w:right="299" w:firstLine="360"/>
        <w:spacing w:after="0" w:line="270" w:lineRule="auto"/>
        <w:rPr>
          <w:sz w:val="20"/>
          <w:szCs w:val="20"/>
          <w:color w:val="auto"/>
        </w:rPr>
      </w:pPr>
      <w:r>
        <w:rPr>
          <w:rFonts w:ascii="Times New Roman" w:cs="Times New Roman" w:eastAsia="Times New Roman" w:hAnsi="Times New Roman"/>
          <w:sz w:val="17"/>
          <w:szCs w:val="17"/>
          <w:color w:val="auto"/>
        </w:rPr>
        <w:t>On the Closing Date, the Company, SCS Sponsor III LLC and certain Closing ProKidney Unitholders entered into a lock-up agreement (the “Lock-Up Agreement”). The Lock-Up Agreement contains certain restrictions on transfer with respect to the SCS Sponsor III LLC and the Closing ProKidney Unitholders party thereto. Such restrictions began at the Closing and would end on the earlier of (i) the date that is 180 days after the Closing and (ii)</w:t>
      </w:r>
    </w:p>
    <w:p>
      <w:pPr>
        <w:spacing w:after="0" w:line="3" w:lineRule="exact"/>
        <w:rPr>
          <w:sz w:val="20"/>
          <w:szCs w:val="20"/>
          <w:color w:val="auto"/>
        </w:rPr>
      </w:pPr>
    </w:p>
    <w:p>
      <w:pPr>
        <w:ind w:left="300" w:right="379" w:hanging="8"/>
        <w:spacing w:after="0" w:line="251" w:lineRule="auto"/>
        <w:tabs>
          <w:tab w:leader="none" w:pos="5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33% of the Lock-Up Shares (as defined in the Lock-Up Agreement) (other than the Earnout Shares and the PIPE Shares (as each such term is defined in the Lock-Up Agreement)), the date on which the last reported sale price of a Class A ordinary share equals or exceeds $12.50 per share for any 20 trading days within any 30-trading day period commencing at least 30 days after the Closing and (b) for an additional 50% of the Lock-Up Shares (other than the Earnout Shares and the Private Placement Shares (as each such term is defined in the Lock-Up Agreement)), the date on which the last reported sale price of a Class A ordinary share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PKLP receives notice of any regulatory market authorization, including full or conditional authorization, to market its lead product candidate, Renal Autologous Cell Therapy (but, in any event, not earlier than 180 days following the Closing or (in the case of Earnout Shares) the date of issuance); and (iii) the lock-up period for the Private Placement Shares expired 30 days after the Closing. The restrictions on transfer set forth in the Lockup Agreement are subject to customary exceptions.</w:t>
      </w:r>
    </w:p>
    <w:p>
      <w:pPr>
        <w:spacing w:after="0" w:line="83"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During January 2023, the lock-up period for 50% of the shares held by the Closing ProKidney Unitholders (other than the Earnout Shares) expired.</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On the Closing Date, the Company entered into a tax receivable agreement (the “Tax Receivable Agreement”) with the holders of common units in PKLP. Pursuant to the Tax Receivable Agreement, among other things, the Company will be required to pay the holders of common units of PKLP party thereto 85% of certain tax savings recognized by the Company, if any, as a result of the increases in tax basis attributable to exchanges by the holders of common units of PKLP for Class A ordinary shares or, subject to certain restrictions, cash, pursuant to the Exchange Agreement and certain other tax attributes of PKLP and tax benefits related to entering into the Tax Receivable Agreement. In connection with the Restructuring and the domestication, ProKidney Delaware intends to amend and restate the Tax Receivable Agreement so that ProKidney Delaware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will succeed to the aforementioned obligations of ProKidney. As a result, holders of ProKidney Holdings common units will receive 85% of certain tax savings recognized by ProKidney Delaware, if any, pursuant to the Tax Receivable Agreement attributable to exchanges of common units of ProKidney Holdings for Class A common stock of ProKidney Delaware. These payment obligations under the Tax Receivable Agreement could have been greater or lesser than what they might have been had ProKidney determined to migrate to a jurisdiction other than the United States. The amount and timing of any payments under the Tax Receivable Agreement remains dependent upon a number of factors. Because ProKidney Holdings does not expect to generate significant operating revenues in the near future, if at all, ProKidney Delaware’s payment obligations under the Tax Receivable Agreement in the near future, if any, are not expected to be material.</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Earnout Rights</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At the Closing, certain shareholders of ProKidney were issued an aggregate of 17,500,000 Earnout Restricted Common Units and 17,500,000 Earnout Restricted Stock Rights (collectively, the “Earnout Rights”). As a result of the domestication and related Restructuring, these Earnout Rights will convert, on a one-for-one basis into restricted common units of ProKidney Holdings and restricted stock rights for Class B common stock of ProKidney Delaware (the “Delaware Earnout Rights”). </w:t>
      </w:r>
    </w:p>
    <w:p>
      <w:pPr>
        <w:spacing w:after="0" w:line="75" w:lineRule="exact"/>
        <w:rPr>
          <w:sz w:val="20"/>
          <w:szCs w:val="20"/>
          <w:color w:val="auto"/>
        </w:rPr>
      </w:pPr>
    </w:p>
    <w:p>
      <w:pPr>
        <w:ind w:left="300" w:right="379" w:firstLine="360"/>
        <w:spacing w:after="0" w:line="277" w:lineRule="auto"/>
        <w:rPr>
          <w:sz w:val="20"/>
          <w:szCs w:val="20"/>
          <w:color w:val="auto"/>
        </w:rPr>
      </w:pPr>
      <w:r>
        <w:rPr>
          <w:rFonts w:ascii="Times New Roman" w:cs="Times New Roman" w:eastAsia="Times New Roman" w:hAnsi="Times New Roman"/>
          <w:sz w:val="17"/>
          <w:szCs w:val="17"/>
          <w:color w:val="auto"/>
        </w:rPr>
        <w:t>The Delaware Earnout Rights vest in three equal tranches if, during the five-year period after the Closing, the VWAP of a Class A common share reaches $15.00 per share, $20.00 per share and $25.00 per share. Likewise, the Delaware Earnout Rights will vest upon a change of control with a per share price exceeding the those same VWAP thresholds within a five-year period immediately following the Closing. Upon vesting, the Delaware Earnout Rights will automatically convert into common units of ProKidney Holdings and shares of Class B common stock. </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Consulting Services Agreement between ProKidney-KY and Nefro Health</w:t>
      </w:r>
    </w:p>
    <w:p>
      <w:pPr>
        <w:spacing w:after="0" w:line="121"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On January 1, 2020, ProKidney-KY (formerly known as inRegen) entered into a consulting services agreement (the “KY Consulting Services Agreement”) with Nefro Health (“Nefro”), an Irish partnership controlled and majority-owned by Mr. Pablo Legorreta, a director of the Company, pursuant to which Nefro provides consulting services for the research and development of the Company’s product candidates, including the conduct of clinical trials in North America and the European Union, the design and manufacturing of ProKidney’s product candidates as well as pre-commercialization activities. Under the KY Consulting Services Agreement, Nefro receives $25,000 per quarter and is reimbursed for any out-of-pocket expenses incurred in connection with activities Nefro conducted under the agreement. ProKidney-KY has paid Nefro an aggregate of $100,000 for each of the years ended December 31, 2024, 2023 and 2022. The initial term of the KY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the KY Consulting Services Agreement upon the occurrence of a material breach by the other party in the performance of its obligations under the KY Consulting Services Agreement or in respect of any provision, representation, warranty or covenant if such breach has not been cured within thirty (30) days after receiving written notice from the non-breaching party. Additionally, either of the parties may terminate the KY Consulting Services Agreement for any reason upon giving thirty (30) days’ advance notice of such termination to the other party. In the event of such termination, ProKidney-KY will be obligated to pay Nefro any earned but unpaid consulting fee as of the termination date. In connection with the Restructuring, it is intended that the KY Consulting Services Agreement will become an obligation of ProKidney IPCo.</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Consulting Services Agreement between ProKidney-US and Nefro Health</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On January 1, 2020, ProKidney-US (formerly known as Twin City Bio, LLC) entered into a consulting services agreement (“US Consulting Service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 Under the US Consulting Service Agreement, Nefro receives $25,000 per quarter and is reimbursed for any out-of-pocket expenses incurred in connection with activities Nefro conducted under the agreement. ProKidney-US has paid Nefro an aggregate of $100,000 for each of the years ended December 31, 2024, 2023 and 2022. The initial term of the US Consulting Service Agreement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71" w:lineRule="auto"/>
        <w:rPr>
          <w:sz w:val="20"/>
          <w:szCs w:val="20"/>
          <w:color w:val="auto"/>
        </w:rPr>
      </w:pPr>
      <w:r>
        <w:rPr>
          <w:rFonts w:ascii="Times New Roman" w:cs="Times New Roman" w:eastAsia="Times New Roman" w:hAnsi="Times New Roman"/>
          <w:sz w:val="17"/>
          <w:szCs w:val="17"/>
          <w:color w:val="auto"/>
        </w:rPr>
        <w:t>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the US Consulting Service Agreement upon the occurrence of a material breach by the other party in the performance of its obligations under the US Consulting Service Agreement or in respect of any provision, representation, warranty or covenant if such breach has not been cured within thirty (30) days after receiving written notice from the non-breaching party. Additionally, either of the parties may terminate the US Consulting Service Agreement for any reason upon giving thirty (30) days’ advance notice of such termination to the other party. In the event of such termination, ProKidney-US will be obligated to pay Nefro any earned but unpaid consulting fee as of the termination date.</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customary indemnification agreements with our executive officers and directors that provide, in general, that we will provide them with customary indemnification in connection with their service to us or on our behalf.</w:t>
      </w:r>
    </w:p>
    <w:p>
      <w:pPr>
        <w:spacing w:after="0" w:line="68"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These indemnification agreements require us, among other things, to indemnify our directors and officers against liabilities that may arise by reason of their status or service as directors or officers, other than liabilities arising from willful misconduct. These indemnification agreements also require us to advance any expenses incurred by the directors or officers as a result of any proceeding against them as to which they could be indemnified and to obtain directors’ and officers’ insurance, if available on reasonable terms. In connection with the domestication, ProKidney Delaware is expected to enter into new indemnification agreements with its executive officers and directors to provide contractual rights to indemnification. </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ind w:left="300" w:right="1119" w:firstLine="360"/>
        <w:spacing w:after="0" w:line="282" w:lineRule="auto"/>
        <w:rPr>
          <w:sz w:val="20"/>
          <w:szCs w:val="20"/>
          <w:color w:val="auto"/>
        </w:rPr>
      </w:pPr>
      <w:r>
        <w:rPr>
          <w:rFonts w:ascii="Times New Roman" w:cs="Times New Roman" w:eastAsia="Times New Roman" w:hAnsi="Times New Roman"/>
          <w:sz w:val="18"/>
          <w:szCs w:val="18"/>
          <w:color w:val="auto"/>
        </w:rPr>
        <w:t>We have adopted a written related person transaction policy that sets forth the following policies and procedures for the review and approval or ratification of related person transactions.</w:t>
      </w:r>
    </w:p>
    <w:p>
      <w:pPr>
        <w:spacing w:after="0" w:line="54" w:lineRule="exact"/>
        <w:rPr>
          <w:sz w:val="20"/>
          <w:szCs w:val="20"/>
          <w:color w:val="auto"/>
        </w:rPr>
      </w:pPr>
    </w:p>
    <w:p>
      <w:pPr>
        <w:ind w:left="300" w:right="399" w:firstLine="360"/>
        <w:spacing w:after="0" w:line="276" w:lineRule="auto"/>
        <w:rPr>
          <w:sz w:val="20"/>
          <w:szCs w:val="20"/>
          <w:color w:val="auto"/>
        </w:rPr>
      </w:pPr>
      <w:r>
        <w:rPr>
          <w:rFonts w:ascii="Times New Roman" w:cs="Times New Roman" w:eastAsia="Times New Roman" w:hAnsi="Times New Roman"/>
          <w:sz w:val="17"/>
          <w:szCs w:val="17"/>
          <w:color w:val="auto"/>
        </w:rPr>
        <w:t>A “Related Person Transaction” is a transaction, arrangement or relationship in which the Company or any of its subsidiaries was, is or will be a participant, the amount of which involved exceeds the lesser of (i) $120,000, and</w:t>
      </w:r>
    </w:p>
    <w:p>
      <w:pPr>
        <w:spacing w:after="0" w:line="1" w:lineRule="exact"/>
        <w:rPr>
          <w:sz w:val="20"/>
          <w:szCs w:val="20"/>
          <w:color w:val="auto"/>
        </w:rPr>
      </w:pPr>
    </w:p>
    <w:p>
      <w:pPr>
        <w:ind w:left="300" w:right="319" w:hanging="8"/>
        <w:spacing w:after="0" w:line="265" w:lineRule="auto"/>
        <w:tabs>
          <w:tab w:leader="none" w:pos="56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percent of the average of the Company’s total assets at year end for the last two completed fiscal years,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Notwithstanding anything to the contrary herein,</w:t>
      </w:r>
    </w:p>
    <w:p>
      <w:pPr>
        <w:jc w:val="both"/>
        <w:ind w:left="300" w:right="299" w:hanging="8"/>
        <w:spacing w:after="0" w:line="253" w:lineRule="auto"/>
        <w:tabs>
          <w:tab w:leader="none" w:pos="5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 by the Company pursuant to the Exchange Agreement to deliver any Cash Exchange Notice or make any Cash Exchange Payment (as such terms are defined in the Exchange Agreement) with any Related Person or any affiliate of any Related Person and (ii) any material amendment to the Exchange Agreement, are deemed to be related person transactions.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“Related Person” is:</w:t>
      </w:r>
    </w:p>
    <w:p>
      <w:pPr>
        <w:spacing w:after="0" w:line="117" w:lineRule="exact"/>
        <w:rPr>
          <w:sz w:val="20"/>
          <w:szCs w:val="20"/>
          <w:color w:val="auto"/>
        </w:rPr>
      </w:pPr>
    </w:p>
    <w:p>
      <w:pPr>
        <w:ind w:left="1000" w:right="53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was an executive officer, director, or director nominee of the Company at any time since the beginning of the Company’s last fiscal year;</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is or was an Immediate Family Member (as defined below) of an executive officer, director, director nominee at any time since the beginning of the Company’s last fiscal year;</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at the time of the occurrence or existence of the transaction, is the beneficial owner of more than 5% of any class of the Company’s voting securities (a “Significant Stockholder”); or</w:t>
      </w:r>
    </w:p>
    <w:p>
      <w:pPr>
        <w:spacing w:after="0" w:line="5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at the time of the occurrence or existence of the transaction, is an Immediate Family Member of a Significant Stockholder of the Company.</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spacing w:after="0" w:line="68" w:lineRule="exact"/>
        <w:rPr>
          <w:sz w:val="20"/>
          <w:szCs w:val="20"/>
          <w:color w:val="auto"/>
        </w:rPr>
      </w:pPr>
    </w:p>
    <w:p>
      <w:pPr>
        <w:ind w:left="300" w:right="619" w:firstLine="360"/>
        <w:spacing w:after="0" w:line="312" w:lineRule="auto"/>
        <w:rPr>
          <w:sz w:val="20"/>
          <w:szCs w:val="20"/>
          <w:color w:val="auto"/>
        </w:rPr>
      </w:pPr>
      <w:r>
        <w:rPr>
          <w:rFonts w:ascii="Times New Roman" w:cs="Times New Roman" w:eastAsia="Times New Roman" w:hAnsi="Times New Roman"/>
          <w:sz w:val="17"/>
          <w:szCs w:val="17"/>
          <w:color w:val="auto"/>
        </w:rPr>
        <w:t>The Company has implemented policies and procedures designed to minimize potential conflicts of interest arising from any dealings it may have with its affiliates and to provide appropriate procedures for the disclosure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of any real or potential conflicts of interest that may exist from time to time. Specifically, pursuant to its charter, the audit committee has the responsibility to review related party transactions.</w:t>
      </w:r>
    </w:p>
    <w:p>
      <w:pPr>
        <w:spacing w:after="0" w:line="5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Under the related person transaction policy, any related person transaction will be reviewed and approved by the audit committee prior to effectiveness or consummation of the transaction, whenever practicable, and if advance approval is not practicable under the circumstances, ratified by the audit committee at its next meeting. Alternatively, a related person transaction arising in the time period between meetings of the audit committee may be presented to the chairperson of the audit committee, who shall review and may approve the related person transaction, subject to ratification by the audit committee at the next meeting of the audit committee.</w:t>
      </w:r>
    </w:p>
    <w:p>
      <w:pPr>
        <w:spacing w:after="0" w:line="79"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To identify related person transactions in advance, we expect to rely on information supplied by our executive officers, directors and certain significant shareholders. In considering related person transactions, our audit committee is expected to take into account the relevant available facts and circumstances, which may include, but are not limited to:</w:t>
      </w:r>
    </w:p>
    <w:p>
      <w:pPr>
        <w:spacing w:after="0" w:line="72" w:lineRule="exact"/>
        <w:rPr>
          <w:sz w:val="20"/>
          <w:szCs w:val="20"/>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transaction;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transaction;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business of the Company;</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with the related person is proposed to be, or was, entered into on terms no less favorable to the Company than terms that could have been reached with an unrelated third party;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the Company of, the transaction; and</w:t>
      </w:r>
    </w:p>
    <w:p>
      <w:pPr>
        <w:spacing w:after="0" w:line="117" w:lineRule="exact"/>
        <w:rPr>
          <w:rFonts w:ascii="Times New Roman" w:cs="Times New Roman" w:eastAsia="Times New Roman" w:hAnsi="Times New Roman"/>
          <w:sz w:val="18"/>
          <w:szCs w:val="18"/>
          <w:color w:val="auto"/>
        </w:rPr>
      </w:pPr>
    </w:p>
    <w:p>
      <w:pPr>
        <w:ind w:left="1000" w:right="539" w:hanging="348"/>
        <w:spacing w:after="0" w:line="312" w:lineRule="auto"/>
        <w:tabs>
          <w:tab w:leader="none" w:pos="10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information regarding the transaction or the related person in the context of the proposed transaction that would be material to investors in light of the circumstances of the particular transaction.</w:t>
      </w:r>
    </w:p>
    <w:p>
      <w:pPr>
        <w:spacing w:after="0" w:line="32"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will approve only those transactions that it determines are fair to the Company and in the Company’s best interests.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following description of ProKidney Delaware’s capital stock reflects ProKidney Delaware’s capital stock as it will exist upon completion of the domestication, at the effective time of the domestication. Subject to the approval of the domestication proposal and the new charter proposal, at the effective time of the domestication ProKidney Delaware’s capital stock will be governed by the Proposed Charter and Proposed Bylaws and the DGCL. This description is a summary and is not complete. We urge you to read in their entirety ProKidney Delaware’s Proposed Organizational Documents, which, subject to the approval of the domestication proposal and the new charter proposal, will be in effect at the effective time of the domestication and are attached to this proxy statement/prospectus as Annexes B and C. The following summary should be read in conjunction with the section entitled “</w:t>
      </w:r>
      <w:r>
        <w:rPr>
          <w:rFonts w:ascii="Times New Roman" w:cs="Times New Roman" w:eastAsia="Times New Roman" w:hAnsi="Times New Roman"/>
          <w:sz w:val="18"/>
          <w:szCs w:val="18"/>
          <w:i w:val="1"/>
          <w:iCs w:val="1"/>
          <w:color w:val="auto"/>
        </w:rPr>
        <w:t>Comparison of Corporate Governance and Shareholder Rights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Proposed Charter authorizes the issuance of 1,250,000,000 shares of capital stock, consisting of</w:t>
      </w:r>
    </w:p>
    <w:p>
      <w:pPr>
        <w:spacing w:after="0" w:line="27" w:lineRule="exact"/>
        <w:rPr>
          <w:sz w:val="20"/>
          <w:szCs w:val="20"/>
          <w:color w:val="auto"/>
        </w:rPr>
      </w:pPr>
    </w:p>
    <w:p>
      <w:pPr>
        <w:ind w:left="540" w:hanging="248"/>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700,000,000 shares of ProKidney Delaware's Class A common stock, par value $0.0001 per share,</w:t>
      </w:r>
    </w:p>
    <w:p>
      <w:pPr>
        <w:spacing w:after="0" w:line="9" w:lineRule="exact"/>
        <w:rPr>
          <w:rFonts w:ascii="Times New Roman" w:cs="Times New Roman" w:eastAsia="Times New Roman" w:hAnsi="Times New Roman"/>
          <w:sz w:val="18"/>
          <w:szCs w:val="18"/>
          <w:color w:val="auto"/>
        </w:rPr>
      </w:pPr>
    </w:p>
    <w:p>
      <w:pPr>
        <w:ind w:left="300" w:right="339" w:hanging="8"/>
        <w:spacing w:after="0" w:line="251" w:lineRule="auto"/>
        <w:tabs>
          <w:tab w:leader="none" w:pos="5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of ProKidney Delaware's Class B common stock, par value $0.0001 per share and 50,000,000 shares of ProKidney Delaware’s preferred stock, par value $0.0001 per share. All issued and outstanding shares of capital stock of ProKidney Delaware in connection with domestication will be, duly authorized, validly issued, fully paid and non-assessable. As of the record date for the annual general meeting, there were (1) [•] shares of Class A ordinary shares of ProKidney issued and outstanding held by [•] holders of record and [•] shares of Class B ordinary shares of ProKidney issued and outstanding held by [•] holders of record and (2) no shares of ProKidney’s preferred stock outstanding. Such numbers do not include DTCC participants or beneficial owners holding shares through nominee names.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21"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At the effective time of the domestication, there will be approximately [•] shares of Class A common stock outstanding. All shares of Class A common stock to be issued in connection with the domestication will be validly issued, fully paid and non-assessable.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the affirmative vote of a majority in voting power of shares of stock present in person or represented by proxy and entitled to vote thereon (or, in the case of election of directors, by a plurality of voting power of the outstanding shares present in person or represented by proxy and entitled to vote on the election of directors), except as otherwise provided by the Proposed Charter or any applicable law. Notwithstanding the foregoing, the holders of the outstanding shares of Class A common stock will be entitled to vote separately upon any amendment to the Proposed Charter (including by merger, consolidation, reorganization or similar event) that would alter or change the powers, preferences or special rights of such class of common stock in a manner that is adverse as compared to the Class B common stock (in addition to any other class vote required by applicable law).</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Subject to applicable law and the preferences that may be applicable to any shares of preferred stock then outstanding, the holders of shares of Class A common stock are entitled to receive ratably such dividends, if any, as may be declared from time to time by the board of directors of ProKidney Delaware out of assets of ProKidney Delaware legally available therefor.</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Subject to applicable law, in the event of any voluntary or involuntary liquidation, dissolution or winding up of ProKidney Delaware’s affairs, after payment of ProKidney Delaware’s debts and other liabilities, and of preferential and other amounts, if any, to which the holders of preferred stock are entitled, if any, the holders of the shares of Class A common stock are entitled to (i) receive, pari passu with the holders of shares of Class B common stock, an amount per share equal to the par value thereof, and (ii) thereafter, to share ratably in all assets remaining and available for distribution.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(other than in connection with certain issuances of common units under the limited liability company agreement of ProKidney Holdings). There are no redemption or sinking fund provisions applicable to the shares of Class A common stock. The rights, preferences and privileges of holders of shares of Class A common stock will be subject to those of the holders of any shares of preferred stock ProKidney Delaware may issue in the future.</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21"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At the effective time of the domestication, there will be approximately [•] shares of Class B common stock outstanding. All shares of Class B common stock to be issued in connection with the domestication will be validly issued, fully paid and non-assessable.</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B common stock is entitled to one vote for each share of Class B common stock held of record by such holder on all matters on which stockholders generally are entitled to vote. The holders of the shares of Class B common stock do not have cumulative voting rights in the election of directors. Generally, all matters to be voted on by stockholders must be approved by the affirmative vote of a majority in voting power of shares of stock present in person or represented by proxy and entitle to vote thereon (or, in the case of election of directors, by a plurality of voting power of the outstanding shares present in person or represented by proxy and entitled to vote on the election of directors), except as otherwise provided by the certificate of incorporation of ProKidney Delaware or any applicable law. Notwithstanding the foregoing, the holders of the outstanding shares of Class B common stock will be entitled to vote separately upon any amendment to the Proposed Charter (including by merger, consolidation, reorganization or similar event) that would alter or change the powers, preferences or special rights of such class of common stock in a manner that is adverse as compared to the Class A common stock (in addition to any other class vote required by applicable law).</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Except as provided in the Proposed Charter with respect to stock dividends, dividends of cash or property will not be declared by the board of directors of ProKidney Delaware or paid on shares of Class B common stock.</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ProKidney Delaware’s affairs, the holders of Class B common stock are not entitled to receive any assets of ProKidney Delaware in excess of the par value of such shares (which such payment shall be pari passu with the holders of outstanding shares of Class A common stock).</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Certain holders of shares of Class B common stock, who are also holders of common units of ProKidney Holdings (or certain permitted transferees thereof), subject to the procedures and restrictions set forth in the Exchange Agreement, have the right to exchange one common unit of ProKidney Holdings and one share of Class B common stock (the “Paired Interest”) for one share of Class A common stock. For more information, see the section entitled “</w:t>
      </w:r>
      <w:r>
        <w:rPr>
          <w:rFonts w:ascii="Times New Roman" w:cs="Times New Roman" w:eastAsia="Times New Roman" w:hAnsi="Times New Roman"/>
          <w:sz w:val="18"/>
          <w:szCs w:val="18"/>
          <w:i w:val="1"/>
          <w:iCs w:val="1"/>
          <w:color w:val="auto"/>
        </w:rPr>
        <w:t>Certain Relationships and Related Person Transactions—Exchange Agreement</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holders of shares of Class B common stock do not have other preemptive, subscription, redemption or conversion rights. There will be no redemption or sinking fund provisions applicable to the Class B common stock, other than with respect to the exchange of the Paired Interests of Class A common stock pursuant to the Exchange Agreement.</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Issuance and Retirement of Class B Common Stock</w:t>
      </w:r>
    </w:p>
    <w:p>
      <w:pPr>
        <w:spacing w:after="0" w:line="121"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In the event that any outstanding share of Class B common stock ceases to be held directly or indirectly by a holder of a corresponding common unit of ProKidney Holdings, such share will automatically be transferred to ProKidney Delaware for no consideration and thereupon will be retired.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 shares of preferred stock will be issued or outstanding immediately after the completion of the domestication. The Proposed Charter will authorize the board of directors of ProKidney Delaware, subject to any limitations prescribed by the DGCL, by resolution or resolutions, at any time and from time to time, to provide, out of the authorized but unissued shares of preferred stock, for one or more series of preferred stock and, with respect to each such series, to fix the number of shares constituting such series, and the designation of such series, the voting powers (whether none, limited or full)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provided that the aggregate number of shares issued and not retired of any and all such series shall not exceed the total number of shares of preferred stock authorized in the Proposed Charter. The powers, including voting powers (whether none, limited or full), preferences and relative, participating, optional and other special rights, if any,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ProKidney Delaware without further action by the stockholders. Additionally, the issuance of preferred stock may adversely affect the holders of the common stock of ProKidney Delaware by restricting dividends on the shares of Class A common stock, diluting the voting power of the shares of Class A common stock and the shares of Class B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Restricted Stock Rights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Earnout Restricted Stock Rights</w:t>
      </w:r>
    </w:p>
    <w:p>
      <w:pPr>
        <w:spacing w:after="0" w:line="11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At the Closing, certain shareholders of ProKidney were issued an aggregate of 17,500,000 Earnout Restricted Common Units and 17,500,000 Earnout Restricted Stock Rights (collectively, the “Earnout Rights”). As a result of the domestication and related Restructuring, these Earnout Rights will convert, on a one-for-one basis into restricted common units of ProKidney Holdings and restricted stock rights for Class B common stock of ProKidney Delaware (the “Delaware Earnout Rights”).</w:t>
      </w:r>
    </w:p>
    <w:p>
      <w:pPr>
        <w:spacing w:after="0" w:line="75"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Delaware Earnout Rights vest in three equal tranches if, during the five-year period after the Closing, the VWAP of a Class A common share reaches $15.00 per share, $20.00 per share and $25.00 per share. Likewise, the Delaware Earnout Rights will vest upon a change of control with a per share price exceeding those same VWAP thresholds within a five-year period immediately following the Closing. Upon vesting, the Delaware Earnout Rights will automatically convert into common units of ProKidney Holdings and shares of Class B common stock.</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PMEL Restricted Stock Rights</w:t>
      </w:r>
    </w:p>
    <w:p>
      <w:pPr>
        <w:spacing w:after="0" w:line="119"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At the Closing, certain persons who held indirect interests in PKLP through ProKidney Management Equity LLC (“PMEL”) were issued an aggregate of 9,276,039 PMEL Restricted Common Units and 9,276,039 PMEL Restricted Stock Rights (collectively, the “PMEL Rights”). Prior to the domestication, PMEL Rights vested into common units of PKLP and Class B ordinary shares in accordance with the terms of the applicable award agreement (the “PMEL Award Agreement”) between the holder of such PMEL Rights and PMEL as such award agreement was in effect immediately prior to the Closing. As of March 31, 2025, 779,856 PMEL Restricted Common Units and 779,856 PMEL Restricted Stock Rights remain outstanding.</w:t>
      </w:r>
    </w:p>
    <w:p>
      <w:pPr>
        <w:spacing w:after="0" w:line="81"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As a result of the domestication and related Restructuring, the PMEL Rights will convert, on a one-for-one basis into restricted common units of ProKidney Holdings and restricted stock rights for Class B common stock of ProKidney Delaware and will continue to vest in accordance with the terms of the applicable PMEL Award Agreement into common units of ProKidney Holdings and Class B common stock of ProKidney Delaware.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the Proposed Charter and the Proposed Bylaws</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Certain provisions of the Proposed Charter and the Proposed Bylaws, as described below, could have the effect of delaying, deterring or preventing another party from acquiring or seeking to acquire control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ProKidney Delaware. These provisions are intended to discourage certain types of coercive takeover practices and inadequate takeover bids and to encourage anyone seeking to acquire control of us to negotiate first with the board of directors. However, these provisions may also delay, deter or prevent a change in control or other takeover of ProKidney Delaware that stockholders of ProKidney Delaware might consider to be in their best interests, including transactions that might result in a premium being paid over the market price of the common stock and also may limit the price that investors are willing to pay in the future for the common stock. These provisions may also have the effect of preventing changes in our management. We believe that the benefits of increased protection give ProKidney Delaware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board of directors of ProKidney Delaware will initially be comprised of eight directors. The Proposed Charter provides that, subject to the right of holders of any series of preferred stock, the board of directors is divided into three classes of directors, apportioned to consist of, as nearly as possible, one third of the total number of directors, designated Class I, Class II and Class III, and with the directors serving staggered three-year terms, with only one class of directors being elected at each annual meeting. As a result, approximately one-third of the Board will be elected each year.</w:t>
      </w:r>
    </w:p>
    <w:p>
      <w:pPr>
        <w:spacing w:after="0" w:line="7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classification of directors has the effect of making it more difficult for members to change the composition of the board of directors. The Proposed Charter provides that the board of directors may increase or reduce the upper and lower limits of the number of directors by one or more resolutions of the Board, provided that in no event will a decrease in the number of directors shorten the term of any director then in office.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 Meetings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Proposed Charter and the Proposed Bylaws provide that, subject to the rights of the holders of any outstanding series of preferred stock, special meetings of ProKidney Delaware’s stockholders may be called only by the chairperson of the board of directors of ProKidney Delaware, the chief executive officer or at the direction of the board pursuant to a written resolution adopted by a majority of the total number of directors that ProKidney Delaware would have if there were no vacancies.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Consent</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Proposed Charter provides that any action required or permitted to be taken by the stockholders of ProKidney Delaware may be effected only at a duly called annual or special meeting of stockholders of ProKidney Delaware and may not be effected by any consent by such stockholders; provided, however, that any action required or permitted to be taken by the holders of Class B common stock, voting separately as a class, may be effected by the consent or consents (setting forth the action so taken) of the holders of the outstanding shares of Class B common stock having not less than the minimum number of votes that would be necessary to authorize or take such action at a meeting at which all shares entitled to vote thereon were present and voted, consenting together as a single class in lieu of a duly called annual or special meeting of holders of Class B common stock; provided, further, that any action required or permitted to be taken by the holders of any or all series of preferred stock voting separately as a series of preferred stock or separately as a class of preferred stock (including with respect to any such action specified in the Proposed Charter or any certificate of designation relating to any series of preferred stock) may be effected by the consent or consents (setting forth the action so taken), of the holders of outstanding shares of the relevant class or series of preferred stock having not less than the minimum number of votes that would be necessary to authorize or take such action at a meeting at which all shares entitled to vote thereon were present and voted.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Amendment of Bylaws</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The Proposed Bylaws may generally be altered, amended or repealed, and new bylaws of ProKidney Delaware may be adopted, by:</w:t>
      </w:r>
    </w:p>
    <w:p>
      <w:pPr>
        <w:spacing w:after="0" w:line="54" w:lineRule="exact"/>
        <w:rPr>
          <w:sz w:val="20"/>
          <w:szCs w:val="20"/>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majority of the Board; or</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holders of at least at least 66 2/3% of the voting power of all of the then-outstanding shares of the capital stock of ProKidney Delaware entitled to vote thereon, voting together as a single class.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Proposed Charter requires that ProKidney Delaware indemnify (and advance expenses to) its directors and officers to the fullest extent permitted by law, provided that we are not required to indemnify (or advance expenses to) any director or officer in connection with any proceeding (or part thereof) initiated by such person unless (i) such indemnification is expressly required to be made by law, (ii) the proceeding was authorized by our board of directors, (iii) such indemnification is provided by the Company, in its sole discretion, pursuant to the powers vested in the Company under the DGCL or any other applicable law, or (iv) such indemnification is required to be made under the indemnification rights enforcement provision of the Proposed Bylaws.</w:t>
      </w:r>
    </w:p>
    <w:p>
      <w:pPr>
        <w:spacing w:after="0" w:line="81" w:lineRule="exact"/>
        <w:rPr>
          <w:sz w:val="20"/>
          <w:szCs w:val="20"/>
          <w:color w:val="auto"/>
        </w:rPr>
      </w:pPr>
    </w:p>
    <w:p>
      <w:pPr>
        <w:jc w:val="both"/>
        <w:ind w:left="300" w:right="679" w:firstLine="360"/>
        <w:spacing w:after="0" w:line="261" w:lineRule="auto"/>
        <w:rPr>
          <w:sz w:val="20"/>
          <w:szCs w:val="20"/>
          <w:color w:val="auto"/>
        </w:rPr>
      </w:pPr>
      <w:r>
        <w:rPr>
          <w:rFonts w:ascii="Times New Roman" w:cs="Times New Roman" w:eastAsia="Times New Roman" w:hAnsi="Times New Roman"/>
          <w:sz w:val="18"/>
          <w:szCs w:val="18"/>
          <w:color w:val="auto"/>
        </w:rPr>
        <w:t>Pursuant to the Proposed Charter, no director or officer of ProKidney Delaware will be personally liable to ProKidney Delaware or its stockholders for monetary damages for any breach of fiduciary duty as a director or officer, except to the extent such exception from liability or limitation thereof is not permitted under the DGCL. Currently, Delaware law prohibits corporations from eliminating or limiting the liability of:</w:t>
      </w:r>
    </w:p>
    <w:p>
      <w:pPr>
        <w:spacing w:after="0" w:line="72" w:lineRule="exact"/>
        <w:rPr>
          <w:sz w:val="20"/>
          <w:szCs w:val="20"/>
          <w:color w:val="auto"/>
        </w:rPr>
      </w:pPr>
    </w:p>
    <w:p>
      <w:pPr>
        <w:ind w:left="1000" w:right="73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breach of the director’s or officer’s duty of loyalty to our company or our stockholders;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acts or omissions not in good faith or which involved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for unlawful payments of dividends or unlawful stock repurchases or redemptions as provided in Section 174 of the DGCL;</w:t>
      </w:r>
    </w:p>
    <w:p>
      <w:pPr>
        <w:spacing w:after="0" w:line="53"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transaction from which the director or officer derived an improper personal benefit; and</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the right of the corporation. The limitation of liability of officers of ProKidney is limited only to persons who at the time of an act or omission as to which liability is asserted is deemed to have consented to service by the delivery of process to the registered agent of ProKidney pursuant to Section 3114(b) of Title 10 of the Delaware Code.</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ProKidney Delaware will be subject to Section 203 of the DGCL. Section 203 provides that ProKidney Delaware may not engage in a broad range of “business combinations” with any “interested stockholder” for a three-year period following the time that the person became an interested stockholder unless:</w:t>
      </w:r>
    </w:p>
    <w:p>
      <w:pPr>
        <w:spacing w:after="0" w:line="68" w:lineRule="exact"/>
        <w:rPr>
          <w:sz w:val="20"/>
          <w:szCs w:val="20"/>
          <w:color w:val="auto"/>
        </w:rPr>
      </w:pPr>
    </w:p>
    <w:p>
      <w:pPr>
        <w:ind w:left="1000" w:right="379" w:hanging="348"/>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approved either the business combination or the transaction which resulted in the stockholder becoming an interested stockholder;</w:t>
      </w:r>
    </w:p>
    <w:p>
      <w:pPr>
        <w:spacing w:after="0" w:line="53"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0"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time the business combination is approved by the Board and authorized at an annual or special meeting of the stockholders, and not by written consent, by the affirmative vote of at least 66 2/3% of the outstanding voting stock which is not owned by the interested stockholder.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Generally, a business combination includes a merger, consolidation, asset or stock sale, issuances of securities or other transaction resulting in a financial benefit to the interested stockholder. Subject to certain exceptions, an interested stockholder is a person who, together with that person’s affiliates and associates (as such terms are defined in Section 203 of the DGCL), owns (as such term is defined in Section 203 of the DGLC), or within the previous three years owned, 15% or more of our voting stock.</w:t>
      </w:r>
    </w:p>
    <w:p>
      <w:pPr>
        <w:spacing w:after="0" w:line="75"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Section 203 could prohibit or delay mergers or other takeover or change in control attempts with respect to us and, accordingly, may discourage attempts to acquire us. Given existing commercial relationships as disclosed in “</w:t>
      </w:r>
      <w:r>
        <w:rPr>
          <w:rFonts w:ascii="Times New Roman" w:cs="Times New Roman" w:eastAsia="Times New Roman" w:hAnsi="Times New Roman"/>
          <w:sz w:val="18"/>
          <w:szCs w:val="18"/>
          <w:i w:val="1"/>
          <w:iCs w:val="1"/>
          <w:color w:val="auto"/>
        </w:rPr>
        <w:t>Certain Relationships and Related Person Transactions</w:t>
      </w:r>
      <w:r>
        <w:rPr>
          <w:rFonts w:ascii="Times New Roman" w:cs="Times New Roman" w:eastAsia="Times New Roman" w:hAnsi="Times New Roman"/>
          <w:sz w:val="18"/>
          <w:szCs w:val="18"/>
          <w:color w:val="auto"/>
        </w:rPr>
        <w:t>”, in connection with the domestication, the Board intends to adopt a resolution approving as an “interested stockholder” one or more existing stockholders, together with their affiliates or associates, effective upon the effective time of the domestication for purposes of Section 203 of the DGCL.</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Exclusive Forum Provision</w:t>
      </w:r>
    </w:p>
    <w:p>
      <w:pPr>
        <w:spacing w:after="0" w:line="121"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The Proposed Charter provides that, unless ProKidney Delaware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to the fullest extent permitted by applicable law, be the sole and exclusive forum for (A) any derivative action or proceeding brought on behalf of ProKidney Delaware; (B) any action or proceeding (including any class action) asserting a claim of breach of a fiduciary duty owed by any current or former director, officer or other employee of ProKidney Delaware to ProKidney Delaware or ProKidney Delaware’s stockholders; (C) any action or proceeding (including any class action) asserting a claim against ProKidney Delaware or any current or former director, officer or other employee of ProKidney Delaware arising out of or pursuant to any provision of the DGCL, the Proposed Charter or the Proposed Bylaws (as each may be amended from time to time); (D) any action or proceeding (including any class action) to interpret, apply, enforce or determine the validity of the Proposed Charter or the Proposed Bylaws(including any right, obligation or remedy thereunder); (E) any action or proceeding as to which the DGCL confers jurisdiction to the Court of Chancery of the State of Delaware; and/or (F) any action or claim against the Corporation or any current or former director, officer or other employee of ProKidney Delaware governed by the internal affairs doctrine or an “internal corporate claim” as defined in Section 115 of the DGCL, in each case, subject to said court having personal jurisdiction over the indispensable parties named as defendants therein.</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the common stock will be Continental Stock Transfer &amp; Trust Company.</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 A common stock will be listed on the Nasdaq Capital Market under the symbol “PROK.”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following summary is a discussion of material U.S. federal income tax considerations of the domestication generally applicable to holders of ProKidney Class A ordinary shares and common stock. This section applies only to holders that hold their ProKidney Class A ordinary shares and common stock as capital assets for U.S. federal income tax purposes (generally, property held for investment). This section is general in nature and does not discuss all aspects of U.S. federal income taxation that might be relevant to a particular holder in light of such holder’s circumstances or status, nor does it address tax considerations applicable to a holder subject to special rules, including:</w:t>
      </w:r>
    </w:p>
    <w:p>
      <w:pPr>
        <w:spacing w:after="0" w:line="81" w:lineRule="exact"/>
        <w:rPr>
          <w:sz w:val="20"/>
          <w:szCs w:val="20"/>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in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to use a mark-to-market method of accounting,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life insurance company, real estate investment trust or regulated investment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liable for alternative minimum tax,</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expatriate or former long-term resident of the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actually or constructively owns 10% or more of ProKidney voting stock,</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pass-through entity for U.S. federal income tax purposes, or a beneficial owner of a partnership or other pass-through entity,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ProKidney securities as part of a straddle or a hedging or conversion transaction,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whose functional currency is not the U.S. dollar,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received ProKidney securities as compensation for services,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passive foreign investment company.</w:t>
      </w:r>
    </w:p>
    <w:p>
      <w:pPr>
        <w:spacing w:after="0" w:line="117"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This discussion is based on the U.S. Internal Revenue Code of 1986, as amended (the “Code”), proposed, temporary and final Treasury Regulations promulgated under the Code (the “Treasury Regulations”),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for example, estate or gift taxes or the Medicare tax on investment income), nor does it address any aspects of U.S. state or local or non-U.S. taxation.</w:t>
      </w:r>
    </w:p>
    <w:p>
      <w:pPr>
        <w:spacing w:after="0" w:line="81" w:lineRule="exact"/>
        <w:rPr>
          <w:sz w:val="20"/>
          <w:szCs w:val="20"/>
          <w:color w:val="auto"/>
        </w:rPr>
      </w:pPr>
    </w:p>
    <w:p>
      <w:pPr>
        <w:ind w:left="300" w:right="759" w:firstLine="360"/>
        <w:spacing w:after="0" w:line="261" w:lineRule="auto"/>
        <w:rPr>
          <w:sz w:val="20"/>
          <w:szCs w:val="20"/>
          <w:color w:val="auto"/>
        </w:rPr>
      </w:pPr>
      <w:r>
        <w:rPr>
          <w:rFonts w:ascii="Times New Roman" w:cs="Times New Roman" w:eastAsia="Times New Roman" w:hAnsi="Times New Roman"/>
          <w:sz w:val="18"/>
          <w:szCs w:val="18"/>
          <w:color w:val="auto"/>
        </w:rPr>
        <w:t>We have not and do not intend to seek any rulings from the U.S. Internal Revenue Service (the “IRS”) regarding the domestication. There can be no assurance that the IRS will not take positions concerning the tax consequences of the transactions that are inconsistent with the considerations discussed below or that any such positions would not be sustained by a court.</w:t>
      </w:r>
    </w:p>
    <w:p>
      <w:pPr>
        <w:spacing w:after="0" w:line="72"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If a partnership (or any entity so characterized for U.S. federal income tax purposes) holds ProKidney Class A ordinary shares or common stock, the tax treatment of such partnership and a person treated as a partner of such partnership will generally depend on the status of the partner and the activities of the partnership. Partnerships holding any ProKidney Class A ordinary shares or common stock, and persons that are treated as partners of such partnerships should consult their tax advisors as to the particular U.S. federal income tax consequences of the domestication to them.</w:t>
      </w:r>
    </w:p>
    <w:p>
      <w:pPr>
        <w:spacing w:after="0" w:line="75" w:lineRule="exact"/>
        <w:rPr>
          <w:sz w:val="20"/>
          <w:szCs w:val="20"/>
          <w:color w:val="auto"/>
        </w:rPr>
      </w:pPr>
    </w:p>
    <w:p>
      <w:pPr>
        <w:ind w:left="300" w:right="5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FOLLOWING IS FOR INFORMATIONAL PURPOSES ONLY. ALL SHAREHOLDERS SHOULD CONSULT THEIR TAX ADVISORS REGARDING THE TAX CONSEQUENCES OF THE DOMESTICATION INCLUDING THE EFFECTS OF U.S. FEDERAL, STATE AND LOCAL AND NON-U.S. TAX LAWS.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ProKidney Class A ordinary shares or common stock, as the case may be, who or that is, for U.S. federal income tax purposes:</w:t>
      </w:r>
    </w:p>
    <w:p>
      <w:pPr>
        <w:spacing w:after="0" w:line="54" w:lineRule="exact"/>
        <w:rPr>
          <w:sz w:val="20"/>
          <w:szCs w:val="20"/>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312" w:lineRule="auto"/>
        <w:tabs>
          <w:tab w:leader="none" w:pos="10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that is treated as a corporation for U.S. federal income tax purposes) created or organized in or under the laws of the U.S. or any state thereof (including the District of Columbia),</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Effects of the Domestication on U.S. Holders</w:t>
      </w:r>
    </w:p>
    <w:p>
      <w:pPr>
        <w:spacing w:after="0" w:line="121" w:lineRule="exact"/>
        <w:rPr>
          <w:sz w:val="20"/>
          <w:szCs w:val="20"/>
          <w:color w:val="auto"/>
        </w:rPr>
      </w:pPr>
    </w:p>
    <w:p>
      <w:pPr>
        <w:ind w:left="300" w:right="439" w:firstLine="360"/>
        <w:spacing w:after="0" w:line="276" w:lineRule="auto"/>
        <w:rPr>
          <w:sz w:val="20"/>
          <w:szCs w:val="20"/>
          <w:color w:val="auto"/>
        </w:rPr>
      </w:pPr>
      <w:r>
        <w:rPr>
          <w:rFonts w:ascii="Times New Roman" w:cs="Times New Roman" w:eastAsia="Times New Roman" w:hAnsi="Times New Roman"/>
          <w:sz w:val="17"/>
          <w:szCs w:val="17"/>
          <w:color w:val="auto"/>
        </w:rPr>
        <w:t>The U.S. federal income tax consequences of the domestication will depend in part upon whether the domestication qualifies as a “reorganization” within the meaning of Section 368 of the Code. Under Section 368(a)</w:t>
      </w:r>
    </w:p>
    <w:p>
      <w:pPr>
        <w:spacing w:after="0" w:line="1"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(1)(F) of the Code, a reorganization (an “F Reorganization”) includes a “mere change in identity, form, or place of organization of one corporation, however effected.” To qualify as an F Reorganization, a transaction must generally, among other requirements, (i) involve only one operating corporation, (ii) result in no change in the shareholders, and (iii) result in no significant change in the assets of the corporation. Based on the foregoing, we expect that any change in our place of incorporation to a U.S. jurisdiction would qualify as an F reorganization. We believe that the domestication will qualify as an F reorganization under these rules.</w:t>
      </w:r>
    </w:p>
    <w:p>
      <w:pPr>
        <w:spacing w:after="0" w:line="82"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Accordingly, assuming the domestication qualifies as an F reorganization, U.S. Holders would not recognize gain or loss on the domestication for U.S. federal income tax purposes, except as provided below under “—</w:t>
      </w:r>
      <w:r>
        <w:rPr>
          <w:rFonts w:ascii="Times New Roman" w:cs="Times New Roman" w:eastAsia="Times New Roman" w:hAnsi="Times New Roman"/>
          <w:sz w:val="18"/>
          <w:szCs w:val="18"/>
          <w:i w:val="1"/>
          <w:iCs w:val="1"/>
          <w:color w:val="auto"/>
        </w:rPr>
        <w:t>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367 to U.S. 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PFIC Considerations</w:t>
      </w:r>
      <w:r>
        <w:rPr>
          <w:rFonts w:ascii="Times New Roman" w:cs="Times New Roman" w:eastAsia="Times New Roman" w:hAnsi="Times New Roman"/>
          <w:sz w:val="18"/>
          <w:szCs w:val="18"/>
          <w:color w:val="auto"/>
        </w:rPr>
        <w:t>.” The initial tax basis of a new share received by a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in the domestication would equal the U.S. Holder’s tax basis in the ProKidney Class A ordinary share surrendered in exchange thereof, increased by any amount included in the income of such U.S. Holder as a result of Section 367 of the Code — see “</w:t>
      </w:r>
      <w:r>
        <w:rPr>
          <w:rFonts w:ascii="Times New Roman" w:cs="Times New Roman" w:eastAsia="Times New Roman" w:hAnsi="Times New Roman"/>
          <w:sz w:val="18"/>
          <w:szCs w:val="18"/>
          <w:i w:val="1"/>
          <w:iCs w:val="1"/>
          <w:color w:val="auto"/>
        </w:rPr>
        <w:t>Effects of Section 367 to U.S. Holders</w:t>
      </w:r>
      <w:r>
        <w:rPr>
          <w:rFonts w:ascii="Times New Roman" w:cs="Times New Roman" w:eastAsia="Times New Roman" w:hAnsi="Times New Roman"/>
          <w:sz w:val="18"/>
          <w:szCs w:val="18"/>
          <w:color w:val="auto"/>
        </w:rPr>
        <w:t>.” The holding period for a new share received by a U.S. Holder would include such Holder’s holding period for the ProKidney Class A ordinary share surrendered in exchange therefor.</w:t>
      </w:r>
    </w:p>
    <w:p>
      <w:pPr>
        <w:spacing w:after="0" w:line="8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Following the domestication, a U.S. Holder generally would be required to include in gross income the amount of any distribution of cash or other property paid on the ProKidney Class A ordinary shares. A distribution on such shares generally would be treated as U.S. source dividend income for U.S. federal income tax purposes to the extent the distribution is paid out of our current or accumulated earnings and profits (as determined under U.S. federal income tax principles). Such amount would be includible in gross income by a U.S. Holder on the date that such U.S. Holder actually or constructively receives the distribution in accordance with such U.S. Holder’s regular method of accounting for U.S. federal income tax purposes. Dividends paid by us to a corporate U.S. Holder would be eligible for the dividends-received deduction generally allowed to domestic corporations in respect of dividends received from other domestic corporations. With respect to non-corporate U.S. Holders, such dividends generally would be taxed at the lower applicable capital gains rate.</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Effects of Section 367 to U.S. Holders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Section 367 of the Code applies to certain non-recognition transactions involving foreign corporations, including a domestication of a foreign corporation in an F Reorganization. Section 367 of the Code imposes income tax on certain United States persons in connection with transactions that would otherwise be tax-free. Section 367(b) of the Code will generally apply to U.S. Holders of ProKidney at the time of the domestication.</w:t>
      </w:r>
    </w:p>
    <w:p>
      <w:pPr>
        <w:spacing w:after="0" w:line="180"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18"/>
          <w:szCs w:val="18"/>
          <w:color w:val="auto"/>
        </w:rPr>
        <w:t>A.</w:t>
        <w:tab/>
        <w:t>U.S. Holders of ProKidney</w:t>
      </w:r>
    </w:p>
    <w:p>
      <w:pPr>
        <w:spacing w:after="0" w:line="117"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 U.S. Holder who, at the time of the domestication beneficially owns (directly, indirectly or constructively) 10% or more of the total combined voting power of all classes of ProKidney ordinary shares entitled to vote (a “U.S. Shareholder”) must include in income as a dividend the “all earnings and profits amount” attributable to the ProKidney Class A ordinary shares it directly owns, within the meaning of Treasury Regulations under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Section 367. A U.S. Holder’s ownership of warrants and stock options will be taken into account in determining whether such holder owns 10% or more of the total combined voting power of all classes of stock. Complex attribution rules apply in determining whether a U.S. Holder owns 10% or more of the total combined voting power of all classes of ProKidney ordinary shares entitled to vote and all U.S. Holders are urged to consult their tax advisors with respect to these attribution rules.</w:t>
      </w:r>
    </w:p>
    <w:p>
      <w:pPr>
        <w:spacing w:after="0" w:line="7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 U.S. Shareholder’s “all earnings and profits amount” with respect to its ProKidney Class A ordinary shares is the net positive earnings and profits of ProKidney (as determined under Treasury Regulations under Section 367) attributable to the shares (as determined under Treasury Regulations under Section 367) but without regard to any gain that would be realized on a sale or exchange of such shares. Treasury Regulations under Section 367 provide that the “all earnings and profits amount” attributable to a shareholder’s stock is determined according to the principles of Section 1248 of the Code. In general, Section 1248 of the Code and the Treasury Regulations thereunder provide that the amount of earnings and profits attributable to a block of stock in a foreign corporation is the ratably allocated portion of the foreign corporation’s earnings and profits generated during the period the shareholder held the block of stock.</w:t>
      </w:r>
    </w:p>
    <w:p>
      <w:pPr>
        <w:spacing w:after="0" w:line="80"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ProKidney does not expect that its cumulative earnings and profits will be greater than zero at the time of the domestication. As a result, a U.S. Shareholder should not be required to include in gross income an “all earnings and profits amount” with respect to its ProKidney Class A ordinary shares.</w:t>
      </w:r>
    </w:p>
    <w:p>
      <w:pPr>
        <w:spacing w:after="0" w:line="176" w:lineRule="exact"/>
        <w:rPr>
          <w:sz w:val="20"/>
          <w:szCs w:val="20"/>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Own Less Than 10 Percent of ProKidney</w:t>
      </w:r>
    </w:p>
    <w:p>
      <w:pPr>
        <w:spacing w:after="0" w:line="117"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A U.S. Holder who, at the time of the domestication, beneficially owns (directly, indirectly or constructively) ProKidney Class A ordinary shares with a fair market value of $50,000 or more but less than 10% of the total combined voting power of all classes of ProKidney ordinary shares entitled to vote will recognize gain (but not loss) with respect to the domestication or, in the alternative, may elect to recognize the “all earnings and profits” amount attributable to such holder as described below.</w:t>
      </w:r>
    </w:p>
    <w:p>
      <w:pPr>
        <w:spacing w:after="0" w:line="75"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Unless a U.S. Holder makes the “all earnings and profits” election as described below, such holder generally must recognize gain (but not loss) with respect to Class A common stock received in the domestication in an amount equal to the excess of the fair market value of the Class A common stock received over the U.S. Holder’s adjusted tax basis in the ProKidney Class A ordinary shares deemed surrendered in exchange therefor.</w:t>
      </w:r>
    </w:p>
    <w:p>
      <w:pPr>
        <w:spacing w:after="0" w:line="72"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In lieu of recognizing any gain as described in the preceding paragraph, a U.S. Holder may elect to include in income the “all earnings and profits amount” attributable to its ProKidney Class A ordinary shares under Section 367(b). There are, however, strict conditions for making this election. This election must comply with applicable Treasury Regulations and generally must include, among other things:</w:t>
      </w:r>
    </w:p>
    <w:p>
      <w:pPr>
        <w:spacing w:after="0" w:line="72" w:lineRule="exact"/>
        <w:rPr>
          <w:sz w:val="20"/>
          <w:szCs w:val="20"/>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domestication is a Section 367(b) exchange;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description of the domestication;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stock, securities or other consideration transferred or received in the domestication;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describing the amounts required to be taken into account for U.S. federal income tax purposes;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5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U.S. Holder is making the election that includes (A) a copy of the information that the U.S. Holder received from ProKidney establishing and substantiating the U.S. Holder’s all earnings and profits amount with respect to the U.S. Holder’s ProKidney Class A ordinary shares, and (B) a representation that the U.S. Holder has notified ProKidney (or ProKidney Delaware) that the U.S. Holder is making the election; and</w:t>
      </w:r>
    </w:p>
    <w:p>
      <w:pPr>
        <w:spacing w:after="0" w:line="75"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information required to be furnished with the U.S. Holder’s tax return or otherwise furnished pursuant to the Code or the Treasury Regulations.</w:t>
      </w:r>
    </w:p>
    <w:p>
      <w:pPr>
        <w:spacing w:after="0" w:line="54"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In addition, the election must be attached by an electing U.S. Holder to such holder’s timely filed U.S. federal income tax return for the year of the domestication, and the U.S. Holder must send notice of making the election to ProKidney Delaware no later than the date such tax return is filed. In connection with this election, ProKidney intends to provide each U.S. Holder eligible to make such an election with information regarding ProKidney’s earnings and profits upon request.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ProKidney does not expect that its cumulative earnings and profits will be greater than zero at the time of the domestication. Accordingly, U.S. Holders who make this election should generally not have an income inclusion under Section 367(b) provided the U.S. Holder properly executes the election and complies with the applicable notice requirements.</w:t>
      </w:r>
    </w:p>
    <w:p>
      <w:pPr>
        <w:spacing w:after="0" w:line="68" w:lineRule="exact"/>
        <w:rPr>
          <w:sz w:val="20"/>
          <w:szCs w:val="20"/>
          <w:color w:val="auto"/>
        </w:rPr>
      </w:pPr>
    </w:p>
    <w:p>
      <w:pPr>
        <w:ind w:left="30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U.S. HOLDERS ARE STRONGLY URGED TO CONSULT A TAX ADVISOR REGARDING THE CONSEQUENCES OF MAKING AN ELECTION AND THE APPROPRIATE FILING REQUIREMENTS WITH RESPECT TO AN ELECTION.</w:t>
      </w:r>
    </w:p>
    <w:p>
      <w:pPr>
        <w:spacing w:after="0" w:line="175" w:lineRule="exact"/>
        <w:rPr>
          <w:sz w:val="20"/>
          <w:szCs w:val="20"/>
          <w:color w:val="auto"/>
        </w:rPr>
      </w:pPr>
    </w:p>
    <w:p>
      <w:pPr>
        <w:ind w:left="1000" w:right="89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Own ProKidney Class A Ordinary Shares with a Fair Market Value of Less Than $50,000</w:t>
      </w:r>
    </w:p>
    <w:p>
      <w:pPr>
        <w:spacing w:after="0" w:line="5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A U.S. Holder who, at the time of the domestication, owns (or is considered to own) stock of ProKidney with a fair market value less than $50,000 should not be required to recognize any gain or loss under Section 367 of the Code in connection with the domestication, and generally should not be required to include any part of the “all earnings and profits amount” in income.</w:t>
      </w:r>
    </w:p>
    <w:p>
      <w:pPr>
        <w:spacing w:after="0" w:line="72"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All U.S. Holders are urged to consult their tax advisors with respect to the effect of Section 367 of the Code to their particular circumstances.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PFIC Considerations</w:t>
      </w:r>
    </w:p>
    <w:p>
      <w:pPr>
        <w:spacing w:after="0" w:line="119" w:lineRule="exact"/>
        <w:rPr>
          <w:sz w:val="20"/>
          <w:szCs w:val="20"/>
          <w:color w:val="auto"/>
        </w:rPr>
      </w:pPr>
    </w:p>
    <w:p>
      <w:pPr>
        <w:ind w:left="300" w:right="659" w:firstLine="360"/>
        <w:spacing w:after="0" w:line="267" w:lineRule="auto"/>
        <w:rPr>
          <w:sz w:val="20"/>
          <w:szCs w:val="20"/>
          <w:color w:val="auto"/>
        </w:rPr>
      </w:pPr>
      <w:r>
        <w:rPr>
          <w:rFonts w:ascii="Times New Roman" w:cs="Times New Roman" w:eastAsia="Times New Roman" w:hAnsi="Times New Roman"/>
          <w:sz w:val="18"/>
          <w:szCs w:val="18"/>
          <w:color w:val="auto"/>
        </w:rPr>
        <w:t>In addition to the discussion under the heading “—</w:t>
      </w:r>
      <w:r>
        <w:rPr>
          <w:rFonts w:ascii="Times New Roman" w:cs="Times New Roman" w:eastAsia="Times New Roman" w:hAnsi="Times New Roman"/>
          <w:sz w:val="18"/>
          <w:szCs w:val="18"/>
          <w:i w:val="1"/>
          <w:iCs w:val="1"/>
          <w:color w:val="auto"/>
        </w:rPr>
        <w:t>Effects of Section 367 to U.S. Holders</w:t>
      </w:r>
      <w:r>
        <w:rPr>
          <w:rFonts w:ascii="Times New Roman" w:cs="Times New Roman" w:eastAsia="Times New Roman" w:hAnsi="Times New Roman"/>
          <w:sz w:val="18"/>
          <w:szCs w:val="18"/>
          <w:color w:val="auto"/>
        </w:rPr>
        <w:t>,” above, the domestication could be a taxable event to U.S. Holders under the passive foreign investment company (“PFIC”) provisions of the Code.</w:t>
      </w:r>
    </w:p>
    <w:p>
      <w:pPr>
        <w:spacing w:after="0" w:line="175"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PFIC Status of ProKidney</w:t>
      </w:r>
    </w:p>
    <w:p>
      <w:pPr>
        <w:spacing w:after="0" w:line="117"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general, ProKidney will be a PFIC with respect to a U.S. Holder if, for any taxable year in which such holder held ProKidney Class A ordinary shares, (a) at least 75% or more of ProKidney’s gross income for the taxable year was passive income or (b) at least 50% or more of the value, determined on the basis of a quarterly average, of ProKidney’s assets is attributable to assets that produce or are held to produce passive income. Passive income generally includes dividends, interest, rents and royalties, but excludes rents and royalties that are derived in the active conduct of a trade or business and that are received from an unrelated person, as well as annuities and gains from assets that produce passive income. For purposes of these rules, interest income earned by ProKidney would be considered to be passive income and cash held by ProKidney would be considered to be a passive asset.</w:t>
      </w:r>
    </w:p>
    <w:p>
      <w:pPr>
        <w:spacing w:after="0" w:line="84"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ProKidney believes that it is likely (and likely has been) classified as a PFIC for U.S. federal income tax purposes. If ProKidney is a PFIC for any taxable year (or portion thereof) that is included in the holding period of a U.S. Holder of our Class A ordinary shares, such U.S. Holder may be subject to adverse U.S. federal income tax consequences and may be subject to additional reporting requirements. There can be no assurances with respect to our status as a PFIC for our current taxable year or any subsequent taxable year. The actual PFIC status of ProKidney for any taxable year, moreover, will not be determinable until after the end of such taxable year. In addition to the discussion under the heading “—</w:t>
      </w:r>
      <w:r>
        <w:rPr>
          <w:rFonts w:ascii="Times New Roman" w:cs="Times New Roman" w:eastAsia="Times New Roman" w:hAnsi="Times New Roman"/>
          <w:sz w:val="18"/>
          <w:szCs w:val="18"/>
          <w:i w:val="1"/>
          <w:iCs w:val="1"/>
          <w:color w:val="auto"/>
        </w:rPr>
        <w:t>Effects of Section 367 to U.S. Holders</w:t>
      </w:r>
      <w:r>
        <w:rPr>
          <w:rFonts w:ascii="Times New Roman" w:cs="Times New Roman" w:eastAsia="Times New Roman" w:hAnsi="Times New Roman"/>
          <w:sz w:val="18"/>
          <w:szCs w:val="18"/>
          <w:color w:val="auto"/>
        </w:rPr>
        <w:t>,” above, the domestication could be a taxable event to U.S. Holders under the PFIC provisions of the Code.</w:t>
      </w:r>
    </w:p>
    <w:p>
      <w:pPr>
        <w:spacing w:after="0" w:line="192" w:lineRule="exact"/>
        <w:rPr>
          <w:sz w:val="20"/>
          <w:szCs w:val="20"/>
          <w:color w:val="auto"/>
        </w:rPr>
      </w:pPr>
    </w:p>
    <w:p>
      <w:pPr>
        <w:ind w:left="1000" w:hanging="348"/>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PFIC Rules on the Domestication</w:t>
      </w:r>
    </w:p>
    <w:p>
      <w:pPr>
        <w:spacing w:after="0" w:line="117"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Section 1291(f) of the Code requires that, to the extent provided in Treasury Regulations, a United States person who disposes of stock of a PFIC recognizes gain notwithstanding any other provision of the Code. No final Treasury Regulations are currently in effect under Section 1291(f) of the Code. However, proposed Treasury Regulations under Section 1291(f) of the Code have been promulgated with a retroactive effective date. If finalized in their current form, those regulations may require taxable gain recognition in the domestication if ProKidney were classified as a PFIC at any time during such U.S. Holder’s holding period in such stock and the U.S. Holder had not made a QEF Election (as described below) for the first taxable year in which the U.S. Holder owned ProKidney Class A ordinary shares or in which ProKidney was a PFIC, whichever is later or a mark-to-market election (as described below). The tax on any such recognized gain would be imposed based on a complex set of computational rules designed to offset the tax deferral with respect to the undistributed earnings of ProKidney.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117" w:lineRule="exact"/>
        <w:rPr>
          <w:sz w:val="20"/>
          <w:szCs w:val="20"/>
          <w:color w:val="auto"/>
        </w:rPr>
      </w:pPr>
    </w:p>
    <w:p>
      <w:pPr>
        <w:ind w:left="1000" w:right="439" w:hanging="348"/>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would be allocated ratably over the U.S. Holder’s holding period for such holder’s ProKidney Class A ordinary shares;</w:t>
      </w:r>
    </w:p>
    <w:p>
      <w:pPr>
        <w:spacing w:after="0" w:line="53" w:lineRule="exact"/>
        <w:rPr>
          <w:rFonts w:ascii="Times New Roman" w:cs="Times New Roman" w:eastAsia="Times New Roman" w:hAnsi="Times New Roman"/>
          <w:sz w:val="18"/>
          <w:szCs w:val="18"/>
          <w:color w:val="auto"/>
        </w:rPr>
      </w:pPr>
    </w:p>
    <w:p>
      <w:pPr>
        <w:jc w:val="both"/>
        <w:ind w:left="1000" w:right="619" w:hanging="348"/>
        <w:spacing w:after="0" w:line="266"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gain allocated to the U.S. Holder’s taxable year in which the U.S. Holder recognized the gain, or to the period in the U.S. Holder’s holding period before the first day of the first taxable year in which ProKidney was a PFIC, would be taxed as ordinary income;</w:t>
      </w:r>
    </w:p>
    <w:p>
      <w:pPr>
        <w:spacing w:after="0" w:line="6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gain allocated to other taxable years (or portions thereof) of the U.S. Holder and included in such holder’s holding period would be taxed at the highest tax rate in effect for that year applicable to the U.S. Holder; and</w:t>
      </w:r>
    </w:p>
    <w:p>
      <w:pPr>
        <w:spacing w:after="0" w:line="6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charge generally applicable to underpayments of tax would be imposed in respect of the tax attributable to each such other taxable year of the U.S. Holder.</w:t>
      </w:r>
    </w:p>
    <w:p>
      <w:pPr>
        <w:spacing w:after="0" w:line="54"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Any “all earnings and profits amount” included in income by a U.S. Holder as a result of the domestication (discussed under the heading “—</w:t>
      </w:r>
      <w:r>
        <w:rPr>
          <w:rFonts w:ascii="Times New Roman" w:cs="Times New Roman" w:eastAsia="Times New Roman" w:hAnsi="Times New Roman"/>
          <w:sz w:val="18"/>
          <w:szCs w:val="18"/>
          <w:i w:val="1"/>
          <w:iCs w:val="1"/>
          <w:color w:val="auto"/>
        </w:rPr>
        <w:t>Effects of Section 367 to U.S. Holders</w:t>
      </w:r>
      <w:r>
        <w:rPr>
          <w:rFonts w:ascii="Times New Roman" w:cs="Times New Roman" w:eastAsia="Times New Roman" w:hAnsi="Times New Roman"/>
          <w:sz w:val="18"/>
          <w:szCs w:val="18"/>
          <w:color w:val="auto"/>
        </w:rPr>
        <w:t>” above) generally would be treated as gain subject to these rules.</w:t>
      </w:r>
    </w:p>
    <w:p>
      <w:pPr>
        <w:spacing w:after="0" w:line="68"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 proposed regulation issued under the PFIC rules generally treats an “option” to acquire the stock of a PFIC as stock of the PFIC, while a final regulation issued under the PFIC rules provides that the holder of an option is not entitled to make a QEF election with respect to the option. It is difficult to predict whether, in what form and with what effective date, final Treasury Regulations under Section 1291(f) of the Code will be adopted. Therefore, U.S. Holders of ProKidney Class A ordinary shares that have not made a timely QEF Election or a mark-to-market election (as described below) may, pursuant to the proposed Treasury Regulations, be subject to taxation on the domestication to the extent their shares have a fair market value in excess of their tax basis. An Electing Shareholder (as described below) generally would not be subject to the adverse PFIC rules discussed above but rather would include annually in gross income its pro rata share of the ordinary earnings and net capital gain of ProKidney, whether or not such amounts are actually distributed.</w:t>
      </w:r>
    </w:p>
    <w:p>
      <w:pPr>
        <w:spacing w:after="0" w:line="194" w:lineRule="exact"/>
        <w:rPr>
          <w:sz w:val="20"/>
          <w:szCs w:val="20"/>
          <w:color w:val="auto"/>
        </w:rPr>
      </w:pPr>
    </w:p>
    <w:p>
      <w:pPr>
        <w:ind w:left="1000" w:hanging="348"/>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PFIC Rules on U.S. Holders</w:t>
      </w:r>
    </w:p>
    <w:p>
      <w:pPr>
        <w:spacing w:after="0" w:line="117"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impact of the PFIC rules on a U.S. Holder of ProKidney Class A ordinary shares will depend on whether the U.S. Holder has made a timely and effective election to treat ProKidney as a “qualified electing fund” under Section 1295 of the Code for the tax year that is the first year in the U.S. Holder’s holding period of ProKidney Class A ordinary shares during which ProKidney qualified as a PFIC (a “QEF Election”). A U.S. Holder’s ability to make a QEF Election with respect to ProKidney is contingent upon, among other things, the provision by ProKidney of a “PFIC Annual Information Statement” to such U.S. Holder. ProKidney will make available such information statements to U.S. Holders upon request. A U.S. Holder of ProKidney that made a QEF Election may be referred to as an “Electing Shareholder” and a U.S. Holder of ProKidney that did not make a QEF Election may be referred to as a “Non-Electing Shareholder”.</w:t>
      </w:r>
    </w:p>
    <w:p>
      <w:pPr>
        <w:spacing w:after="0" w:line="80" w:lineRule="exact"/>
        <w:rPr>
          <w:sz w:val="20"/>
          <w:szCs w:val="20"/>
          <w:color w:val="auto"/>
        </w:rPr>
      </w:pPr>
    </w:p>
    <w:p>
      <w:pPr>
        <w:ind w:left="300" w:right="599" w:firstLine="360"/>
        <w:spacing w:after="0" w:line="261" w:lineRule="auto"/>
        <w:rPr>
          <w:sz w:val="20"/>
          <w:szCs w:val="20"/>
          <w:color w:val="auto"/>
        </w:rPr>
      </w:pPr>
      <w:r>
        <w:rPr>
          <w:rFonts w:ascii="Times New Roman" w:cs="Times New Roman" w:eastAsia="Times New Roman" w:hAnsi="Times New Roman"/>
          <w:sz w:val="18"/>
          <w:szCs w:val="18"/>
          <w:color w:val="auto"/>
        </w:rPr>
        <w:t>A U.S. Holder that has made a valid QEF election effective for the first taxable year in the U.S. Holder’s holding period will not be subject to the general PFIC rules. As a result, such a U.S. Holder should not recognize gain or loss as a result of the domestication except to the extent described under the heading “—</w:t>
      </w:r>
      <w:r>
        <w:rPr>
          <w:rFonts w:ascii="Times New Roman" w:cs="Times New Roman" w:eastAsia="Times New Roman" w:hAnsi="Times New Roman"/>
          <w:sz w:val="18"/>
          <w:szCs w:val="18"/>
          <w:i w:val="1"/>
          <w:iCs w:val="1"/>
          <w:color w:val="auto"/>
        </w:rPr>
        <w:t>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367 to U.S. Holders</w:t>
      </w:r>
      <w:r>
        <w:rPr>
          <w:rFonts w:ascii="Times New Roman" w:cs="Times New Roman" w:eastAsia="Times New Roman" w:hAnsi="Times New Roman"/>
          <w:sz w:val="18"/>
          <w:szCs w:val="18"/>
          <w:color w:val="auto"/>
        </w:rPr>
        <w:t>” above.</w:t>
      </w:r>
    </w:p>
    <w:p>
      <w:pPr>
        <w:spacing w:after="0" w:line="72"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A U.S. Holder that has not had a valid QEF election in effect for its entire holding period in its ProKidney Class A ordinary shares (or a mark-to-market election as described below) may be subject to adverse tax consequences upon the sale of its ProKidney Class A ordinary shares and upon the domestication (as described below). If such a U.S. Holder sells or is otherwise treated as disposing of its ProKidney Class A ordinary shares, the entire amount of any gain realized upon the sale will be treated as an “excess distribution” made in the year of sale and as a consequence will generally be treated as ordinary income, and, to the extent allocated to years prior to the year of sale, will be subject to a special interest charge.</w:t>
      </w:r>
    </w:p>
    <w:p>
      <w:pPr>
        <w:spacing w:after="0" w:line="8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impact of the PFIC rules on a U.S. Holder of ProKidney Class A ordinary shares may also depend on whether the U.S. Holder has made an election under Section 1296 of the Code. U.S. Holders who hold (actually or constructively) stock of a foreign corporation that is classified as a PFIC may annually elect to mark such stock to its market value if such stock is regularly traded on an established exchange (a “mark-to-market election”). No assurance can be given that the ProKidney Class A ordinary shares are considered to be regularly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traded for purposes of the mark-to-market election or whether the other requirements of this election are satisfied. If such an election is available and has been made, such U.S. Holders will generally not be subject to the special taxation rules of Section 1291 of the Code discussed herein. However, if the mark-to-market election is made by a Non-Electing Shareholder after the beginning of the holding period for the PFIC stock, then the Section 1291 rules will apply to certain dispositions of, distributions on and other amounts taxable with respect to ProKidney Class A ordinary shares.</w:t>
      </w:r>
    </w:p>
    <w:p>
      <w:pPr>
        <w:spacing w:after="0" w:line="79"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U.S. Holders are strongly urged to consult their tax advisors concerning the impact of the PFIC rules on the domestication, including, without limitation, whether a QEF Election, “deemed sale” election and/or “mark to market” election is available and whether a “deemed sale” election is available to the extent a timely QEF Election cannot be made with respect to their ProKidney Class A ordinary shares and the consequences to them of any such election.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Distributions on Shares of ProKidney Delaware Class A Common Stock</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A U.S. Holder generally will be required to include in gross income as dividends the amount of any cash distribution paid with respect to shares of ProKidney Delaware Class A common stock, to the extent the distribution is paid out of ProKidney Delaware’s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shares of ProKidney Delaware Class A common stock. Any remaining excess will be treated as gain realized on the sale or other disposition of the shares of ProKidney Delaware Class A common stock and will be treated as described under “—</w:t>
      </w:r>
      <w:r>
        <w:rPr>
          <w:rFonts w:ascii="Times New Roman" w:cs="Times New Roman" w:eastAsia="Times New Roman" w:hAnsi="Times New Roman"/>
          <w:sz w:val="18"/>
          <w:szCs w:val="18"/>
          <w:i w:val="1"/>
          <w:iCs w:val="1"/>
          <w:color w:val="auto"/>
        </w:rPr>
        <w:t>Sale, Exchange or Other Disposition of Shares of ProKidney Delaware Class A Common Stock</w:t>
      </w:r>
      <w:r>
        <w:rPr>
          <w:rFonts w:ascii="Times New Roman" w:cs="Times New Roman" w:eastAsia="Times New Roman" w:hAnsi="Times New Roman"/>
          <w:sz w:val="18"/>
          <w:szCs w:val="18"/>
          <w:color w:val="auto"/>
        </w:rPr>
        <w:t>” below.</w:t>
      </w:r>
    </w:p>
    <w:p>
      <w:pPr>
        <w:spacing w:after="0" w:line="80"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Dividends that ProKidney Delaware pays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that ProKidney Delaware pays to a non-corporate U.S. Holder may be taxed as “qualified dividend income” at the preferential tax rate accorded to long-term capital gains.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Sale, Exchange or Other Disposition of Shares of ProKidney Delaware Class A Common Stock</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Upon a sale or other taxable disposition of shares of ProKidney Delaware Class A common stock which, in general, would include a redemption of shares of ProKidney Delaware that is treated as a sale of such securities as described above and below, a U.S. Holder generally will recognize capital gain or loss. Any such capital gain or loss generally will be long-term capital gain or loss if the U.S. Holder’s holding period for the shares of ProKidney Delaware Class A common stock so disposed of exceeds one year. It is unclear, however, whether the redemption rights described herein with respect to the shares of ProKidney Delaware Class A common stock may have suspended the running of the applicable holding period for this purpose. Long-term capital gains recognized by non-corporate U.S. Holders will be eligible to be taxed at reduced rates. The deductibility of capital losses is subject to limitations.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w:t>
      </w:r>
    </w:p>
    <w:p>
      <w:pPr>
        <w:spacing w:after="0" w:line="27" w:lineRule="exact"/>
        <w:rPr>
          <w:sz w:val="20"/>
          <w:szCs w:val="20"/>
          <w:color w:val="auto"/>
        </w:rPr>
      </w:pPr>
    </w:p>
    <w:p>
      <w:pPr>
        <w:ind w:left="300" w:right="319" w:hanging="8"/>
        <w:spacing w:after="0" w:line="253" w:lineRule="auto"/>
        <w:tabs>
          <w:tab w:leader="none" w:pos="5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amount of cash and the fair market value of any property received in such disposition and (ii) the U.S. Holder’s adjusted tax basis in its shares of ProKidney Delaware Class A common stock so disposed of.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Effects of the Domestication on U.S. Holders</w:t>
      </w:r>
      <w:r>
        <w:rPr>
          <w:rFonts w:ascii="Times New Roman" w:cs="Times New Roman" w:eastAsia="Times New Roman" w:hAnsi="Times New Roman"/>
          <w:sz w:val="18"/>
          <w:szCs w:val="18"/>
          <w:color w:val="auto"/>
        </w:rPr>
        <w:t>” above for discussion of a U.S. Holder’s adjusted tax basis in its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ProKidney Delaware Class A common stock following the domestication.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following describes U.S. federal income tax considerations relating to the ownership and disposition of ProKidney Delaware Class A common stock by a non-U.S. Holder after the domestication. For purposes of this discussion, a non-U.S. Holder means a beneficial owner of ProKidney Delaware Class A common stock who or that is, for U.S. federal income tax purposes, not a U.S. Holder (as defined above).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300" w:right="679" w:firstLine="360"/>
        <w:spacing w:after="0" w:line="312" w:lineRule="auto"/>
        <w:rPr>
          <w:sz w:val="20"/>
          <w:szCs w:val="20"/>
          <w:color w:val="auto"/>
        </w:rPr>
      </w:pPr>
      <w:r>
        <w:rPr>
          <w:rFonts w:ascii="Times New Roman" w:cs="Times New Roman" w:eastAsia="Times New Roman" w:hAnsi="Times New Roman"/>
          <w:sz w:val="17"/>
          <w:szCs w:val="17"/>
          <w:color w:val="auto"/>
        </w:rPr>
        <w:t>In general, any distributions made to a non-U.S. Holder on Class A shares of ProKidney Delaware, to the extent paid out of ProKidney Delaware’s current or accumulated earnings and profits (as determined under U.S.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federal income tax principles), will constitute dividends for U.S. federal income tax purposes and, provided such dividends are not effectively connected with the non-U.S. Holder’s conduct of a trade or business within the United States, will be subject to withholding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common stock of ProKidney Delaware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Non-U.S. Holders—Gain on Sale, Taxable Exchange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Disposition of common stock</w:t>
      </w:r>
      <w:r>
        <w:rPr>
          <w:rFonts w:ascii="Times New Roman" w:cs="Times New Roman" w:eastAsia="Times New Roman" w:hAnsi="Times New Roman"/>
          <w:sz w:val="18"/>
          <w:szCs w:val="18"/>
          <w:color w:val="auto"/>
        </w:rPr>
        <w:t>” below. ProKidney does not expect to make any dividend distributions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in the near future.</w:t>
      </w:r>
    </w:p>
    <w:p>
      <w:pPr>
        <w:spacing w:after="0" w:line="8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Dividends paid by ProKidney Delaware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Gain on Sale, Taxable Exchange or Other Taxable Disposition of Class A Common Stock</w:t>
      </w:r>
    </w:p>
    <w:p>
      <w:pPr>
        <w:spacing w:after="0" w:line="121"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A non-U.S. Holder will generally not be subject to U.S. federal income tax on gain realized on a sale or other disposition of common stock unless:</w:t>
      </w:r>
    </w:p>
    <w:p>
      <w:pPr>
        <w:spacing w:after="0" w:line="54" w:lineRule="exact"/>
        <w:rPr>
          <w:sz w:val="20"/>
          <w:szCs w:val="20"/>
          <w:color w:val="auto"/>
        </w:rPr>
      </w:pPr>
    </w:p>
    <w:p>
      <w:pPr>
        <w:ind w:left="1000" w:right="579" w:hanging="348"/>
        <w:spacing w:after="0" w:line="266"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an individual who was present in the United States for 183 days or more in the taxable year of the disposition and certain other requirements are met, in which case any gain realized would generally be subject to a flat 30% U.S. federal income tax,</w:t>
      </w:r>
    </w:p>
    <w:p>
      <w:pPr>
        <w:spacing w:after="0" w:line="67" w:lineRule="exact"/>
        <w:rPr>
          <w:rFonts w:ascii="Times New Roman" w:cs="Times New Roman" w:eastAsia="Times New Roman" w:hAnsi="Times New Roman"/>
          <w:sz w:val="18"/>
          <w:szCs w:val="18"/>
          <w:color w:val="auto"/>
        </w:rPr>
      </w:pPr>
    </w:p>
    <w:p>
      <w:pPr>
        <w:ind w:left="1000" w:right="339" w:hanging="348"/>
        <w:spacing w:after="0" w:line="277" w:lineRule="auto"/>
        <w:tabs>
          <w:tab w:leader="none" w:pos="10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a trade or business of the non-U.S. Holder in the United States, (and, if an applicable treaty so requires, is attributable to the conduct of trade or business through a permanent establishment or fixed base in the United States in which case the gain would be subject to U.S. federal income tax on a net income basis at the regular graduated rates and in the manner applicable to U.S. Holders and, if the non-U.S. Holder is a corporation, an additional “branch profits tax” may also apply), or</w:t>
      </w:r>
    </w:p>
    <w:p>
      <w:pPr>
        <w:spacing w:after="0" w:line="59" w:lineRule="exact"/>
        <w:rPr>
          <w:rFonts w:ascii="Times New Roman" w:cs="Times New Roman" w:eastAsia="Times New Roman" w:hAnsi="Times New Roman"/>
          <w:sz w:val="17"/>
          <w:szCs w:val="17"/>
          <w:color w:val="auto"/>
        </w:rPr>
      </w:pPr>
    </w:p>
    <w:p>
      <w:pPr>
        <w:ind w:left="1000" w:right="339" w:hanging="348"/>
        <w:spacing w:after="0" w:line="272" w:lineRule="auto"/>
        <w:tabs>
          <w:tab w:leader="none" w:pos="10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ProKidney Delaware is or has been a U.S. real property holding corporation at any time within the five-year period preceding the disposition or the non-U.S. Holder’s holding period, whichever period is shorter, and either (A) the common stock has ceased to be regularly traded on an established securities market or</w:t>
      </w:r>
    </w:p>
    <w:p>
      <w:pPr>
        <w:spacing w:after="0" w:line="1" w:lineRule="exact"/>
        <w:rPr>
          <w:rFonts w:ascii="Times New Roman" w:cs="Times New Roman" w:eastAsia="Times New Roman" w:hAnsi="Times New Roman"/>
          <w:sz w:val="17"/>
          <w:szCs w:val="17"/>
          <w:color w:val="auto"/>
        </w:rPr>
      </w:pPr>
    </w:p>
    <w:p>
      <w:pPr>
        <w:ind w:left="1000" w:right="41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non-U.S. Holder has owned or is deemed to have owned, at any time within the five-year period preceding the disposition or the non-U.S. Holder’s holding period, whichever period is shorter, more than 5% of the common stock.</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Requirements and Backup Withholding</w:t>
      </w:r>
    </w:p>
    <w:p>
      <w:pPr>
        <w:spacing w:after="0" w:line="121" w:lineRule="exact"/>
        <w:rPr>
          <w:sz w:val="20"/>
          <w:szCs w:val="20"/>
          <w:color w:val="auto"/>
        </w:rPr>
      </w:pPr>
    </w:p>
    <w:p>
      <w:pPr>
        <w:ind w:left="300" w:right="519" w:firstLine="360"/>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on and the proceeds from a sale or other disposition of common stock. A non-U.S. Holder may have to comply with certification procedures to establish that it is not a United States person for U.S. federal income tax purposes or otherwise establish an exemption in order to avoid information reporting and backup withholding requirements or to claim a reduced rate of withholding under an applicable income tax treaty. The amount of any backup withholding from a payment to a non-U.S. Holder will be allowed as a credit against such non-U.S. Holder’s U.S. federal income tax liability and may entitle such non-U.S. Holder to a refund, provided that the required information is furnished by such non-U.S. Holder to the IRS in a timely manner.</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(including ProKidney Class A ordinary shares and common stock) which are held by or through certain foreign financial institutions (including investment funds), unless any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ProKidney Class A ordinary shares or common stock are held will affect the determination of whether such withholding is required. Similarly, dividends in respect of ProKidney Class A ordinary shares or common stock held by an investor that is a non-financial non-U.S. entity that does not qualify under certain exceptions will generally be subject to withholding at a rate of 30%, unless such entity either</w:t>
      </w:r>
    </w:p>
    <w:p>
      <w:pPr>
        <w:spacing w:after="0" w:line="2" w:lineRule="exact"/>
        <w:rPr>
          <w:sz w:val="20"/>
          <w:szCs w:val="20"/>
          <w:color w:val="auto"/>
        </w:rPr>
      </w:pPr>
    </w:p>
    <w:p>
      <w:pPr>
        <w:ind w:left="300" w:right="319" w:hanging="8"/>
        <w:spacing w:after="0" w:line="253" w:lineRule="auto"/>
        <w:tabs>
          <w:tab w:leader="none" w:pos="5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to the applicable withholding agent that such entity does not have any “substantial United States owners” or (ii) provides certain information regarding the entity’s “substantial United States owners,” which will in turn be provided to the U.S. Department of Treasury. All holders should consult their tax advisors regarding the possible implications of FATCA on their investment in ProKidney Class A ordinary shares or common stock.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ProKidney shareholders do not have appraisal rights in connection with the domestication under the Cayman Islands Companies Act or under the DGCL.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NOMINATIONS AND PROPOSALS OF PROKIDNEY</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disclosure set forth below describes the procedures for stockholder nominations and proposals pursuant to the Existing Organizational Documents of ProKidney. The following summary is qualified in its entirety by reference to the complete text of the Existing Organizational Documents, a copy of which is attached as Annex A to this proxy statement/prospectus.</w:t>
      </w:r>
    </w:p>
    <w:p>
      <w:pPr>
        <w:spacing w:after="0" w:line="72"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the domestication is not effected, the Existing Organizational Documents will remain unchanged. To be considered for inclusion in the proxy statement relating to our 2026 annual general meeting of shareholders, we must receive shareholder proposals and nominations for director no later than [•], 2025, or, if the date of the 2026 annual general meeting has been advanced or delayed by more than 30 days from the date of this year’s annual general meeting, then the deadline will be set by the Board and must be a reasonable time before ProKidney begins to print and send its related proxy materials. Nominations and proposals also must satisfy other requirements set forth in the Existing Organizational Documents. Proposals that are not received in a timely manner will not be voted on at the 2026 annual general meeting. If a proposal is received on time, the proxies that management solicits for the meeting may still exercise discretionary voting authority on the proposal under circumstances consistent with the proxy rules of the SEC. All shareholder proposals should be marked for the attention of Corporate Secretary, 2000 Frontis Plaza Blvd, Suite 250, Winston-Salem, North Carolina 27103.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NOMINATIONS AND PROPOSALS OF PROKIDNEY DELAWARE</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disclosure set forth below describes the procedures for stockholder nominations and proposals pursuant to the Proposed Organizational Documents of ProKidney Delaware. The following summary is qualified in its entirety by reference to the complete text of the Proposed Bylaws, a copy of which is attached as Annex C to this proxy statement/prospectus.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Annual Meeting of Stockholders Notice Requirements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If the domestication proposal is approved and the new charter proposal is approved and the domestication is to be effected, ProKidney Delaware will be governed by the Proposed Organizational Documents. Nominations of persons for election to the board of directors of ProKidney Delaware or the proposal of other business to be transacted by stockholders may only be made at a meeting properly called for such purpose and only (i) by or at the direction of the board of directors or any committee thereof or (ii) by a stockholder who (A) was a stockholder of record of ProKidney Delaware when the notice is delivered to the secretary and at the time of the meeting, (B) is entitled to vote for the election of directors or such business, as applicable, at the meeting and (C) complies with the notice and other provisions of the Proposed Bylaws. Persons nominated for election to the board of directors of ProKidney Delaware by stockholders in accordance with the applicable sections of the Proposed Bylaws are referred to as “Stockholder Nominees.” A stockholder nominating persons for election to the board of directors is referred to as the “Nominating Stockholder.”</w:t>
      </w:r>
    </w:p>
    <w:p>
      <w:pPr>
        <w:spacing w:after="0" w:line="84" w:lineRule="exact"/>
        <w:rPr>
          <w:sz w:val="20"/>
          <w:szCs w:val="20"/>
          <w:color w:val="auto"/>
        </w:rPr>
      </w:pPr>
    </w:p>
    <w:p>
      <w:pPr>
        <w:ind w:left="300" w:right="419" w:firstLine="360"/>
        <w:spacing w:after="0" w:line="269" w:lineRule="auto"/>
        <w:rPr>
          <w:sz w:val="20"/>
          <w:szCs w:val="20"/>
          <w:color w:val="auto"/>
        </w:rPr>
      </w:pPr>
      <w:r>
        <w:rPr>
          <w:rFonts w:ascii="Times New Roman" w:cs="Times New Roman" w:eastAsia="Times New Roman" w:hAnsi="Times New Roman"/>
          <w:sz w:val="17"/>
          <w:szCs w:val="17"/>
          <w:color w:val="auto"/>
        </w:rPr>
        <w:t>The Proposed Bylaws provide that, for nominations or business to be properly brought before an annual meeting by a stockholder, the stockholder must give timely notice thereof in writing to the secretary of ProKidney Delaware and, in the case of proposed business, any such proposed business must constitute a proper matter for stockholder action. To be timely, the notice must be delivered personally or mailed to, and received at, the principal executive offices of ProKidney Delaware, addressed to the secretary, by no earlier than one hundred and twenty</w:t>
      </w:r>
    </w:p>
    <w:p>
      <w:pPr>
        <w:spacing w:after="0" w:line="3" w:lineRule="exact"/>
        <w:rPr>
          <w:sz w:val="20"/>
          <w:szCs w:val="20"/>
          <w:color w:val="auto"/>
        </w:rPr>
      </w:pPr>
    </w:p>
    <w:p>
      <w:pPr>
        <w:ind w:left="720" w:hanging="428"/>
        <w:spacing w:after="0"/>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and no later than ninety (90) days before the first anniversary of the date of the prior year’s annual</w:t>
      </w:r>
    </w:p>
    <w:p>
      <w:pPr>
        <w:spacing w:after="0" w:line="9" w:lineRule="exact"/>
        <w:rPr>
          <w:rFonts w:ascii="Times New Roman" w:cs="Times New Roman" w:eastAsia="Times New Roman" w:hAnsi="Times New Roman"/>
          <w:sz w:val="18"/>
          <w:szCs w:val="18"/>
          <w:color w:val="auto"/>
        </w:rPr>
      </w:pPr>
    </w:p>
    <w:p>
      <w:pPr>
        <w:ind w:left="300" w:right="3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meeting of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(i) the annual meeting of stockholders is advanced by more than thirty (30) days, or delayed by more than sixty (60) days, from the first anniversary of the prior year’s annual meeting of stockholders or (ii) no annual meeting was held during the prior year, the notice by the stockholder to be timely must be received (A) no earlier than one hundred and twenty (120) days before such annual meeting and (B) no later than the later of ninety (90) days before such annual meeting and the tenth day after the day on which the notice of such annual meeting was made by mail or public disclosure. In no event will an adjournment, postponement or deferral of any annual meeting of stockholders, or announcement thereof, commence a new time period (or extend any time period) for the giving of a stockholder’s notice as described above.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Meeting of Stockholders Notice Requirements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If the election of directors is included as business to be brought before a special meeting in ProKidney Delaware’s notice of meeting, then nominations of persons for election to the board of directors at a special meeting of stockholders may be made (i) by or at the direction of the Board or any committee thereof or (ii) by a stockholder who (a) was a stockholder of record of ProKidney Delaware when the notice required by the Proposed Bylaws is delivered to the secretary of ProKidney Delaware and at the time of the meeting, (b) is entitled to vote for the election of directors at the meeting and (c) complies with the notice and other provisions of the Proposed Bylaws. The required notice, to be timely, must be delivered personally or mailed to and received at the executive offices of ProKidney Delaware, addressed to the attention of the secretary, by no earlier than one hundred and twenty (120) days before and no later than the later of ninety (90) days before such special meeting and the tenth day after the day on which the notice of such special meeting was made by mail or public disclosure.</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Stockholder Notice Requirements</w:t>
      </w:r>
    </w:p>
    <w:p>
      <w:pPr>
        <w:spacing w:after="0" w:line="121" w:lineRule="exact"/>
        <w:rPr>
          <w:sz w:val="20"/>
          <w:szCs w:val="20"/>
          <w:color w:val="auto"/>
        </w:rPr>
      </w:pPr>
    </w:p>
    <w:p>
      <w:pPr>
        <w:ind w:left="300" w:right="359" w:firstLine="360"/>
        <w:spacing w:after="0" w:line="251" w:lineRule="auto"/>
        <w:rPr>
          <w:sz w:val="20"/>
          <w:szCs w:val="20"/>
          <w:color w:val="auto"/>
        </w:rPr>
      </w:pPr>
      <w:r>
        <w:rPr>
          <w:rFonts w:ascii="Times New Roman" w:cs="Times New Roman" w:eastAsia="Times New Roman" w:hAnsi="Times New Roman"/>
          <w:sz w:val="18"/>
          <w:szCs w:val="18"/>
          <w:color w:val="auto"/>
        </w:rPr>
        <w:t>Any stockholder’s notice to the secretary must set forth (i) as to each person whom the stockholder proposes to nominate for election or reelection as a director: (A) Stockholder Information (as defined below) with respect to each Nominating Stockholder and Stockholder Associated Person (as defined in the Proposed Bylaws) (B) a representation to ProKidney Delaware that each Nominating Stockholder is a holder of record of stock entitled to vote at the meeting and intends to appear in person or by proxy at the meeting to propose such nomination; (C) all information regarding each Stockholder Nominee or Stockholder Associated Person, in each case, that would be required to be disclosed in a solicitation of proxies subject to Section 14 of the Exchange Act and the rules and regulations promulgated thereunder, including without limitation, Rule 14a-19 under the Exchange Act (including a corresponding provision or successor rule); (D) the written consent of each Stockholder Nominee to being named in a proxy statement as a nominee and to serve if elected and a completed signed questionnaire, representation and agreement required by certain sections of the Proposed Bylaws; (E) a description of related party transactions and other information that would be required to be disclosed pursuant to federal securities law, including Rule 404 promulgated under Regulation S-K of the Securities Act (or any successor provision) if the Nominating Stockholder or the Stockholder Associated Person were the “registrant” for purposes of such rule and the Stockholder Nominee were a director or executive of such registrant; (F) Stockholder Information with respect to any stock or other interests of ProKidney Delaware held by the Nominating Stockholder’s immediate family members; (G) all information that would be required to be set forth in a Schedule 13D filed pursuant to Rule 13d-1(a) or an amendment pursuant to Rule 13d-2(a) if such a statement were required to be filed under the Exchange Act and the rules and regulations promulgated thereunder by each Nominating Stockholder and each Stockholder Associated Person, or they may incorporate a Schedule 13D or amendment that has been filed under the Exchange Act by reference (G) a representation to ProKidney Delaware as to whether each Nominating Stockholder intends (x) to deliver a proxy statement and form of proxy to holders of at least the percentage of ProKidney Delaware’s outstanding capital stock required to approve the nomination or (y) otherwise to solicit proxies from stockholders in support of such nomination; (H) all other information that would be required to be filed with the SEC if the Nominating Stockholders and Stockholder Associated Persons were participants in a solicitation subject to Section 14 of the Exchange Act; and (I) a representation by the Nominating Stockholder as to the accuracy of the information set forth in the notice; and (ii) as to any other business that the stockholder proposes to bring before the meeting, (A) Stockholder Information of the stockholder proposing business (the “Proponent”) and any Stockholder Associated Person; (B) a representation to ProKidney Delaware that each Proponent is a holder of record of stock of ProKidney Delaware entitled to vote at the meeting and intends to appear in person or by proxy at the meeting to propose such stockholder business; (C) a brief description of the business desired to be brought before the annual meeting, the text of the proposal (including the text of any resolutions proposed for consideration and, if such business includes a proposal to amend the bylaws, the language of the proposed amendment) and the reasons for conducting such business at the meeting; (D) any material interest of each Proponent and any Stockholder Associated Person in such business; (C) a representation to ProKidney Delaware as to whether the Proponent intends (x) to deliver a proxy statement and form of proxy to holders of at least the percentage of ProKidney Delaware’s outstanding capital stock required to approve or adopt such business or (y) otherwise to solicit proxies from the stockholders in support of such business; (E) all</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other information that would be required to be filed with the SEC if the Proponent or Stockholder Associated Persons were participants in a solicitation subject to Section 14 of the Exchange Act; and (F) a representation and covenant for the benefit of ProKidney Delaware that the Proponents shall provide any other information reasonably requested by ProKidney Delaware.</w:t>
      </w:r>
    </w:p>
    <w:p>
      <w:pPr>
        <w:spacing w:after="0" w:line="72" w:lineRule="exact"/>
        <w:rPr>
          <w:sz w:val="20"/>
          <w:szCs w:val="20"/>
          <w:color w:val="auto"/>
        </w:rPr>
      </w:pPr>
    </w:p>
    <w:p>
      <w:pPr>
        <w:ind w:left="300" w:right="339" w:firstLine="360"/>
        <w:spacing w:after="0" w:line="251" w:lineRule="auto"/>
        <w:rPr>
          <w:sz w:val="20"/>
          <w:szCs w:val="20"/>
          <w:color w:val="auto"/>
        </w:rPr>
      </w:pPr>
      <w:r>
        <w:rPr>
          <w:rFonts w:ascii="Times New Roman" w:cs="Times New Roman" w:eastAsia="Times New Roman" w:hAnsi="Times New Roman"/>
          <w:sz w:val="18"/>
          <w:szCs w:val="18"/>
          <w:color w:val="auto"/>
        </w:rPr>
        <w:t>In addition, any stockholder’s notice to the secretary must include the following information: (i) the name and record address of each Proponent, as they appear on ProKidney Delaware’s books; (ii) the name and address of any Stockholder Associated Person; (iii) as to each Proponent and any Stockholder Associated Person, (A) the class or series and number of shares of stock directly or indirectly held of record and beneficially by the Proponent or Stockholder Associated Person, (B) the date such shares of stock were acquired, (C) a description of any agreement, arrangement or understanding, relating to or in connection with such business between or among the Proponent, on the one hand, and any Stockholder Associated Person or any other person or entity (including their names), (D) a description of any agreement, arrangement or understanding (including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 that has been entered into or is held, directly or indirectly, as of the date of the Proponent’s notice by, or on behalf of, the Proponent or any Stockholder Associated Person, the effect or intent of which is to mitigate loss to, manage risk or benefit of share price changes for, or increase or decrease the voting power of the Proponent or any Stockholder Associated Person with respect to shares of stock of ProKidney Delaware or with a value derived in whole or in part from the value or decrease in value of any class or series of stock of ProKidney Delaware, whether or not such instrument or right shall be subject to settlement in the underlying class or series of stock of ProKidney Delaware or otherwise (a “Derivative”), (E) a description in reasonable detail of any proxy (including revocable proxies), contract, arrangement, understanding or other relationship pursuant to which the Proponent or Stockholder Associated Person has a right to vote any shares of stock of ProKidney Delaware, (F) any rights to dividends on the stock of ProKidney Delaware owned beneficially by the Proponent or Stockholder Associated Person that are separated or separable from the underlying stock of ProKidney Delaware, (G) any proportionate interest in stock of ProKidney Delaware or Derivatives held, directly or indirectly, by a general or limited partnership in which the Proponent or Stockholder Associated Person is a general partner or, directly or indirectly, beneficially owns an interest in a general partner and (H) any performance-related fees (other than an asset-based fee) that the Proponent or Stockholder Associated Person is entitled to based on any increase or decrease in the value of stock of ProKidney Delaware or derivatives thereof, if any, as of the date of such notice (the information specified above in (i)-(iii) is referred to herein as “Stockholder Information”) provided however, the Proponent is only required to disclose any such agreement or understanding only to the extent known to, or to the extent such matters should be know after the exercise of reasonable diligence, by any Proponent.</w:t>
      </w:r>
    </w:p>
    <w:p>
      <w:pPr>
        <w:spacing w:after="0" w:line="9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Proponents shall also provide any other information reasonably requested by ProKidney Delaware within ten (10) business days after such request. In addition, the Proponent shall further update and supplement the information provided to ProKidney Delaware in the notice of business or upon ProKidney Delaware’s request as needed, so that such information shall be true and correct as of the record date for the meeting and as of the date that is the later of five (5) business days before the meeting or any adjournment or postponement thereof. Such update and supplement must be delivered personally or mailed to, and received at, the principal executive offices of ProKidney Delaware, addressed to the secretary, by no later than five (5) business days after the record date for the meeting (in the case of the update and supplement required to be made as of the record date), and not later than two</w:t>
      </w:r>
    </w:p>
    <w:p>
      <w:pPr>
        <w:spacing w:after="0" w:line="1" w:lineRule="exact"/>
        <w:rPr>
          <w:sz w:val="20"/>
          <w:szCs w:val="20"/>
          <w:color w:val="auto"/>
        </w:rPr>
      </w:pPr>
    </w:p>
    <w:p>
      <w:pPr>
        <w:ind w:left="300" w:right="439" w:hanging="8"/>
        <w:spacing w:after="0" w:line="260" w:lineRule="auto"/>
        <w:tabs>
          <w:tab w:leader="none" w:pos="5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before the date of the meeting (in the case of an update and supplement required to be made as of five (5) business days before the meeting and adjournment or postponement thereof).</w:t>
      </w:r>
    </w:p>
    <w:p>
      <w:pPr>
        <w:spacing w:after="0" w:line="73"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With respect to stockholder nominations of directors for election to the Board, the Nominating Stockholders shall further update and supplement the information provided to ProKidney Delaware in their notice or upon ProKidney Delaware’s request as needed, so that such information shall be true and correct as of the record date for the meeting. Such update and supplement must be delivered personally or mailed to, and received at, the principal executive offices of ProKidney Delaware, addressed to the secretary, by no later than ten (10) business days after the record date for the meeting. In addition, the Nominating Stockholder shall deliver to ProKidney Delaware, not later than six (6) business days prior to the date of the meeting or any adjournment, recess, rescheduling or postponement thereof, reasonable evidence that it has complied with the requirements of Rule 14a-19.</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Nominee Eligibility Requirements</w:t>
      </w:r>
    </w:p>
    <w:p>
      <w:pPr>
        <w:spacing w:after="0" w:line="12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To be eligible to be a nominee for election or reelection as a director, a person must deliver (in accordance with the time periods prescribed for delivery of notice by the board of directors) to the secretary at the principal executive offices of ProKidney Delaware, a written questionnaire with respect to the background and qualification of such person and the background of any other person or entity on whose behalf the nomination is being made and a written representation and agreement that such person (A) is not and will not become a party to (1) any agreement, arrangement or understanding with, and has not given any commitment or assurance to, any person or entity as to how such person will act or vote as a director on any issue or question (a “Voting Commitment”) that has not been disclosed to ProKidney Delaware or (2) any Voting Commitment that could limit or interfere with such person’s ability to comply with such person’s fiduciary duties as a director under applicable law, (B) is not and will not become a party to any agreement, arrangement or understanding with any person or entity other than ProKidney Delaware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ProKidney Delaware that are applicable to directors.</w:t>
      </w: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person presiding over the meeting shall, if the facts warrant, determine and declare to the meeting, that business was not properly brought or a nomination was not made, as the case may be, in accordance with the foregoing procedures prescribed by the proposed bylaws, and, if he or she should so determine, he or she shall so declare to the meeting and any such business not properly brought before the meeting shall not be transacted and the defective nomination shall be disregarded, as the case may be. If the stockholder (or a qualified representative of the stockholder) does not appear at the applicable stockholder meeting to present a nomination or other proposed business, such nomination will be disregarded or such proposed business will not be transacted, as the case may be, notwithstanding that proxies in respect of such vote may have been received by ProKidney Delaware.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COMMUNICATIONS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Shareholders and interested parties may communicate with the Board, any committee chairperson or the non-management directors as a group by writing to the board or committee chairperson in care of our corporate secretary. Following the domestication, such communications should be sent to the same address. Each communication will be forwarded, depending on the subject matter, to the Board, the appropriate committee chairperson or all non-management directors.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Akin Gump Strauss Hauer &amp; Feld LLP have passed upon the validity of the securities of ProKidney Delaware offered by this proxy statement/prospectus. Akin Gump Strauss Hauer &amp; Feld LLP, tax counsel for ProKidney, have passed upon certain U.S. federal income tax consequences of the domestication for ProKidney.</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2024,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121" w:lineRule="exact"/>
        <w:rPr>
          <w:sz w:val="20"/>
          <w:szCs w:val="20"/>
          <w:color w:val="auto"/>
        </w:rPr>
      </w:pPr>
    </w:p>
    <w:p>
      <w:pPr>
        <w:ind w:left="300" w:right="899" w:firstLine="360"/>
        <w:spacing w:after="0" w:line="266" w:lineRule="auto"/>
        <w:rPr>
          <w:sz w:val="20"/>
          <w:szCs w:val="20"/>
          <w:color w:val="auto"/>
        </w:rPr>
      </w:pPr>
      <w:r>
        <w:rPr>
          <w:rFonts w:ascii="Times New Roman" w:cs="Times New Roman" w:eastAsia="Times New Roman" w:hAnsi="Times New Roman"/>
          <w:sz w:val="18"/>
          <w:szCs w:val="18"/>
          <w:color w:val="auto"/>
        </w:rPr>
        <w:t>ProKidney has filed a registration statement on Form S-4 to register the issuance of securities described elsewhere in this proxy statement/prospectus. This proxy statement/prospectus is a part of that registration statement.</w:t>
      </w:r>
    </w:p>
    <w:p>
      <w:pPr>
        <w:spacing w:after="0" w:line="68"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ProKidney files reports, proxy statements and other information with the SEC as required by the Exchange Act. You may access information on ProKidney at the SEC web site containing reports, proxy statements and other information at: http://www.sec.gov.</w:t>
      </w:r>
    </w:p>
    <w:p>
      <w:pPr>
        <w:spacing w:after="0" w:line="68" w:lineRule="exact"/>
        <w:rPr>
          <w:sz w:val="20"/>
          <w:szCs w:val="20"/>
          <w:color w:val="auto"/>
        </w:rPr>
      </w:pPr>
    </w:p>
    <w:p>
      <w:pPr>
        <w:ind w:left="300" w:right="659" w:firstLine="360"/>
        <w:spacing w:after="0" w:line="261" w:lineRule="auto"/>
        <w:rPr>
          <w:sz w:val="20"/>
          <w:szCs w:val="20"/>
          <w:color w:val="auto"/>
        </w:rPr>
      </w:pPr>
      <w:r>
        <w:rPr>
          <w:rFonts w:ascii="Times New Roman" w:cs="Times New Roman" w:eastAsia="Times New Roman" w:hAnsi="Times New Roman"/>
          <w:sz w:val="18"/>
          <w:szCs w:val="18"/>
          <w:color w:val="auto"/>
        </w:rPr>
        <w:t>Information and statements contained in this proxy statement/prospectus or any annex to this proxy statement/prospectus are qualified in all respects by reference to the copy of the relevant contract or other annex filed as an exhibit to the registration statement of which this proxy statement/prospectus forms a part, which includes exhibits incorporated by reference from other filings made with the SEC.</w:t>
      </w:r>
    </w:p>
    <w:p>
      <w:pPr>
        <w:spacing w:after="0" w:line="72" w:lineRule="exact"/>
        <w:rPr>
          <w:sz w:val="20"/>
          <w:szCs w:val="20"/>
          <w:color w:val="auto"/>
        </w:rPr>
      </w:pPr>
    </w:p>
    <w:p>
      <w:pPr>
        <w:ind w:left="300" w:right="839" w:firstLine="360"/>
        <w:spacing w:after="0" w:line="282" w:lineRule="auto"/>
        <w:rPr>
          <w:sz w:val="20"/>
          <w:szCs w:val="20"/>
          <w:color w:val="auto"/>
        </w:rPr>
      </w:pPr>
      <w:r>
        <w:rPr>
          <w:rFonts w:ascii="Times New Roman" w:cs="Times New Roman" w:eastAsia="Times New Roman" w:hAnsi="Times New Roman"/>
          <w:sz w:val="18"/>
          <w:szCs w:val="18"/>
          <w:color w:val="auto"/>
        </w:rPr>
        <w:t>All information contained in this proxy statement/prospectus relating to ProKidney has been supplied by ProKidney.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Incorporation by Reference of Certain of ProKidney’s Filings with the SEC</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SEC allows ProKidney to “incorporate by reference” certain information filed with the SEC into this proxy statement/prospectus, which means that ProKidney can disclose important information to you by referring you to other documents that ProKidney has filed separately with the SEC. You should read any information incorporated by reference because it is an important part of this proxy statement/prospectus.</w:t>
      </w:r>
    </w:p>
    <w:p>
      <w:pPr>
        <w:spacing w:after="0" w:line="72" w:lineRule="exact"/>
        <w:rPr>
          <w:sz w:val="20"/>
          <w:szCs w:val="20"/>
          <w:color w:val="auto"/>
        </w:rPr>
      </w:pPr>
    </w:p>
    <w:p>
      <w:pPr>
        <w:jc w:val="both"/>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This proxy statement/prospectus incorporates by reference the ProKidney documents listed below (other than any portions of the documents not deemed to be filed), all of which have been previously filed by ProKidney with the SEC:</w:t>
      </w:r>
    </w:p>
    <w:p>
      <w:pPr>
        <w:spacing w:after="0" w:line="68" w:lineRule="exact"/>
        <w:rPr>
          <w:sz w:val="20"/>
          <w:szCs w:val="20"/>
          <w:color w:val="auto"/>
        </w:rPr>
      </w:pPr>
    </w:p>
    <w:p>
      <w:pPr>
        <w:ind w:left="1000" w:right="479" w:hanging="348"/>
        <w:spacing w:after="0" w:line="282" w:lineRule="auto"/>
        <w:tabs>
          <w:tab w:leader="none" w:pos="1000" w:val="left"/>
        </w:tabs>
        <w:numPr>
          <w:ilvl w:val="0"/>
          <w:numId w:val="7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ProKidney’s Annual Report on Form 10-K for the year ended December 31, 2024, filed with the SEC on </w:t>
      </w:r>
      <w:hyperlink r:id="rId145">
        <w:r>
          <w:rPr>
            <w:rFonts w:ascii="Times New Roman" w:cs="Times New Roman" w:eastAsia="Times New Roman" w:hAnsi="Times New Roman"/>
            <w:sz w:val="18"/>
            <w:szCs w:val="18"/>
            <w:u w:val="single" w:color="auto"/>
            <w:color w:val="0000EE"/>
          </w:rPr>
          <w:t>March 17</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2025;</w:t>
      </w:r>
    </w:p>
    <w:p>
      <w:pPr>
        <w:spacing w:after="0" w:line="53" w:lineRule="exact"/>
        <w:rPr>
          <w:rFonts w:ascii="Times New Roman" w:cs="Times New Roman" w:eastAsia="Times New Roman" w:hAnsi="Times New Roman"/>
          <w:sz w:val="18"/>
          <w:szCs w:val="18"/>
          <w:color w:val="0000EE"/>
        </w:rPr>
      </w:pPr>
    </w:p>
    <w:p>
      <w:pPr>
        <w:ind w:left="1000" w:hanging="348"/>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ProKidney’s Current Report on Form 8-K, filed with the SEC on </w:t>
      </w:r>
      <w:hyperlink r:id="rId146">
        <w:r>
          <w:rPr>
            <w:rFonts w:ascii="Times New Roman" w:cs="Times New Roman" w:eastAsia="Times New Roman" w:hAnsi="Times New Roman"/>
            <w:sz w:val="18"/>
            <w:szCs w:val="18"/>
            <w:u w:val="single" w:color="auto"/>
            <w:color w:val="0000EE"/>
          </w:rPr>
          <w:t>January 21</w:t>
        </w:r>
      </w:hyperlink>
      <w:r>
        <w:rPr>
          <w:rFonts w:ascii="Times New Roman" w:cs="Times New Roman" w:eastAsia="Times New Roman" w:hAnsi="Times New Roman"/>
          <w:sz w:val="18"/>
          <w:szCs w:val="18"/>
          <w:color w:val="auto"/>
        </w:rPr>
        <w:t>, 2025; and</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ProKidney’s ordinary shares contained in ProKidney’s Registration Statement on Form 8-A, filed with the SEC on </w:t>
      </w:r>
      <w:hyperlink r:id="rId147">
        <w:r>
          <w:rPr>
            <w:rFonts w:ascii="Times New Roman" w:cs="Times New Roman" w:eastAsia="Times New Roman" w:hAnsi="Times New Roman"/>
            <w:sz w:val="18"/>
            <w:szCs w:val="18"/>
            <w:u w:val="single" w:color="auto"/>
            <w:color w:val="0000EE"/>
          </w:rPr>
          <w:t>June 29</w:t>
        </w:r>
      </w:hyperlink>
      <w:r>
        <w:rPr>
          <w:rFonts w:ascii="Times New Roman" w:cs="Times New Roman" w:eastAsia="Times New Roman" w:hAnsi="Times New Roman"/>
          <w:sz w:val="18"/>
          <w:szCs w:val="18"/>
          <w:color w:val="auto"/>
        </w:rPr>
        <w:t>, 2021, including any amendment or report filed for the purpose of updating such description.</w:t>
      </w:r>
    </w:p>
    <w:p>
      <w:pPr>
        <w:spacing w:after="0" w:line="68" w:lineRule="exact"/>
        <w:rPr>
          <w:rFonts w:ascii="Times New Roman" w:cs="Times New Roman" w:eastAsia="Times New Roman" w:hAnsi="Times New Roman"/>
          <w:sz w:val="18"/>
          <w:szCs w:val="18"/>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proxy statement/prospectus also incorporates by reference any additional filings that ProKidney makes with the SEC under Section 13(a), 13(c), 14 or 15(d) of the Exchange Act after the date of this proxy statement/prospectus and prior to the date of the annual meeting, and thereafter until the consummation of the domestication (other than those documents or the portions of those documents furnished, including pursuant to Items 2.02 or 7.01 of any Current Report on Form 8-K or exhibits filed under Item 9.01 relating to those Items, unless expressly stated otherwise therein). Any statement contained in a document incorporated by reference into this proxy statement/prospectus will be deemed to be modified or superseded to the extent that a statement contained in any other subsequently filed document that is also, or is deemed to be, incorporated by reference into this proxy statement/prospectus conflicts with, negates, modifies or supersedes that statement. Any statement that is modified or superseded will not constitute a part of this proxy statement/prospectus, except as modified or superseded.</w:t>
      </w:r>
    </w:p>
    <w:p>
      <w:pPr>
        <w:spacing w:after="0" w:line="19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records reflect that all reports which were required to be filed with the SEC pursuant to Section 16(a) of the Exchange Act, were filed on a timely basis, except that two statements of changes in beneficial ownership of securities were filed late by each of Darin Weber and Control Empresarial de Capitales S.A. de C.V. Additionally, one initial statement of beneficial ownership of securities was filed late by Aaron Cowen.</w:t>
      </w:r>
    </w:p>
    <w:p>
      <w:pPr>
        <w:spacing w:after="0" w:line="33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CODE OF ETHICS AND BUSINESS CONDUCT</w:t>
      </w:r>
    </w:p>
    <w:p>
      <w:pPr>
        <w:spacing w:after="0" w:line="121" w:lineRule="exact"/>
        <w:rPr>
          <w:sz w:val="20"/>
          <w:szCs w:val="20"/>
          <w:color w:val="auto"/>
        </w:rPr>
      </w:pPr>
    </w:p>
    <w:p>
      <w:pPr>
        <w:ind w:left="300" w:right="579" w:firstLine="360"/>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principal executive officer, principal financial officer and principal accounting officer, which is available on our website at https://investors.prokidney.com/corporate-governance/governance-overview. Our code of business conduct is a “code of ethics,” as defined in Item 406(b) of Regulation S-K.</w:t>
      </w:r>
    </w:p>
    <w:p>
      <w:pPr>
        <w:spacing w:after="0" w:line="7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Listing Rules.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739" w:firstLine="360"/>
        <w:spacing w:after="0" w:line="266" w:lineRule="auto"/>
        <w:rPr>
          <w:sz w:val="20"/>
          <w:szCs w:val="20"/>
          <w:color w:val="auto"/>
        </w:rPr>
      </w:pPr>
      <w:r>
        <w:rPr>
          <w:rFonts w:ascii="Times New Roman" w:cs="Times New Roman" w:eastAsia="Times New Roman" w:hAnsi="Times New Roman"/>
          <w:sz w:val="18"/>
          <w:szCs w:val="18"/>
          <w:color w:val="auto"/>
        </w:rPr>
        <w:t>The Board knows of no other business which will be presented to the annual general meeting. If any other business is properly brought before the annual general meeting, proxies will be voted in accordance with the judgment of the persons named therein.</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Winston-Salem, North Carolina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ANNEXES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105410</wp:posOffset>
            </wp:positionV>
            <wp:extent cx="5349240" cy="2146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2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Annex 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Existing Organizational Documents</w:t>
      </w:r>
    </w:p>
    <w:p>
      <w:pPr>
        <w:spacing w:after="0" w:line="36" w:lineRule="exact"/>
        <w:rPr>
          <w:sz w:val="20"/>
          <w:szCs w:val="20"/>
          <w:color w:val="auto"/>
        </w:rPr>
      </w:pPr>
    </w:p>
    <w:p>
      <w:pPr>
        <w:ind w:left="300" w:right="3579"/>
        <w:spacing w:after="0" w:line="281" w:lineRule="auto"/>
        <w:rPr>
          <w:sz w:val="20"/>
          <w:szCs w:val="20"/>
          <w:color w:val="auto"/>
        </w:rPr>
      </w:pPr>
      <w:r>
        <w:rPr>
          <w:rFonts w:ascii="Times New Roman" w:cs="Times New Roman" w:eastAsia="Times New Roman" w:hAnsi="Times New Roman"/>
          <w:sz w:val="18"/>
          <w:szCs w:val="18"/>
          <w:u w:val="single" w:color="auto"/>
          <w:color w:val="0000EE"/>
        </w:rPr>
        <w:t>Annex B</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Form of Certificate of Incorporation of ProKidney Delaware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Annex 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Form of By-Laws of ProKidney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-149860</wp:posOffset>
            </wp:positionV>
            <wp:extent cx="534924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7"/>
          <w:szCs w:val="17"/>
          <w:u w:val="single" w:color="auto"/>
          <w:color w:val="0000EE"/>
        </w:rPr>
        <w:t>Annex D</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Form of Certificate of Corporate Domestication of ProKidney Corp.</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6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33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JULY 11, 2022 AND</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EFFECTIVE ON JULY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177165</wp:posOffset>
            </wp:positionV>
            <wp:extent cx="10972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JULY 11, 2022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ON JULY 11, 2022)</w:t>
      </w:r>
    </w:p>
    <w:p>
      <w:pPr>
        <w:spacing w:after="0" w:line="207" w:lineRule="exact"/>
        <w:rPr>
          <w:sz w:val="20"/>
          <w:szCs w:val="20"/>
          <w:color w:val="auto"/>
        </w:rPr>
      </w:pPr>
    </w:p>
    <w:p>
      <w:pPr>
        <w:ind w:left="640" w:hanging="348"/>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ProKidney Corp.</w:t>
      </w:r>
    </w:p>
    <w:p>
      <w:pPr>
        <w:spacing w:after="0" w:line="117" w:lineRule="exact"/>
        <w:rPr>
          <w:sz w:val="20"/>
          <w:szCs w:val="20"/>
          <w:color w:val="auto"/>
        </w:rPr>
      </w:pPr>
    </w:p>
    <w:p>
      <w:pPr>
        <w:jc w:val="both"/>
        <w:ind w:left="640" w:right="359" w:hanging="348"/>
        <w:spacing w:after="0" w:line="266" w:lineRule="auto"/>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Walkers Corporate Limited, 190 Elgin Avenue, George Town, Grand Cayman KY1-9008, Cayman Islands, or at such other place within the Cayman Islands as the Directors may decide.</w:t>
      </w:r>
    </w:p>
    <w:p>
      <w:pPr>
        <w:spacing w:after="0" w:line="68" w:lineRule="exact"/>
        <w:rPr>
          <w:sz w:val="20"/>
          <w:szCs w:val="20"/>
          <w:color w:val="auto"/>
        </w:rPr>
      </w:pPr>
    </w:p>
    <w:p>
      <w:pPr>
        <w:ind w:left="640" w:right="439" w:hanging="348"/>
        <w:spacing w:after="0" w:line="282" w:lineRule="auto"/>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laws of the Cayman Islands.</w:t>
      </w:r>
    </w:p>
    <w:p>
      <w:pPr>
        <w:spacing w:after="0" w:line="54" w:lineRule="exact"/>
        <w:rPr>
          <w:sz w:val="20"/>
          <w:szCs w:val="20"/>
          <w:color w:val="auto"/>
        </w:rPr>
      </w:pPr>
    </w:p>
    <w:p>
      <w:pPr>
        <w:ind w:left="640" w:hanging="348"/>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if any, unpaid on such Member’s shares.</w:t>
      </w:r>
    </w:p>
    <w:p>
      <w:pPr>
        <w:spacing w:after="0" w:line="117" w:lineRule="exact"/>
        <w:rPr>
          <w:sz w:val="20"/>
          <w:szCs w:val="20"/>
          <w:color w:val="auto"/>
        </w:rPr>
      </w:pPr>
    </w:p>
    <w:p>
      <w:pPr>
        <w:ind w:left="640" w:right="639" w:hanging="348"/>
        <w:spacing w:after="0" w:line="266" w:lineRule="auto"/>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the Company is US$100,500 divided into 500,000,000 Class A ordinary shares of a par value of US$0.0001 each, 500,000,000 Class B ordinary shares of a par value of US$0.0001 each and 5,000,000 preference shares of a par value of US$0.0001 each.</w:t>
      </w:r>
    </w:p>
    <w:p>
      <w:pPr>
        <w:spacing w:after="0" w:line="68" w:lineRule="exact"/>
        <w:rPr>
          <w:sz w:val="20"/>
          <w:szCs w:val="20"/>
          <w:color w:val="auto"/>
        </w:rPr>
      </w:pPr>
    </w:p>
    <w:p>
      <w:pPr>
        <w:ind w:left="640" w:right="659" w:hanging="348"/>
        <w:spacing w:after="0" w:line="282" w:lineRule="auto"/>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54" w:lineRule="exact"/>
        <w:rPr>
          <w:sz w:val="20"/>
          <w:szCs w:val="20"/>
          <w:color w:val="auto"/>
        </w:rPr>
      </w:pPr>
    </w:p>
    <w:p>
      <w:pPr>
        <w:ind w:left="640" w:right="699" w:hanging="348"/>
        <w:spacing w:after="0" w:line="282" w:lineRule="auto"/>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Amended and Restated Memorandum of Association bear the respective meanings given to them in the Amended and Restated Articles of Association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JULY 11, 2022 AND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EFFECTIVE ON JULY 11, 2022)</w:t>
      </w:r>
    </w:p>
    <w:p>
      <w:pPr>
        <w:spacing w:after="0" w:line="203" w:lineRule="exact"/>
        <w:rPr>
          <w:sz w:val="20"/>
          <w:szCs w:val="20"/>
          <w:color w:val="auto"/>
        </w:rPr>
      </w:pPr>
    </w:p>
    <w:p>
      <w:pPr>
        <w:ind w:left="2000" w:hanging="708"/>
        <w:spacing w:after="0"/>
        <w:tabs>
          <w:tab w:leader="none" w:pos="200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121" w:lineRule="exact"/>
        <w:rPr>
          <w:sz w:val="20"/>
          <w:szCs w:val="20"/>
          <w:color w:val="auto"/>
        </w:rPr>
      </w:pPr>
    </w:p>
    <w:p>
      <w:pPr>
        <w:ind w:left="2000" w:right="1360" w:hanging="714"/>
        <w:spacing w:after="0" w:line="282" w:lineRule="auto"/>
        <w:tabs>
          <w:tab w:leader="none" w:pos="19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In the Articles Table A in the First Schedule to the Statute does not apply and, unless there is something in the subject or context inconsistent therewith:</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2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 respect of a person, means any other person that, directly or</w:t>
            </w:r>
          </w:p>
        </w:tc>
      </w:tr>
      <w:tr>
        <w:trPr>
          <w:trHeight w:val="216"/>
        </w:trPr>
        <w:tc>
          <w:tcPr>
            <w:tcW w:w="422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indirectly, through one or more intermediaries, controls, is controlled</w:t>
            </w:r>
          </w:p>
        </w:tc>
      </w:tr>
      <w:tr>
        <w:trPr>
          <w:trHeight w:val="216"/>
        </w:trPr>
        <w:tc>
          <w:tcPr>
            <w:tcW w:w="422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by, or is under common control with, such person, and (a) in the case</w:t>
            </w:r>
          </w:p>
        </w:tc>
      </w:tr>
      <w:tr>
        <w:trPr>
          <w:trHeight w:val="216"/>
        </w:trPr>
        <w:tc>
          <w:tcPr>
            <w:tcW w:w="422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 a natural person, shall include, without limitation, such person’s</w:t>
            </w:r>
          </w:p>
        </w:tc>
      </w:tr>
      <w:tr>
        <w:trPr>
          <w:trHeight w:val="216"/>
        </w:trPr>
        <w:tc>
          <w:tcPr>
            <w:tcW w:w="422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spouse, parents, children, siblings, mother-in-law and father-in-law</w:t>
            </w:r>
          </w:p>
        </w:tc>
      </w:tr>
      <w:tr>
        <w:trPr>
          <w:trHeight w:val="216"/>
        </w:trPr>
        <w:tc>
          <w:tcPr>
            <w:tcW w:w="422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brothers and sisters-in-law, whether by blood, marriage or</w:t>
            </w:r>
          </w:p>
        </w:tc>
      </w:tr>
      <w:tr>
        <w:trPr>
          <w:trHeight w:val="216"/>
        </w:trPr>
        <w:tc>
          <w:tcPr>
            <w:tcW w:w="422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adoption or anyone residing in such person’s home, a trust for the</w:t>
            </w:r>
          </w:p>
        </w:tc>
      </w:tr>
      <w:tr>
        <w:trPr>
          <w:trHeight w:val="216"/>
        </w:trPr>
        <w:tc>
          <w:tcPr>
            <w:tcW w:w="422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of any of the foregoing, a company, partnership or any natural</w:t>
            </w:r>
          </w:p>
        </w:tc>
      </w:tr>
      <w:tr>
        <w:trPr>
          <w:trHeight w:val="216"/>
        </w:trPr>
        <w:tc>
          <w:tcPr>
            <w:tcW w:w="422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person or entity wholly or jointly owned by any of the foregoing and</w:t>
            </w:r>
          </w:p>
        </w:tc>
      </w:tr>
      <w:tr>
        <w:trPr>
          <w:trHeight w:val="216"/>
        </w:trPr>
        <w:tc>
          <w:tcPr>
            <w:tcW w:w="422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 in the case of an entity, shall include a partnership, a corporation or</w:t>
            </w:r>
          </w:p>
        </w:tc>
      </w:tr>
      <w:tr>
        <w:trPr>
          <w:trHeight w:val="216"/>
        </w:trPr>
        <w:tc>
          <w:tcPr>
            <w:tcW w:w="422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any natural person or entity which directly, or indirectly through one</w:t>
            </w:r>
          </w:p>
        </w:tc>
      </w:tr>
      <w:tr>
        <w:trPr>
          <w:trHeight w:val="216"/>
        </w:trPr>
        <w:tc>
          <w:tcPr>
            <w:tcW w:w="422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 more intermediaries, controls, is controlled by, or is under common</w:t>
            </w:r>
          </w:p>
        </w:tc>
      </w:tr>
      <w:tr>
        <w:trPr>
          <w:trHeight w:val="234"/>
        </w:trPr>
        <w:tc>
          <w:tcPr>
            <w:tcW w:w="4220" w:type="dxa"/>
            <w:vAlign w:val="bottom"/>
          </w:tcPr>
          <w:p>
            <w:pPr>
              <w:spacing w:after="0"/>
              <w:rPr>
                <w:sz w:val="20"/>
                <w:szCs w:val="20"/>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control with, such entity.</w:t>
            </w:r>
          </w:p>
        </w:tc>
      </w:tr>
      <w:tr>
        <w:trPr>
          <w:trHeight w:val="468"/>
        </w:trPr>
        <w:tc>
          <w:tcPr>
            <w:tcW w:w="422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“Applicable Law”</w:t>
            </w: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with respect to any person, all provisions of laws, statutes,</w:t>
            </w:r>
          </w:p>
        </w:tc>
      </w:tr>
      <w:tr>
        <w:trPr>
          <w:trHeight w:val="216"/>
        </w:trPr>
        <w:tc>
          <w:tcPr>
            <w:tcW w:w="422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ordinances, rules, regulations, permits, certificates, judgments,</w:t>
            </w:r>
          </w:p>
        </w:tc>
      </w:tr>
      <w:tr>
        <w:trPr>
          <w:trHeight w:val="216"/>
        </w:trPr>
        <w:tc>
          <w:tcPr>
            <w:tcW w:w="422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decisions, decrees or orders of any governmental authority applicable</w:t>
            </w:r>
          </w:p>
        </w:tc>
      </w:tr>
      <w:tr>
        <w:trPr>
          <w:trHeight w:val="234"/>
        </w:trPr>
        <w:tc>
          <w:tcPr>
            <w:tcW w:w="4220" w:type="dxa"/>
            <w:vAlign w:val="bottom"/>
          </w:tcPr>
          <w:p>
            <w:pPr>
              <w:spacing w:after="0"/>
              <w:rPr>
                <w:sz w:val="20"/>
                <w:szCs w:val="20"/>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 such person.</w:t>
            </w:r>
          </w:p>
        </w:tc>
      </w:tr>
      <w:tr>
        <w:trPr>
          <w:trHeight w:val="468"/>
        </w:trPr>
        <w:tc>
          <w:tcPr>
            <w:tcW w:w="422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“Articles”</w:t>
            </w: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these amended and restated articles of association of the</w:t>
            </w:r>
          </w:p>
        </w:tc>
      </w:tr>
      <w:tr>
        <w:trPr>
          <w:trHeight w:val="234"/>
        </w:trPr>
        <w:tc>
          <w:tcPr>
            <w:tcW w:w="4220" w:type="dxa"/>
            <w:vAlign w:val="bottom"/>
          </w:tcPr>
          <w:p>
            <w:pPr>
              <w:spacing w:after="0"/>
              <w:rPr>
                <w:sz w:val="20"/>
                <w:szCs w:val="20"/>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w:t>
            </w:r>
          </w:p>
        </w:tc>
      </w:tr>
      <w:tr>
        <w:trPr>
          <w:trHeight w:val="468"/>
        </w:trPr>
        <w:tc>
          <w:tcPr>
            <w:tcW w:w="422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the audit committee of the board of directors of the Company</w:t>
            </w:r>
          </w:p>
        </w:tc>
      </w:tr>
      <w:tr>
        <w:trPr>
          <w:trHeight w:val="234"/>
        </w:trPr>
        <w:tc>
          <w:tcPr>
            <w:tcW w:w="4220" w:type="dxa"/>
            <w:vAlign w:val="bottom"/>
          </w:tcPr>
          <w:p>
            <w:pPr>
              <w:spacing w:after="0"/>
              <w:rPr>
                <w:sz w:val="20"/>
                <w:szCs w:val="20"/>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established pursuant to the Articles, or any successor committee.</w:t>
            </w:r>
          </w:p>
        </w:tc>
      </w:tr>
      <w:tr>
        <w:trPr>
          <w:trHeight w:val="468"/>
        </w:trPr>
        <w:tc>
          <w:tcPr>
            <w:tcW w:w="422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“Auditor”</w:t>
            </w: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the person for the time being performing the duties of auditor</w:t>
            </w:r>
          </w:p>
        </w:tc>
      </w:tr>
      <w:tr>
        <w:trPr>
          <w:trHeight w:val="234"/>
        </w:trPr>
        <w:tc>
          <w:tcPr>
            <w:tcW w:w="4220" w:type="dxa"/>
            <w:vAlign w:val="bottom"/>
          </w:tcPr>
          <w:p>
            <w:pPr>
              <w:spacing w:after="0"/>
              <w:rPr>
                <w:sz w:val="20"/>
                <w:szCs w:val="20"/>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 the Company (if any).</w:t>
            </w:r>
          </w:p>
        </w:tc>
      </w:tr>
      <w:tr>
        <w:trPr>
          <w:trHeight w:val="464"/>
        </w:trPr>
        <w:tc>
          <w:tcPr>
            <w:tcW w:w="422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“Business Combination</w:t>
            </w: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the Business Combination Agreement dated 18 January 2022</w:t>
            </w:r>
          </w:p>
        </w:tc>
      </w:tr>
      <w:tr>
        <w:trPr>
          <w:trHeight w:val="238"/>
        </w:trPr>
        <w:tc>
          <w:tcPr>
            <w:tcW w:w="422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between the Company and the Partnership.</w:t>
            </w:r>
          </w:p>
        </w:tc>
      </w:tr>
      <w:tr>
        <w:trPr>
          <w:trHeight w:val="468"/>
        </w:trPr>
        <w:tc>
          <w:tcPr>
            <w:tcW w:w="422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“business day”</w:t>
            </w: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any day other than a Saturday, a Sunday or a legal holiday or a</w:t>
            </w:r>
          </w:p>
        </w:tc>
      </w:tr>
      <w:tr>
        <w:trPr>
          <w:trHeight w:val="216"/>
        </w:trPr>
        <w:tc>
          <w:tcPr>
            <w:tcW w:w="422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day on which banking institutions or trust companies are authorised or</w:t>
            </w:r>
          </w:p>
        </w:tc>
      </w:tr>
      <w:tr>
        <w:trPr>
          <w:trHeight w:val="234"/>
        </w:trPr>
        <w:tc>
          <w:tcPr>
            <w:tcW w:w="4220" w:type="dxa"/>
            <w:vAlign w:val="bottom"/>
          </w:tcPr>
          <w:p>
            <w:pPr>
              <w:spacing w:after="0"/>
              <w:rPr>
                <w:sz w:val="20"/>
                <w:szCs w:val="20"/>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obligated by law to close in New York City.</w:t>
            </w:r>
          </w:p>
        </w:tc>
      </w:tr>
      <w:tr>
        <w:trPr>
          <w:trHeight w:val="468"/>
        </w:trPr>
        <w:tc>
          <w:tcPr>
            <w:tcW w:w="422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“Class A Share”</w:t>
            </w: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a Class A ordinary share of a par value of US$0.0001 in the</w:t>
            </w:r>
          </w:p>
        </w:tc>
      </w:tr>
      <w:tr>
        <w:trPr>
          <w:trHeight w:val="234"/>
        </w:trPr>
        <w:tc>
          <w:tcPr>
            <w:tcW w:w="4220" w:type="dxa"/>
            <w:vAlign w:val="bottom"/>
          </w:tcPr>
          <w:p>
            <w:pPr>
              <w:spacing w:after="0"/>
              <w:rPr>
                <w:sz w:val="20"/>
                <w:szCs w:val="20"/>
                <w:color w:val="auto"/>
              </w:rPr>
            </w:pPr>
          </w:p>
        </w:tc>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 capital of the Company.</w:t>
            </w:r>
          </w:p>
        </w:tc>
      </w:tr>
      <w:tr>
        <w:trPr>
          <w:trHeight w:val="783"/>
        </w:trPr>
        <w:tc>
          <w:tcPr>
            <w:tcW w:w="4220" w:type="dxa"/>
            <w:vAlign w:val="bottom"/>
          </w:tcPr>
          <w:p>
            <w:pPr>
              <w:spacing w:after="0"/>
              <w:rPr>
                <w:sz w:val="24"/>
                <w:szCs w:val="24"/>
                <w:color w:val="auto"/>
              </w:rPr>
            </w:pPr>
          </w:p>
        </w:tc>
        <w:tc>
          <w:tcPr>
            <w:tcW w:w="68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A-2</w:t>
            </w:r>
          </w:p>
        </w:tc>
      </w:tr>
      <w:tr>
        <w:trPr>
          <w:trHeight w:val="196"/>
        </w:trPr>
        <w:tc>
          <w:tcPr>
            <w:tcW w:w="4220" w:type="dxa"/>
            <w:vAlign w:val="bottom"/>
            <w:tcBorders>
              <w:bottom w:val="single" w:sz="8" w:color="auto"/>
            </w:tcBorders>
          </w:tcPr>
          <w:p>
            <w:pPr>
              <w:spacing w:after="0"/>
              <w:rPr>
                <w:sz w:val="17"/>
                <w:szCs w:val="17"/>
                <w:color w:val="auto"/>
              </w:rPr>
            </w:pPr>
          </w:p>
        </w:tc>
        <w:tc>
          <w:tcPr>
            <w:tcW w:w="68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620" w:type="dxa"/>
            <w:vAlign w:val="bottom"/>
          </w:tcPr>
          <w:p>
            <w:pPr>
              <w:spacing w:after="0"/>
              <w:rPr>
                <w:sz w:val="13"/>
                <w:szCs w:val="13"/>
                <w:color w:val="auto"/>
              </w:rPr>
            </w:pPr>
          </w:p>
        </w:tc>
        <w:tc>
          <w:tcPr>
            <w:tcW w:w="6560" w:type="dxa"/>
            <w:vAlign w:val="bottom"/>
          </w:tcPr>
          <w:p>
            <w:pPr>
              <w:spacing w:after="0"/>
              <w:rPr>
                <w:sz w:val="13"/>
                <w:szCs w:val="13"/>
                <w:color w:val="auto"/>
              </w:rPr>
            </w:pPr>
          </w:p>
        </w:tc>
      </w:tr>
      <w:tr>
        <w:trPr>
          <w:trHeight w:val="434"/>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“Class B PMEL RSRs”</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the Restricted Stock Rights issued by the Company designated</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“Class B PMEL RSRs”</w:t>
            </w:r>
          </w:p>
        </w:tc>
      </w:tr>
      <w:tr>
        <w:trPr>
          <w:trHeight w:val="468"/>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“Class B Series 1 RSRs”</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the Restricted Stock Rights issued by the Company designated</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“Class B Series 1 RSRs”.</w:t>
            </w:r>
          </w:p>
        </w:tc>
      </w:tr>
      <w:tr>
        <w:trPr>
          <w:trHeight w:val="468"/>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“Class B Series 2 RSRs”</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the Restricted Stock Rights issued by the Company designated</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“Class B Series 2 RSRs”.</w:t>
            </w:r>
          </w:p>
        </w:tc>
      </w:tr>
      <w:tr>
        <w:trPr>
          <w:trHeight w:val="468"/>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“Class B Series 3 RSRs”</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the Restricted Stock Rights issued by the Company designated</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“Class B Series 3 RSRs”.</w:t>
            </w:r>
          </w:p>
        </w:tc>
      </w:tr>
      <w:tr>
        <w:trPr>
          <w:trHeight w:val="468"/>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“Class B Share”</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a Class B ordinary share of a par value of US$0.0001 in the</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capital of the Company.</w:t>
            </w:r>
          </w:p>
        </w:tc>
      </w:tr>
      <w:tr>
        <w:trPr>
          <w:trHeight w:val="468"/>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“Clearing House”</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a clearing house recognised by the laws of the jurisdiction in</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which the Shares (or depositary receipts therefor) are listed or quoted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 a stock exchange or interdealer quotation system in such</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jurisdiction.</w:t>
            </w:r>
          </w:p>
        </w:tc>
      </w:tr>
      <w:tr>
        <w:trPr>
          <w:trHeight w:val="468"/>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the units of the Partnership designated as “Common Units”</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pursuant to the Partnership Agreement.</w:t>
            </w:r>
          </w:p>
        </w:tc>
      </w:tr>
      <w:tr>
        <w:trPr>
          <w:trHeight w:val="486"/>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the above named company.</w:t>
            </w:r>
          </w:p>
        </w:tc>
      </w:tr>
      <w:tr>
        <w:trPr>
          <w:trHeight w:val="468"/>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“Company’s Website”</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the website of the Company and/or its web-address or domain</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 (if any).</w:t>
            </w:r>
          </w:p>
        </w:tc>
      </w:tr>
      <w:tr>
        <w:trPr>
          <w:trHeight w:val="468"/>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the compensation committee of the board of directors of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established pursuant to the Articles, or any successor</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committee.</w:t>
            </w:r>
          </w:p>
        </w:tc>
      </w:tr>
      <w:tr>
        <w:trPr>
          <w:trHeight w:val="468"/>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“Designated Stock Exchange”</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any United States national securities exchange on which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of the Company are listed for trading, including The Nasdaq</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Market.</w:t>
            </w:r>
          </w:p>
        </w:tc>
      </w:tr>
      <w:tr>
        <w:trPr>
          <w:trHeight w:val="486"/>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each of the members of the board of directors of the Company.</w:t>
            </w:r>
          </w:p>
        </w:tc>
      </w:tr>
      <w:tr>
        <w:trPr>
          <w:trHeight w:val="468"/>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“Dividend”</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any dividend (whether interim or final) resolved to be paid on</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pursuant to the Articles.</w:t>
            </w:r>
          </w:p>
        </w:tc>
      </w:tr>
      <w:tr>
        <w:trPr>
          <w:trHeight w:val="468"/>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“Earnout Participants”</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such persons as are entitled to receive Class B Series 1 RSRs,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B Series 2 RSRs and Class B Series 3 RSRs on the terms and</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subject to the conditions of the Business Combination Agreement.</w:t>
            </w:r>
          </w:p>
        </w:tc>
      </w:tr>
      <w:tr>
        <w:trPr>
          <w:trHeight w:val="486"/>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July 11, 2022.</w:t>
            </w:r>
          </w:p>
        </w:tc>
      </w:tr>
      <w:tr>
        <w:trPr>
          <w:trHeight w:val="783"/>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5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A-3</w:t>
            </w: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656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620" w:type="dxa"/>
            <w:vAlign w:val="bottom"/>
          </w:tcPr>
          <w:p>
            <w:pPr>
              <w:spacing w:after="0"/>
              <w:rPr>
                <w:sz w:val="13"/>
                <w:szCs w:val="13"/>
                <w:color w:val="auto"/>
              </w:rPr>
            </w:pPr>
          </w:p>
        </w:tc>
        <w:tc>
          <w:tcPr>
            <w:tcW w:w="6560" w:type="dxa"/>
            <w:vAlign w:val="bottom"/>
          </w:tcPr>
          <w:p>
            <w:pPr>
              <w:spacing w:after="0"/>
              <w:rPr>
                <w:sz w:val="13"/>
                <w:szCs w:val="13"/>
                <w:color w:val="auto"/>
              </w:rPr>
            </w:pPr>
          </w:p>
        </w:tc>
      </w:tr>
      <w:tr>
        <w:trPr>
          <w:trHeight w:val="434"/>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“Electronic Communication”</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a communication sent by electronic means, including electronic</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posting to the Company’s Website, transmission to any number,</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address or internet website (including the website of the Securities and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Commission) or other electronic delivery methods as</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otherwise decided and approved by the Directors.</w:t>
            </w:r>
          </w:p>
        </w:tc>
      </w:tr>
      <w:tr>
        <w:trPr>
          <w:trHeight w:val="486"/>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“Electronic Record”</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has the same meaning as in the Electronic Transactions Act.</w:t>
            </w:r>
          </w:p>
        </w:tc>
      </w:tr>
      <w:tr>
        <w:trPr>
          <w:trHeight w:val="468"/>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“Electronic Transactions Act”</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the Electronic Transactions Act (As Revised) of the Cayman</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Islands.</w:t>
            </w:r>
          </w:p>
        </w:tc>
      </w:tr>
      <w:tr>
        <w:trPr>
          <w:trHeight w:val="468"/>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the United States Securities Exchange Act of 1934, as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amended, or any similar U.S. federal statute and the rules and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regulations of the Securities and Exchange Commission thereunder,</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as the same shall be in effect at the time.</w:t>
            </w:r>
          </w:p>
        </w:tc>
      </w:tr>
      <w:tr>
        <w:trPr>
          <w:trHeight w:val="468"/>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“Exchange Agreement”</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the Exchange Agreement dated the Effective Date among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the Partnership acting through its General Partner and</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holders of interests in the Partnership party thereto.</w:t>
            </w:r>
          </w:p>
        </w:tc>
      </w:tr>
      <w:tr>
        <w:trPr>
          <w:trHeight w:val="486"/>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“General Partner”</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ProKidney Corp. GP Limited.</w:t>
            </w:r>
          </w:p>
        </w:tc>
      </w:tr>
      <w:tr>
        <w:trPr>
          <w:trHeight w:val="468"/>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“Independent Director”</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has the same meaning as in the rules and regulations of the Designated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Exchange or in Rule 10A-3 under the Exchange Act, as the case</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be.</w:t>
            </w:r>
          </w:p>
        </w:tc>
      </w:tr>
      <w:tr>
        <w:trPr>
          <w:trHeight w:val="486"/>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has the same meaning as in the Statute.</w:t>
            </w:r>
          </w:p>
        </w:tc>
      </w:tr>
      <w:tr>
        <w:trPr>
          <w:trHeight w:val="468"/>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“Memorandum”</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the amended and restated memorandum of association of the</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w:t>
            </w:r>
          </w:p>
        </w:tc>
      </w:tr>
      <w:tr>
        <w:trPr>
          <w:trHeight w:val="464"/>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“Nominating and Corporate</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the nominating and corporate governance committee of the</w:t>
            </w:r>
          </w:p>
        </w:tc>
      </w:tr>
      <w:tr>
        <w:trPr>
          <w:trHeight w:val="220"/>
        </w:trPr>
        <w:tc>
          <w:tcPr>
            <w:tcW w:w="1300" w:type="dxa"/>
            <w:vAlign w:val="bottom"/>
          </w:tcPr>
          <w:p>
            <w:pPr>
              <w:spacing w:after="0"/>
              <w:rPr>
                <w:sz w:val="19"/>
                <w:szCs w:val="19"/>
                <w:color w:val="auto"/>
              </w:rPr>
            </w:pPr>
          </w:p>
        </w:tc>
        <w:tc>
          <w:tcPr>
            <w:tcW w:w="31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Governance Committee”</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board of directors of the Company established pursuant to the Articles,</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 any successor committee.</w:t>
            </w:r>
          </w:p>
        </w:tc>
      </w:tr>
      <w:tr>
        <w:trPr>
          <w:trHeight w:val="468"/>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a person appointed to hold an office in the Company, which</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Officers may consist of a chairman, a chief executive officer, a</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 chief operating officer, a chief financial officer, a director</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research, vice presidents, a secretary, assistant secretaries, a</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treasurer and such other offices as may be determined by the board of</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of the Company.</w:t>
            </w:r>
          </w:p>
        </w:tc>
      </w:tr>
      <w:tr>
        <w:trPr>
          <w:trHeight w:val="468"/>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“Ordinary Resolution”</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a resolution passed by a simple majority of the Members as,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being entitled to do so, vote in person or, where proxies are allowed,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 proxy at a general meeting, and includes a unanimous written</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resolution. In computing the majority when a poll is demanded regard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shall be had to the number of votes to which each Member is entitled</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 the Articles.</w:t>
            </w:r>
          </w:p>
        </w:tc>
      </w:tr>
      <w:tr>
        <w:trPr>
          <w:trHeight w:val="468"/>
        </w:trPr>
        <w:tc>
          <w:tcPr>
            <w:tcW w:w="1300" w:type="dxa"/>
            <w:vAlign w:val="bottom"/>
          </w:tcPr>
          <w:p>
            <w:pPr>
              <w:spacing w:after="0"/>
              <w:rPr>
                <w:sz w:val="24"/>
                <w:szCs w:val="24"/>
                <w:color w:val="auto"/>
              </w:rPr>
            </w:pPr>
          </w:p>
        </w:tc>
        <w:tc>
          <w:tcPr>
            <w:tcW w:w="3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“Paired Interest”</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one Common Unit together with one Class B Share, subject to</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 pursuant to the Partnership Agreement.</w:t>
            </w:r>
          </w:p>
        </w:tc>
      </w:tr>
      <w:tr>
        <w:trPr>
          <w:trHeight w:val="783"/>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5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A-4</w:t>
            </w: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656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500" w:type="dxa"/>
            <w:vAlign w:val="bottom"/>
          </w:tcPr>
          <w:p>
            <w:pPr>
              <w:spacing w:after="0"/>
              <w:rPr>
                <w:sz w:val="13"/>
                <w:szCs w:val="13"/>
                <w:color w:val="auto"/>
              </w:rPr>
            </w:pPr>
          </w:p>
        </w:tc>
        <w:tc>
          <w:tcPr>
            <w:tcW w:w="6680" w:type="dxa"/>
            <w:vAlign w:val="bottom"/>
          </w:tcPr>
          <w:p>
            <w:pPr>
              <w:spacing w:after="0"/>
              <w:rPr>
                <w:sz w:val="13"/>
                <w:szCs w:val="13"/>
                <w:color w:val="auto"/>
              </w:rPr>
            </w:pPr>
          </w:p>
        </w:tc>
      </w:tr>
      <w:tr>
        <w:trPr>
          <w:trHeight w:val="434"/>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“Partnership”</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ProKidney LP, a limited partnership organized under the laws</w:t>
            </w:r>
          </w:p>
        </w:tc>
      </w:tr>
      <w:tr>
        <w:trPr>
          <w:trHeight w:val="234"/>
        </w:trPr>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Ireland.</w:t>
            </w:r>
          </w:p>
        </w:tc>
      </w:tr>
      <w:tr>
        <w:trPr>
          <w:trHeight w:val="468"/>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“Partnership Agreement”</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Second Amended and Restated Limited Partnership Deed</w:t>
            </w:r>
          </w:p>
        </w:tc>
      </w:tr>
      <w:tr>
        <w:trPr>
          <w:trHeight w:val="216"/>
        </w:trPr>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the Partnership, by and among the General Partner, the other Post-</w:t>
            </w:r>
          </w:p>
        </w:tc>
      </w:tr>
      <w:tr>
        <w:trPr>
          <w:trHeight w:val="216"/>
        </w:trPr>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Combination Partnership Partners and the other persons that may</w:t>
            </w:r>
          </w:p>
        </w:tc>
      </w:tr>
      <w:tr>
        <w:trPr>
          <w:trHeight w:val="216"/>
        </w:trPr>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become parties thereto from time to time, as the same may be</w:t>
            </w:r>
          </w:p>
        </w:tc>
      </w:tr>
      <w:tr>
        <w:trPr>
          <w:trHeight w:val="216"/>
        </w:trPr>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amended, restated, supplemented and/or otherwise modified from time</w:t>
            </w:r>
          </w:p>
        </w:tc>
      </w:tr>
      <w:tr>
        <w:trPr>
          <w:trHeight w:val="234"/>
        </w:trPr>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time.</w:t>
            </w:r>
          </w:p>
        </w:tc>
      </w:tr>
      <w:tr>
        <w:trPr>
          <w:trHeight w:val="464"/>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“PMEL Post-Combination</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such persons as are entitled to receive Class B PMEL RSRs on</w:t>
            </w:r>
          </w:p>
        </w:tc>
      </w:tr>
      <w:tr>
        <w:trPr>
          <w:trHeight w:val="220"/>
        </w:trPr>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Company Unitholders”</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terms and subject to the conditions of the Business Combination</w:t>
            </w:r>
          </w:p>
        </w:tc>
      </w:tr>
      <w:tr>
        <w:trPr>
          <w:trHeight w:val="234"/>
        </w:trPr>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w:t>
            </w:r>
          </w:p>
        </w:tc>
      </w:tr>
      <w:tr>
        <w:trPr>
          <w:trHeight w:val="464"/>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“Post-Combination</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holders of Common Units that are party to the Partnership</w:t>
            </w:r>
          </w:p>
        </w:tc>
      </w:tr>
      <w:tr>
        <w:trPr>
          <w:trHeight w:val="238"/>
        </w:trPr>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Partnership Partners”</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 from time to time.</w:t>
            </w:r>
          </w:p>
        </w:tc>
      </w:tr>
      <w:tr>
        <w:trPr>
          <w:trHeight w:val="468"/>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“Preference Share”</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a preference share of a par value of US$0.0001 in the share</w:t>
            </w:r>
          </w:p>
        </w:tc>
      </w:tr>
      <w:tr>
        <w:trPr>
          <w:trHeight w:val="234"/>
        </w:trPr>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of the Company.</w:t>
            </w:r>
          </w:p>
        </w:tc>
      </w:tr>
      <w:tr>
        <w:trPr>
          <w:trHeight w:val="468"/>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“Register of Members”</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register of Members of the Company maintained in</w:t>
            </w:r>
          </w:p>
        </w:tc>
      </w:tr>
      <w:tr>
        <w:trPr>
          <w:trHeight w:val="216"/>
        </w:trPr>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accordance with the Statute and includes (except where otherwise</w:t>
            </w:r>
          </w:p>
        </w:tc>
      </w:tr>
      <w:tr>
        <w:trPr>
          <w:trHeight w:val="234"/>
        </w:trPr>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stated) any branch or duplicate register of Members.</w:t>
            </w:r>
          </w:p>
        </w:tc>
      </w:tr>
      <w:tr>
        <w:trPr>
          <w:trHeight w:val="486"/>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registered office for the time being of the Company.</w:t>
            </w:r>
          </w:p>
        </w:tc>
      </w:tr>
      <w:tr>
        <w:trPr>
          <w:trHeight w:val="468"/>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“Restricted Stock Rights”</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Class B Series 1 RSRs, the Class B Series 2 RSRs, the</w:t>
            </w:r>
          </w:p>
        </w:tc>
      </w:tr>
      <w:tr>
        <w:trPr>
          <w:trHeight w:val="234"/>
        </w:trPr>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B Series 3 RSRs and the Class B PMEL RSRs.</w:t>
            </w:r>
          </w:p>
        </w:tc>
      </w:tr>
      <w:tr>
        <w:trPr>
          <w:trHeight w:val="468"/>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“Seal”</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common seal of the Company and includes every duplicate</w:t>
            </w:r>
          </w:p>
        </w:tc>
      </w:tr>
      <w:tr>
        <w:trPr>
          <w:trHeight w:val="234"/>
        </w:trPr>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seal.</w:t>
            </w:r>
          </w:p>
        </w:tc>
      </w:tr>
      <w:tr>
        <w:trPr>
          <w:trHeight w:val="464"/>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“Securities and Exchange</w:t>
            </w:r>
          </w:p>
        </w:tc>
        <w:tc>
          <w:tcPr>
            <w:tcW w:w="6680" w:type="dxa"/>
            <w:vAlign w:val="bottom"/>
          </w:tcPr>
          <w:p>
            <w:pPr>
              <w:spacing w:after="0"/>
              <w:rPr>
                <w:sz w:val="24"/>
                <w:szCs w:val="24"/>
                <w:color w:val="auto"/>
              </w:rPr>
            </w:pPr>
          </w:p>
        </w:tc>
      </w:tr>
      <w:tr>
        <w:trPr>
          <w:trHeight w:val="238"/>
        </w:trPr>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United States Securities and Exchange Commission.</w:t>
            </w:r>
          </w:p>
        </w:tc>
      </w:tr>
      <w:tr>
        <w:trPr>
          <w:trHeight w:val="468"/>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a Class A Share, a Class B Share, or a Preference Share and</w:t>
            </w:r>
          </w:p>
        </w:tc>
      </w:tr>
      <w:tr>
        <w:trPr>
          <w:trHeight w:val="234"/>
        </w:trPr>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includes a fraction of a share in the Company.</w:t>
            </w:r>
          </w:p>
        </w:tc>
      </w:tr>
      <w:tr>
        <w:trPr>
          <w:trHeight w:val="468"/>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has the same meaning as in the Statute, and includes a unanimous</w:t>
            </w:r>
          </w:p>
        </w:tc>
      </w:tr>
      <w:tr>
        <w:trPr>
          <w:trHeight w:val="234"/>
        </w:trPr>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written resolution.</w:t>
            </w:r>
          </w:p>
        </w:tc>
      </w:tr>
      <w:tr>
        <w:trPr>
          <w:trHeight w:val="486"/>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“Statute”</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Companies Act (As Revised) of the Cayman Islands.</w:t>
            </w:r>
          </w:p>
        </w:tc>
      </w:tr>
      <w:tr>
        <w:trPr>
          <w:trHeight w:val="464"/>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“Tax Filing Authorised</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such person as any Director shall designate from time to time,</w:t>
            </w:r>
          </w:p>
        </w:tc>
      </w:tr>
      <w:tr>
        <w:trPr>
          <w:trHeight w:val="238"/>
        </w:trPr>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acting severally.</w:t>
            </w:r>
          </w:p>
        </w:tc>
      </w:tr>
      <w:tr>
        <w:trPr>
          <w:trHeight w:val="468"/>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“Treasury Share”</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a Share held in the name of the Company as a treasury share in</w:t>
            </w:r>
          </w:p>
        </w:tc>
      </w:tr>
      <w:tr>
        <w:trPr>
          <w:trHeight w:val="234"/>
        </w:trPr>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accordance with the Statute.</w:t>
            </w:r>
          </w:p>
        </w:tc>
      </w:tr>
      <w:tr>
        <w:trPr>
          <w:trHeight w:val="378"/>
        </w:trPr>
        <w:tc>
          <w:tcPr>
            <w:tcW w:w="1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1.2</w:t>
            </w:r>
          </w:p>
        </w:tc>
        <w:tc>
          <w:tcPr>
            <w:tcW w:w="2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 the Articles:</w:t>
            </w:r>
          </w:p>
        </w:tc>
        <w:tc>
          <w:tcPr>
            <w:tcW w:w="668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  words importing the singular number include the plural number and vice versa;</w:t>
            </w:r>
          </w:p>
        </w:tc>
      </w:tr>
      <w:tr>
        <w:trPr>
          <w:trHeight w:val="324"/>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(b)  words importing the masculine gender include the feminine gender;</w:t>
            </w:r>
          </w:p>
        </w:tc>
      </w:tr>
      <w:tr>
        <w:trPr>
          <w:trHeight w:val="432"/>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A-5</w:t>
            </w:r>
          </w:p>
        </w:tc>
      </w:tr>
      <w:tr>
        <w:trPr>
          <w:trHeight w:val="196"/>
        </w:trPr>
        <w:tc>
          <w:tcPr>
            <w:tcW w:w="1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668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60" w:hanging="348"/>
        <w:spacing w:after="0"/>
        <w:tabs>
          <w:tab w:leader="none" w:pos="1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persons include corporations as well as any other legal or natural person;</w:t>
      </w:r>
    </w:p>
    <w:p>
      <w:pPr>
        <w:spacing w:after="0" w:line="117" w:lineRule="exact"/>
        <w:rPr>
          <w:rFonts w:ascii="Times New Roman" w:cs="Times New Roman" w:eastAsia="Times New Roman" w:hAnsi="Times New Roman"/>
          <w:sz w:val="18"/>
          <w:szCs w:val="18"/>
          <w:color w:val="auto"/>
        </w:rPr>
      </w:pPr>
    </w:p>
    <w:p>
      <w:pPr>
        <w:ind w:left="1360" w:right="579" w:hanging="348"/>
        <w:spacing w:after="0" w:line="282" w:lineRule="auto"/>
        <w:tabs>
          <w:tab w:leader="none" w:pos="1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and “in writing” include all modes of representing or reproducing words in visible form, including in the form of an Electronic Record;</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shall be construed as imperative and “may” shall be construed as permissive;</w:t>
      </w:r>
    </w:p>
    <w:p>
      <w:pPr>
        <w:spacing w:after="0" w:line="117" w:lineRule="exact"/>
        <w:rPr>
          <w:rFonts w:ascii="Times New Roman" w:cs="Times New Roman" w:eastAsia="Times New Roman" w:hAnsi="Times New Roman"/>
          <w:sz w:val="18"/>
          <w:szCs w:val="18"/>
          <w:color w:val="auto"/>
        </w:rPr>
      </w:pPr>
    </w:p>
    <w:p>
      <w:pPr>
        <w:ind w:left="1360" w:right="439" w:hanging="348"/>
        <w:spacing w:after="0" w:line="282" w:lineRule="auto"/>
        <w:tabs>
          <w:tab w:leader="none" w:pos="1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provisions of any law or regulation shall be construed as references to those provisions as amended, modified, re-enacted or replaced;</w:t>
      </w:r>
    </w:p>
    <w:p>
      <w:pPr>
        <w:spacing w:after="0" w:line="53" w:lineRule="exact"/>
        <w:rPr>
          <w:rFonts w:ascii="Times New Roman" w:cs="Times New Roman" w:eastAsia="Times New Roman" w:hAnsi="Times New Roman"/>
          <w:sz w:val="18"/>
          <w:szCs w:val="18"/>
          <w:color w:val="auto"/>
        </w:rPr>
      </w:pPr>
    </w:p>
    <w:p>
      <w:pPr>
        <w:ind w:left="1360" w:right="479" w:hanging="348"/>
        <w:spacing w:after="0" w:line="282" w:lineRule="auto"/>
        <w:tabs>
          <w:tab w:leader="none" w:pos="1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“in particular” or any similar expression shall be construed as illustrative and shall not limit the sense of the words preceding those terms;</w:t>
      </w:r>
    </w:p>
    <w:p>
      <w:pPr>
        <w:spacing w:after="0" w:line="53" w:lineRule="exact"/>
        <w:rPr>
          <w:rFonts w:ascii="Times New Roman" w:cs="Times New Roman" w:eastAsia="Times New Roman" w:hAnsi="Times New Roman"/>
          <w:sz w:val="18"/>
          <w:szCs w:val="18"/>
          <w:color w:val="auto"/>
        </w:rPr>
      </w:pPr>
    </w:p>
    <w:p>
      <w:pPr>
        <w:ind w:left="1360" w:right="419" w:hanging="348"/>
        <w:spacing w:after="0" w:line="261" w:lineRule="auto"/>
        <w:tabs>
          <w:tab w:leader="none" w:pos="1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71"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reference only and shall be ignored in construing the Articles;</w:t>
      </w:r>
    </w:p>
    <w:p>
      <w:pPr>
        <w:spacing w:after="0" w:line="117" w:lineRule="exact"/>
        <w:rPr>
          <w:rFonts w:ascii="Times New Roman" w:cs="Times New Roman" w:eastAsia="Times New Roman" w:hAnsi="Times New Roman"/>
          <w:sz w:val="18"/>
          <w:szCs w:val="18"/>
          <w:color w:val="auto"/>
        </w:rPr>
      </w:pPr>
    </w:p>
    <w:p>
      <w:pPr>
        <w:ind w:left="1360" w:right="819" w:hanging="348"/>
        <w:spacing w:after="0" w:line="282" w:lineRule="auto"/>
        <w:tabs>
          <w:tab w:leader="none" w:pos="1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w:t>
      </w:r>
    </w:p>
    <w:p>
      <w:pPr>
        <w:spacing w:after="0" w:line="53" w:lineRule="exact"/>
        <w:rPr>
          <w:rFonts w:ascii="Times New Roman" w:cs="Times New Roman" w:eastAsia="Times New Roman" w:hAnsi="Times New Roman"/>
          <w:sz w:val="18"/>
          <w:szCs w:val="18"/>
          <w:color w:val="auto"/>
        </w:rPr>
      </w:pPr>
    </w:p>
    <w:p>
      <w:pPr>
        <w:ind w:left="1360" w:right="359" w:hanging="348"/>
        <w:spacing w:after="0" w:line="266" w:lineRule="auto"/>
        <w:tabs>
          <w:tab w:leader="none" w:pos="1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Act;</w:t>
      </w:r>
    </w:p>
    <w:p>
      <w:pPr>
        <w:spacing w:after="0" w:line="6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117" w:lineRule="exact"/>
        <w:rPr>
          <w:rFonts w:ascii="Times New Roman" w:cs="Times New Roman" w:eastAsia="Times New Roman" w:hAnsi="Times New Roman"/>
          <w:sz w:val="18"/>
          <w:szCs w:val="18"/>
          <w:color w:val="auto"/>
        </w:rPr>
      </w:pPr>
    </w:p>
    <w:p>
      <w:pPr>
        <w:jc w:val="both"/>
        <w:ind w:left="1360" w:right="519" w:hanging="348"/>
        <w:spacing w:after="0" w:line="266" w:lineRule="auto"/>
        <w:tabs>
          <w:tab w:leader="none" w:pos="1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“clear days” in relation to the period of a notice means that period excluding the day when the notice is received or deemed to be received and the day for which it is given or on which it is to take effect; and</w:t>
      </w:r>
    </w:p>
    <w:p>
      <w:pPr>
        <w:spacing w:after="0" w:line="67" w:lineRule="exact"/>
        <w:rPr>
          <w:rFonts w:ascii="Times New Roman" w:cs="Times New Roman" w:eastAsia="Times New Roman" w:hAnsi="Times New Roman"/>
          <w:sz w:val="18"/>
          <w:szCs w:val="18"/>
          <w:color w:val="auto"/>
        </w:rPr>
      </w:pPr>
    </w:p>
    <w:p>
      <w:pPr>
        <w:ind w:left="1360" w:right="739" w:hanging="348"/>
        <w:spacing w:after="0" w:line="282" w:lineRule="auto"/>
        <w:tabs>
          <w:tab w:leader="none" w:pos="1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“holder” in relation to a Share means a person whose name is entered in the Register of Members as the holder of such Share.</w:t>
      </w:r>
    </w:p>
    <w:p>
      <w:pPr>
        <w:spacing w:after="0" w:line="158" w:lineRule="exact"/>
        <w:rPr>
          <w:sz w:val="20"/>
          <w:szCs w:val="20"/>
          <w:color w:val="auto"/>
        </w:rPr>
      </w:pPr>
    </w:p>
    <w:p>
      <w:pPr>
        <w:ind w:left="1000" w:hanging="708"/>
        <w:spacing w:after="0"/>
        <w:tabs>
          <w:tab w:leader="none" w:pos="10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of Business</w:t>
      </w:r>
    </w:p>
    <w:p>
      <w:pPr>
        <w:spacing w:after="0" w:line="121" w:lineRule="exact"/>
        <w:rPr>
          <w:sz w:val="20"/>
          <w:szCs w:val="20"/>
          <w:color w:val="auto"/>
        </w:rPr>
      </w:pPr>
    </w:p>
    <w:p>
      <w:pPr>
        <w:ind w:left="1000" w:right="759" w:hanging="71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business of the Company may be commenced as soon after incorporation of the Company as the Directors shall see fit.</w:t>
      </w:r>
    </w:p>
    <w:p>
      <w:pPr>
        <w:spacing w:after="0" w:line="54" w:lineRule="exact"/>
        <w:rPr>
          <w:sz w:val="20"/>
          <w:szCs w:val="20"/>
          <w:color w:val="auto"/>
        </w:rPr>
      </w:pPr>
    </w:p>
    <w:p>
      <w:pPr>
        <w:ind w:left="1000" w:right="399" w:hanging="71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58" w:lineRule="exact"/>
        <w:rPr>
          <w:sz w:val="20"/>
          <w:szCs w:val="20"/>
          <w:color w:val="auto"/>
        </w:rPr>
      </w:pPr>
    </w:p>
    <w:p>
      <w:pPr>
        <w:ind w:left="1000" w:hanging="708"/>
        <w:spacing w:after="0"/>
        <w:tabs>
          <w:tab w:leader="none" w:pos="100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Shares and other Securities</w:t>
      </w:r>
    </w:p>
    <w:p>
      <w:pPr>
        <w:spacing w:after="0" w:line="121" w:lineRule="exact"/>
        <w:rPr>
          <w:sz w:val="20"/>
          <w:szCs w:val="20"/>
          <w:color w:val="auto"/>
        </w:rPr>
      </w:pPr>
    </w:p>
    <w:p>
      <w:pPr>
        <w:ind w:left="1000" w:right="379" w:hanging="714"/>
        <w:spacing w:after="0" w:line="254" w:lineRule="auto"/>
        <w:tabs>
          <w:tab w:leader="none" w:pos="9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Subject to Article 3.2, Article 3.3, Article 3.4,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w:t>
      </w:r>
    </w:p>
    <w:p>
      <w:pPr>
        <w:spacing w:after="0" w:line="80" w:lineRule="exact"/>
        <w:rPr>
          <w:sz w:val="20"/>
          <w:szCs w:val="20"/>
          <w:color w:val="auto"/>
        </w:rPr>
      </w:pPr>
    </w:p>
    <w:p>
      <w:pPr>
        <w:ind w:left="1000" w:right="339" w:hanging="714"/>
        <w:spacing w:after="0" w:line="256" w:lineRule="auto"/>
        <w:tabs>
          <w:tab w:leader="none" w:pos="9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Company may from time to time issue Class A Shares on the terms and subject to the conditions set forth in the Exchange Agreement. The Company shall at all times reserve and keep available out of its authorised but unissued share capital, such number of Class A Shares as may be issued upon any exchange pursuant to and in accordance with the Exchange Agreement; provided that nothing contained herein shall be construed to preclude the Company from satisfying its obligations in respect of the Exchange Agreement by the sale of Class A Shares which are held in the treasury of the Company 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79"/>
        <w:spacing w:after="0" w:line="266" w:lineRule="auto"/>
        <w:rPr>
          <w:sz w:val="20"/>
          <w:szCs w:val="20"/>
          <w:color w:val="auto"/>
        </w:rPr>
      </w:pPr>
      <w:r>
        <w:rPr>
          <w:rFonts w:ascii="Times New Roman" w:cs="Times New Roman" w:eastAsia="Times New Roman" w:hAnsi="Times New Roman"/>
          <w:sz w:val="18"/>
          <w:szCs w:val="18"/>
          <w:color w:val="auto"/>
        </w:rPr>
        <w:t>are held by any of its subsidiaries or by the issuance/sale of purchased Class A Shares (which may or may not be held in the treasury of the Company or held by any of its subsidiaries), or by delivery of cash in accordance with the Exchange Agreement.</w:t>
      </w:r>
    </w:p>
    <w:p>
      <w:pPr>
        <w:spacing w:after="0" w:line="68" w:lineRule="exact"/>
        <w:rPr>
          <w:sz w:val="20"/>
          <w:szCs w:val="20"/>
          <w:color w:val="auto"/>
        </w:rPr>
      </w:pPr>
    </w:p>
    <w:p>
      <w:pPr>
        <w:ind w:left="1000" w:right="31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All Class A Shares that may be issued upon any such exchange pursuant to the Exchange Agreement shall, upon issuance, be validly issued, fully paid and non-assessable. All Class B Shares corresponding to the Class A Shares issued upon any such exchange shall automatically and without further action on the part of the Company or any holder of such Class B Shares be forfeited to the Company and cancelled upon such an Exchange.</w:t>
      </w:r>
    </w:p>
    <w:p>
      <w:pPr>
        <w:spacing w:after="0" w:line="75" w:lineRule="exact"/>
        <w:rPr>
          <w:sz w:val="20"/>
          <w:szCs w:val="20"/>
          <w:color w:val="auto"/>
        </w:rPr>
      </w:pPr>
    </w:p>
    <w:p>
      <w:pPr>
        <w:ind w:left="1000" w:right="43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To the extent Common Units are issued pursuant to the Partnership Agreement at any time and from time to time to any person other than the Company or a wholly-owned subsidiary of the Company, the Company shall issue an equivalent number of Class B Shares at par value to the same person to which such Common Units are issued.</w:t>
      </w:r>
    </w:p>
    <w:p>
      <w:pPr>
        <w:spacing w:after="0" w:line="72" w:lineRule="exact"/>
        <w:rPr>
          <w:sz w:val="20"/>
          <w:szCs w:val="20"/>
          <w:color w:val="auto"/>
        </w:rPr>
      </w:pPr>
    </w:p>
    <w:p>
      <w:pPr>
        <w:ind w:left="1000" w:right="57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Subject to Article 19, 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72" w:lineRule="exact"/>
        <w:rPr>
          <w:sz w:val="20"/>
          <w:szCs w:val="20"/>
          <w:color w:val="auto"/>
        </w:rPr>
      </w:pPr>
    </w:p>
    <w:p>
      <w:pPr>
        <w:ind w:left="1000" w:right="55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The Company may issue units of securities in the Company, which may be comprised of whole or fractional Shares, rights, options, warrants or convertible securities or securities of similar nature conferring the right upon the holders thereof to subscribe for, purchase or receive any class of Shares or other securities in the Company, upon such terms as the Directors may from time to time determine.</w:t>
      </w:r>
    </w:p>
    <w:p>
      <w:pPr>
        <w:spacing w:after="0" w:line="72"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color w:val="auto"/>
        </w:rPr>
        <w:t>The Company shall not issue Shares to bearer.</w:t>
      </w:r>
    </w:p>
    <w:p>
      <w:pPr>
        <w:spacing w:after="0" w:line="221" w:lineRule="exact"/>
        <w:rPr>
          <w:sz w:val="20"/>
          <w:szCs w:val="20"/>
          <w:color w:val="auto"/>
        </w:rPr>
      </w:pPr>
    </w:p>
    <w:p>
      <w:pPr>
        <w:ind w:left="1000" w:hanging="708"/>
        <w:spacing w:after="0"/>
        <w:tabs>
          <w:tab w:leader="none" w:pos="100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A Shares</w:t>
      </w:r>
    </w:p>
    <w:p>
      <w:pPr>
        <w:spacing w:after="0" w:line="121" w:lineRule="exact"/>
        <w:rPr>
          <w:sz w:val="20"/>
          <w:szCs w:val="20"/>
          <w:color w:val="auto"/>
        </w:rPr>
      </w:pPr>
    </w:p>
    <w:p>
      <w:pPr>
        <w:ind w:left="1000" w:right="319" w:hanging="71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Class A Shares shall carry the right to receive notice of and to attend, to speak at and to vote at any general meeting of the Company.</w:t>
      </w:r>
    </w:p>
    <w:p>
      <w:pPr>
        <w:spacing w:after="0" w:line="54" w:lineRule="exact"/>
        <w:rPr>
          <w:sz w:val="20"/>
          <w:szCs w:val="20"/>
          <w:color w:val="auto"/>
        </w:rPr>
      </w:pPr>
    </w:p>
    <w:p>
      <w:pPr>
        <w:ind w:left="1000" w:right="43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In the event of a winding up or dissolution of the Company, whether voluntary or involuntary or for the purposes of a reorganisation or otherwise or upon any distribution of capital, the Class A Shares shall, subject to any Applicable Law and the rights, if any, of the holders of any outstanding Preference Shares, carry the right to receive all the remaining assets of the Company available for distribution to the Members, ratably in proportion to the number of Class A Shares held by them.</w:t>
      </w:r>
    </w:p>
    <w:p>
      <w:pPr>
        <w:spacing w:after="0" w:line="75" w:lineRule="exact"/>
        <w:rPr>
          <w:sz w:val="20"/>
          <w:szCs w:val="20"/>
          <w:color w:val="auto"/>
        </w:rPr>
      </w:pPr>
    </w:p>
    <w:p>
      <w:pPr>
        <w:ind w:left="1000" w:right="33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Class A Shares shall, subject to any Applicable Law and the rights, if any, of the holders of any outstanding Preference Shares, carry the right to receive such dividends and other distributions (payable in cash, property or shares of the Company) when, as and if declared thereon by the Directors from time to time out of any assets or funds of the Company legally available therefor, and shall share equally on a per share basis in such dividends and distributions.</w:t>
      </w:r>
    </w:p>
    <w:p>
      <w:pPr>
        <w:spacing w:after="0" w:line="179" w:lineRule="exact"/>
        <w:rPr>
          <w:sz w:val="20"/>
          <w:szCs w:val="20"/>
          <w:color w:val="auto"/>
        </w:rPr>
      </w:pPr>
    </w:p>
    <w:p>
      <w:pPr>
        <w:ind w:left="1000" w:hanging="708"/>
        <w:spacing w:after="0"/>
        <w:tabs>
          <w:tab w:leader="none" w:pos="100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B Shares</w:t>
      </w:r>
    </w:p>
    <w:p>
      <w:pPr>
        <w:spacing w:after="0" w:line="121" w:lineRule="exact"/>
        <w:rPr>
          <w:sz w:val="20"/>
          <w:szCs w:val="20"/>
          <w:color w:val="auto"/>
        </w:rPr>
      </w:pPr>
    </w:p>
    <w:p>
      <w:pPr>
        <w:ind w:left="1000" w:right="319" w:hanging="71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Class B Shares shall carry the right to receive notice of and to attend, to speak at and to vote at any general meeting of the Company.</w:t>
      </w:r>
    </w:p>
    <w:p>
      <w:pPr>
        <w:spacing w:after="0" w:line="54" w:lineRule="exact"/>
        <w:rPr>
          <w:sz w:val="20"/>
          <w:szCs w:val="20"/>
          <w:color w:val="auto"/>
        </w:rPr>
      </w:pPr>
    </w:p>
    <w:p>
      <w:pPr>
        <w:ind w:left="1000" w:right="37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 xml:space="preserve">In the event of a winding up or dissolution of the Company, whether voluntary or involuntary or for the purposes of a reorganisation or otherwise or upon any distribution of capital, holders of Class B Shares shall be entitled,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holders of Class A Shares, to an amount equal to the capital paid up on such Class B Shares. Class B Shares shall not carry any other right to participate in the profits or assets of the Company.</w:t>
      </w:r>
    </w:p>
    <w:p>
      <w:pPr>
        <w:spacing w:after="0" w:line="75" w:lineRule="exact"/>
        <w:rPr>
          <w:sz w:val="20"/>
          <w:szCs w:val="20"/>
          <w:color w:val="auto"/>
        </w:rPr>
      </w:pPr>
    </w:p>
    <w:p>
      <w:pPr>
        <w:jc w:val="both"/>
        <w:ind w:left="1000" w:right="33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Class B Shares shall not carry the right to receive dividends or other distributions, and dividends and other distributions shall not be declared or paid on the Class B Shares, except by way of issue of further Class B Shares as a result of capitalisation pursuant to Article 42.</w:t>
      </w:r>
    </w:p>
    <w:p>
      <w:pPr>
        <w:spacing w:after="0" w:line="68" w:lineRule="exact"/>
        <w:rPr>
          <w:sz w:val="20"/>
          <w:szCs w:val="20"/>
          <w:color w:val="auto"/>
        </w:rPr>
      </w:pPr>
    </w:p>
    <w:p>
      <w:pPr>
        <w:ind w:left="1000" w:right="37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Class B Shares shall automatically and without further action on the part of the Company or any holder of such Class B Share be forfeited and cancelled on the terms and subject to the set forth in the Exchange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000" w:hanging="708"/>
        <w:spacing w:after="0"/>
        <w:tabs>
          <w:tab w:leader="none" w:pos="100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of Members</w:t>
      </w:r>
    </w:p>
    <w:p>
      <w:pPr>
        <w:spacing w:after="0" w:line="121" w:lineRule="exact"/>
        <w:rPr>
          <w:sz w:val="20"/>
          <w:szCs w:val="20"/>
          <w:color w:val="auto"/>
        </w:rPr>
      </w:pPr>
    </w:p>
    <w:p>
      <w:pPr>
        <w:ind w:left="1000" w:right="539" w:hanging="71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Company shall maintain or cause to be maintained the Register of Members in accordance with the Statute.</w:t>
      </w:r>
    </w:p>
    <w:p>
      <w:pPr>
        <w:spacing w:after="0" w:line="54" w:lineRule="exact"/>
        <w:rPr>
          <w:sz w:val="20"/>
          <w:szCs w:val="20"/>
          <w:color w:val="auto"/>
        </w:rPr>
      </w:pPr>
    </w:p>
    <w:p>
      <w:pPr>
        <w:ind w:left="1000" w:right="29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176" w:lineRule="exact"/>
        <w:rPr>
          <w:sz w:val="20"/>
          <w:szCs w:val="20"/>
          <w:color w:val="auto"/>
        </w:rPr>
      </w:pPr>
    </w:p>
    <w:p>
      <w:pPr>
        <w:ind w:left="1000" w:hanging="708"/>
        <w:spacing w:after="0"/>
        <w:tabs>
          <w:tab w:leader="none" w:pos="100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Closing Register of Members or Fixing Record Date</w:t>
      </w:r>
    </w:p>
    <w:p>
      <w:pPr>
        <w:spacing w:after="0" w:line="121" w:lineRule="exact"/>
        <w:rPr>
          <w:sz w:val="20"/>
          <w:szCs w:val="20"/>
          <w:color w:val="auto"/>
        </w:rPr>
      </w:pPr>
    </w:p>
    <w:p>
      <w:pPr>
        <w:ind w:left="1000" w:right="33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provide that the Register of Members shall be closed for transfers for a stated period which shall not in any case exceed 40 days.</w:t>
      </w:r>
    </w:p>
    <w:p>
      <w:pPr>
        <w:spacing w:after="0" w:line="75" w:lineRule="exact"/>
        <w:rPr>
          <w:sz w:val="20"/>
          <w:szCs w:val="20"/>
          <w:color w:val="auto"/>
        </w:rPr>
      </w:pPr>
    </w:p>
    <w:p>
      <w:pPr>
        <w:ind w:left="1000" w:right="51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75" w:lineRule="exact"/>
        <w:rPr>
          <w:sz w:val="20"/>
          <w:szCs w:val="20"/>
          <w:color w:val="auto"/>
        </w:rPr>
      </w:pPr>
    </w:p>
    <w:p>
      <w:pPr>
        <w:ind w:left="1000" w:right="419" w:hanging="714"/>
        <w:spacing w:after="0" w:line="255" w:lineRule="auto"/>
        <w:tabs>
          <w:tab w:leader="none" w:pos="98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185" w:lineRule="exact"/>
        <w:rPr>
          <w:sz w:val="20"/>
          <w:szCs w:val="20"/>
          <w:color w:val="auto"/>
        </w:rPr>
      </w:pPr>
    </w:p>
    <w:p>
      <w:pPr>
        <w:ind w:left="1000" w:hanging="708"/>
        <w:spacing w:after="0"/>
        <w:tabs>
          <w:tab w:leader="none" w:pos="100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Certificates for Shares</w:t>
      </w:r>
    </w:p>
    <w:p>
      <w:pPr>
        <w:spacing w:after="0" w:line="121" w:lineRule="exact"/>
        <w:rPr>
          <w:sz w:val="20"/>
          <w:szCs w:val="20"/>
          <w:color w:val="auto"/>
        </w:rPr>
      </w:pPr>
    </w:p>
    <w:p>
      <w:pPr>
        <w:jc w:val="both"/>
        <w:ind w:left="1000" w:right="299" w:hanging="714"/>
        <w:spacing w:after="0" w:line="257" w:lineRule="auto"/>
        <w:tabs>
          <w:tab w:leader="none" w:pos="98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w:t>
      </w:r>
    </w:p>
    <w:p>
      <w:pPr>
        <w:spacing w:after="0" w:line="1" w:lineRule="exact"/>
        <w:rPr>
          <w:sz w:val="20"/>
          <w:szCs w:val="20"/>
          <w:color w:val="auto"/>
        </w:rPr>
      </w:pPr>
    </w:p>
    <w:p>
      <w:pPr>
        <w:ind w:left="1000" w:right="359"/>
        <w:spacing w:after="0" w:line="253" w:lineRule="auto"/>
        <w:rPr>
          <w:sz w:val="20"/>
          <w:szCs w:val="20"/>
          <w:color w:val="auto"/>
        </w:rPr>
      </w:pPr>
      <w:r>
        <w:rPr>
          <w:rFonts w:ascii="Times New Roman" w:cs="Times New Roman" w:eastAsia="Times New Roman" w:hAnsi="Times New Roman"/>
          <w:sz w:val="18"/>
          <w:szCs w:val="18"/>
          <w:color w:val="auto"/>
        </w:rPr>
        <w:t>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79" w:lineRule="exact"/>
        <w:rPr>
          <w:sz w:val="20"/>
          <w:szCs w:val="20"/>
          <w:color w:val="auto"/>
        </w:rPr>
      </w:pPr>
    </w:p>
    <w:p>
      <w:pPr>
        <w:ind w:left="1000" w:right="539" w:hanging="71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54" w:lineRule="exact"/>
        <w:rPr>
          <w:sz w:val="20"/>
          <w:szCs w:val="20"/>
          <w:color w:val="auto"/>
        </w:rPr>
      </w:pPr>
    </w:p>
    <w:p>
      <w:pPr>
        <w:ind w:left="1000" w:right="35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72" w:lineRule="exact"/>
        <w:rPr>
          <w:sz w:val="20"/>
          <w:szCs w:val="20"/>
          <w:color w:val="auto"/>
        </w:rPr>
      </w:pPr>
    </w:p>
    <w:p>
      <w:pPr>
        <w:ind w:left="1000" w:right="41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68"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Share certificates shall be issued within the relevant time limit as prescribed by the Statute, if applicable,</w:t>
      </w:r>
    </w:p>
    <w:p>
      <w:pPr>
        <w:spacing w:after="0" w:line="27" w:lineRule="exact"/>
        <w:rPr>
          <w:sz w:val="20"/>
          <w:szCs w:val="20"/>
          <w:color w:val="auto"/>
        </w:rPr>
      </w:pPr>
    </w:p>
    <w:p>
      <w:pPr>
        <w:ind w:left="1000" w:right="659"/>
        <w:spacing w:after="0" w:line="255" w:lineRule="auto"/>
        <w:rPr>
          <w:sz w:val="20"/>
          <w:szCs w:val="20"/>
          <w:color w:val="auto"/>
        </w:rPr>
      </w:pPr>
      <w:r>
        <w:rPr>
          <w:rFonts w:ascii="Times New Roman" w:cs="Times New Roman" w:eastAsia="Times New Roman" w:hAnsi="Times New Roman"/>
          <w:sz w:val="18"/>
          <w:szCs w:val="18"/>
          <w:color w:val="auto"/>
        </w:rPr>
        <w:t>or as the rules and regulations of the Designated Stock Exchange, the Securities and Exchange Commission and/or any other competent regulatory authority or otherwise under Applicable Law may from time to time determine, whichever is shorter, after the allotment or, except in the case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719"/>
        <w:spacing w:after="0" w:line="282" w:lineRule="auto"/>
        <w:rPr>
          <w:sz w:val="20"/>
          <w:szCs w:val="20"/>
          <w:color w:val="auto"/>
        </w:rPr>
      </w:pPr>
      <w:r>
        <w:rPr>
          <w:rFonts w:ascii="Times New Roman" w:cs="Times New Roman" w:eastAsia="Times New Roman" w:hAnsi="Times New Roman"/>
          <w:sz w:val="18"/>
          <w:szCs w:val="18"/>
          <w:color w:val="auto"/>
        </w:rPr>
        <w:t>of a Share transfer which the Company is for the time being entitled to refuse to register and does not register, after lodgement of a Share transfer with the Company.</w:t>
      </w:r>
    </w:p>
    <w:p>
      <w:pPr>
        <w:spacing w:after="0" w:line="158" w:lineRule="exact"/>
        <w:rPr>
          <w:sz w:val="20"/>
          <w:szCs w:val="20"/>
          <w:color w:val="auto"/>
        </w:rPr>
      </w:pPr>
    </w:p>
    <w:p>
      <w:pPr>
        <w:ind w:left="1000" w:hanging="708"/>
        <w:spacing w:after="0"/>
        <w:tabs>
          <w:tab w:leader="none" w:pos="100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121" w:lineRule="exact"/>
        <w:rPr>
          <w:sz w:val="20"/>
          <w:szCs w:val="20"/>
          <w:color w:val="auto"/>
        </w:rPr>
      </w:pPr>
    </w:p>
    <w:p>
      <w:pPr>
        <w:ind w:left="1000" w:right="299" w:hanging="714"/>
        <w:spacing w:after="0" w:line="255" w:lineRule="auto"/>
        <w:tabs>
          <w:tab w:leader="none" w:pos="98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Subject to the terms of the Articles, including Article 9.2, any Member may transfer all or any of his Shares by an instrument of transfer provided that such transfer complies with the rules and regulations of the Designated Stock Exchange, the Securities and Exchange Commission and/or any other competent regulatory authority or otherwise under Applicable Law. If the Shares in question were issued in conjunction with rights, options, warrants or units issued pursuant to the Articles on terms that one cannot be transferred without the other, the Directors shall refuse to register the transfer of any such Share without evidence satisfactory to them of the like transfer of such right, option, warrant or unit.</w:t>
      </w:r>
    </w:p>
    <w:p>
      <w:pPr>
        <w:spacing w:after="0" w:line="81" w:lineRule="exact"/>
        <w:rPr>
          <w:sz w:val="20"/>
          <w:szCs w:val="20"/>
          <w:color w:val="auto"/>
        </w:rPr>
      </w:pPr>
    </w:p>
    <w:p>
      <w:pPr>
        <w:ind w:left="1000" w:right="379" w:hanging="714"/>
        <w:spacing w:after="0" w:line="256" w:lineRule="auto"/>
        <w:tabs>
          <w:tab w:leader="none" w:pos="98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No holder of Class B Shares may transfer Class B Shares to any person unless such holder at the same time transfers a corresponding number of Common Units to the same person and otherwise in accordance with the provisions of the Partnership Agreement. If any outstanding Class B Share ceases to be held by a holder of the corresponding Common Unit such Class B Share shall automatically and without further action on the part of the Company or any holder of such Class B Share be forfeited to the Company for no consideration and cancelled.</w:t>
      </w:r>
    </w:p>
    <w:p>
      <w:pPr>
        <w:spacing w:after="0" w:line="79" w:lineRule="exact"/>
        <w:rPr>
          <w:sz w:val="20"/>
          <w:szCs w:val="20"/>
          <w:color w:val="auto"/>
        </w:rPr>
      </w:pPr>
    </w:p>
    <w:p>
      <w:pPr>
        <w:ind w:left="1000" w:right="319" w:hanging="714"/>
        <w:spacing w:after="0" w:line="254" w:lineRule="auto"/>
        <w:tabs>
          <w:tab w:leader="none" w:pos="98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The instrument of transfer of any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spacing w:after="0" w:line="188"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Redemption, Repurchase and Surrender of Shares</w:t>
      </w:r>
    </w:p>
    <w:p>
      <w:pPr>
        <w:spacing w:after="0" w:line="121" w:lineRule="exact"/>
        <w:rPr>
          <w:sz w:val="20"/>
          <w:szCs w:val="20"/>
          <w:color w:val="auto"/>
        </w:rPr>
      </w:pPr>
    </w:p>
    <w:p>
      <w:pPr>
        <w:ind w:left="1000" w:right="399" w:hanging="714"/>
        <w:spacing w:after="0" w:line="256" w:lineRule="auto"/>
        <w:tabs>
          <w:tab w:leader="none" w:pos="9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such Shares.</w:t>
      </w:r>
    </w:p>
    <w:p>
      <w:pPr>
        <w:spacing w:after="0" w:line="79" w:lineRule="exact"/>
        <w:rPr>
          <w:sz w:val="20"/>
          <w:szCs w:val="20"/>
          <w:color w:val="auto"/>
        </w:rPr>
      </w:pPr>
    </w:p>
    <w:p>
      <w:pPr>
        <w:ind w:left="1000" w:right="399" w:hanging="714"/>
        <w:spacing w:after="0" w:line="274" w:lineRule="auto"/>
        <w:tabs>
          <w:tab w:leader="none" w:pos="9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this Article 10 shall not require further approval of the Members.</w:t>
      </w:r>
    </w:p>
    <w:p>
      <w:pPr>
        <w:spacing w:after="0" w:line="65" w:lineRule="exact"/>
        <w:rPr>
          <w:sz w:val="20"/>
          <w:szCs w:val="20"/>
          <w:color w:val="auto"/>
        </w:rPr>
      </w:pPr>
    </w:p>
    <w:p>
      <w:pPr>
        <w:ind w:left="1000" w:right="679" w:hanging="71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The Company may make a payment in respect of the redemption or purchase of its own Shares in any manner permitted by the Statute, including out of capital.</w:t>
      </w:r>
    </w:p>
    <w:p>
      <w:pPr>
        <w:spacing w:after="0" w:line="54"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Directors may accept the surrender for no consideration of any fully paid Share.</w:t>
      </w:r>
    </w:p>
    <w:p>
      <w:pPr>
        <w:spacing w:after="0" w:line="221"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Treasury Shares</w:t>
      </w:r>
    </w:p>
    <w:p>
      <w:pPr>
        <w:spacing w:after="0" w:line="121" w:lineRule="exact"/>
        <w:rPr>
          <w:sz w:val="20"/>
          <w:szCs w:val="20"/>
          <w:color w:val="auto"/>
        </w:rPr>
      </w:pPr>
    </w:p>
    <w:p>
      <w:pPr>
        <w:ind w:left="1000" w:right="359" w:hanging="71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The Directors may, prior to the purchase, redemption or surrender of any Share, determine that such Share shall be held as a Treasury Share.</w:t>
      </w:r>
    </w:p>
    <w:p>
      <w:pPr>
        <w:spacing w:after="0" w:line="54" w:lineRule="exact"/>
        <w:rPr>
          <w:sz w:val="20"/>
          <w:szCs w:val="20"/>
          <w:color w:val="auto"/>
        </w:rPr>
      </w:pPr>
    </w:p>
    <w:p>
      <w:pPr>
        <w:ind w:left="1000" w:right="319" w:hanging="71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Variation of Rights of Shares</w:t>
      </w:r>
    </w:p>
    <w:p>
      <w:pPr>
        <w:spacing w:after="0" w:line="121" w:lineRule="exact"/>
        <w:rPr>
          <w:sz w:val="20"/>
          <w:szCs w:val="20"/>
          <w:color w:val="auto"/>
        </w:rPr>
      </w:pPr>
    </w:p>
    <w:p>
      <w:pPr>
        <w:ind w:left="1000" w:right="299" w:hanging="714"/>
        <w:spacing w:after="0" w:line="252" w:lineRule="auto"/>
        <w:tabs>
          <w:tab w:leader="none" w:pos="9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 xml:space="preserve">Subject to Article 3.1,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an adverse effect upon such rights (it being noted that a variation to the rights attached to the Class B Shares shall be deemed to be an adverse variation to rights attached to the Class A Shares); otherwise, any such variation shall be made only with the consent in writing of the holders of not less than three fourths of the issued Shares of that class, or with the approval of a resolution passed by a majority of not less than three fourths of the issued Shares of that class at a separate meeting of the holders of the Shares of that class. For the avoidance of doubt, the Directors reserve the right, notwithstanding that any such variation may not have an adverse effect, to obtain consent from the holders of Shares of the relevant class. To any such meeting all the provisions of the Articles relating to general meetings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except that the necessary quorum shall be one or more persons holding or representing by proxy at least one third of the issued Shares of the class and that any holder of Shares of the class present in person or by proxy may demand a poll.</w:t>
      </w:r>
    </w:p>
    <w:p>
      <w:pPr>
        <w:spacing w:after="0" w:line="88" w:lineRule="exact"/>
        <w:rPr>
          <w:sz w:val="20"/>
          <w:szCs w:val="20"/>
          <w:color w:val="auto"/>
        </w:rPr>
      </w:pPr>
    </w:p>
    <w:p>
      <w:pPr>
        <w:ind w:left="1000" w:right="37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72" w:lineRule="exact"/>
        <w:rPr>
          <w:sz w:val="20"/>
          <w:szCs w:val="20"/>
          <w:color w:val="auto"/>
        </w:rPr>
      </w:pPr>
    </w:p>
    <w:p>
      <w:pPr>
        <w:ind w:left="1000" w:right="39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 or Shares issued with preferred or other rights.</w:t>
      </w:r>
    </w:p>
    <w:p>
      <w:pPr>
        <w:spacing w:after="0" w:line="176" w:lineRule="exact"/>
        <w:rPr>
          <w:sz w:val="20"/>
          <w:szCs w:val="20"/>
          <w:color w:val="auto"/>
        </w:rPr>
      </w:pPr>
    </w:p>
    <w:p>
      <w:pPr>
        <w:ind w:left="1000" w:hanging="708"/>
        <w:spacing w:after="0"/>
        <w:tabs>
          <w:tab w:leader="none" w:pos="10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 on Sale of Shares</w:t>
      </w:r>
    </w:p>
    <w:p>
      <w:pPr>
        <w:spacing w:after="0" w:line="121" w:lineRule="exact"/>
        <w:rPr>
          <w:rFonts w:ascii="Times New Roman" w:cs="Times New Roman" w:eastAsia="Times New Roman" w:hAnsi="Times New Roman"/>
          <w:sz w:val="18"/>
          <w:szCs w:val="18"/>
          <w:b w:val="1"/>
          <w:bCs w:val="1"/>
          <w:color w:val="auto"/>
        </w:rPr>
      </w:pPr>
    </w:p>
    <w:p>
      <w:pPr>
        <w:ind w:left="1020" w:right="31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179" w:lineRule="exact"/>
        <w:rPr>
          <w:rFonts w:ascii="Times New Roman" w:cs="Times New Roman" w:eastAsia="Times New Roman" w:hAnsi="Times New Roman"/>
          <w:sz w:val="18"/>
          <w:szCs w:val="18"/>
          <w:b w:val="1"/>
          <w:bCs w:val="1"/>
          <w:color w:val="auto"/>
        </w:rPr>
      </w:pPr>
    </w:p>
    <w:p>
      <w:pPr>
        <w:ind w:left="1000" w:hanging="708"/>
        <w:spacing w:after="0"/>
        <w:tabs>
          <w:tab w:leader="none" w:pos="10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 Recognition of Trusts</w:t>
      </w:r>
    </w:p>
    <w:p>
      <w:pPr>
        <w:spacing w:after="0" w:line="121" w:lineRule="exact"/>
        <w:rPr>
          <w:rFonts w:ascii="Times New Roman" w:cs="Times New Roman" w:eastAsia="Times New Roman" w:hAnsi="Times New Roman"/>
          <w:sz w:val="18"/>
          <w:szCs w:val="18"/>
          <w:b w:val="1"/>
          <w:bCs w:val="1"/>
          <w:color w:val="auto"/>
        </w:rPr>
      </w:pPr>
    </w:p>
    <w:p>
      <w:pPr>
        <w:ind w:left="1020" w:right="5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175" w:lineRule="exact"/>
        <w:rPr>
          <w:rFonts w:ascii="Times New Roman" w:cs="Times New Roman" w:eastAsia="Times New Roman" w:hAnsi="Times New Roman"/>
          <w:sz w:val="18"/>
          <w:szCs w:val="18"/>
          <w:b w:val="1"/>
          <w:bCs w:val="1"/>
          <w:color w:val="auto"/>
        </w:rPr>
      </w:pPr>
    </w:p>
    <w:p>
      <w:pPr>
        <w:ind w:left="1000" w:hanging="708"/>
        <w:spacing w:after="0"/>
        <w:tabs>
          <w:tab w:leader="none" w:pos="10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on Shares</w:t>
      </w:r>
    </w:p>
    <w:p>
      <w:pPr>
        <w:spacing w:after="0" w:line="121" w:lineRule="exact"/>
        <w:rPr>
          <w:sz w:val="20"/>
          <w:szCs w:val="20"/>
          <w:color w:val="auto"/>
        </w:rPr>
      </w:pPr>
    </w:p>
    <w:p>
      <w:pPr>
        <w:ind w:left="1000" w:right="399" w:hanging="714"/>
        <w:spacing w:after="0" w:line="255" w:lineRule="auto"/>
        <w:tabs>
          <w:tab w:leader="none" w:pos="98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81" w:lineRule="exact"/>
        <w:rPr>
          <w:sz w:val="20"/>
          <w:szCs w:val="20"/>
          <w:color w:val="auto"/>
        </w:rPr>
      </w:pPr>
    </w:p>
    <w:p>
      <w:pPr>
        <w:ind w:left="1000" w:right="35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The Company may sell, in such manner as the Directors think fit, any Shares on which the Company has a lien, if a sum in respect of which the lien exists is presently payable, and is not paid within 14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7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7"/>
          <w:szCs w:val="17"/>
          <w:color w:val="auto"/>
        </w:rPr>
        <w:t>To give effect to any such sale the Directors may authorise any person to execute an instrument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99"/>
        <w:spacing w:after="0" w:line="281" w:lineRule="auto"/>
        <w:rPr>
          <w:sz w:val="20"/>
          <w:szCs w:val="20"/>
          <w:color w:val="auto"/>
        </w:rPr>
      </w:pPr>
      <w:r>
        <w:rPr>
          <w:rFonts w:ascii="Times New Roman" w:cs="Times New Roman" w:eastAsia="Times New Roman" w:hAnsi="Times New Roman"/>
          <w:sz w:val="17"/>
          <w:szCs w:val="17"/>
          <w:color w:val="auto"/>
        </w:rPr>
        <w:t>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56" w:lineRule="exact"/>
        <w:rPr>
          <w:sz w:val="20"/>
          <w:szCs w:val="20"/>
          <w:color w:val="auto"/>
        </w:rPr>
      </w:pPr>
    </w:p>
    <w:p>
      <w:pPr>
        <w:ind w:left="1000" w:right="51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176"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Call on Shares</w:t>
      </w:r>
    </w:p>
    <w:p>
      <w:pPr>
        <w:spacing w:after="0" w:line="121" w:lineRule="exact"/>
        <w:rPr>
          <w:sz w:val="20"/>
          <w:szCs w:val="20"/>
          <w:color w:val="auto"/>
        </w:rPr>
      </w:pPr>
    </w:p>
    <w:p>
      <w:pPr>
        <w:ind w:left="1000" w:right="379" w:hanging="714"/>
        <w:spacing w:after="0" w:line="255" w:lineRule="auto"/>
        <w:tabs>
          <w:tab w:leader="none" w:pos="98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Subject to the terms of the allotment and issue of any Shares, the Directors may make calls upon the Members in respect of any monies unpaid on their Shares (whether in respect of par value or premium), and each Member shall (subject to receiving at least 14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81" w:lineRule="exact"/>
        <w:rPr>
          <w:sz w:val="20"/>
          <w:szCs w:val="20"/>
          <w:color w:val="auto"/>
        </w:rPr>
      </w:pPr>
    </w:p>
    <w:p>
      <w:pPr>
        <w:ind w:left="1000" w:right="319" w:hanging="71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A call shall be deemed to have been made at the time when the resolution of the Directors authorising such call was passed.</w:t>
      </w:r>
    </w:p>
    <w:p>
      <w:pPr>
        <w:spacing w:after="0" w:line="54"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The joint holders of a Share shall be jointly and severally liable to pay all calls in respect thereof.</w:t>
      </w:r>
    </w:p>
    <w:p>
      <w:pPr>
        <w:spacing w:after="0" w:line="117" w:lineRule="exact"/>
        <w:rPr>
          <w:sz w:val="20"/>
          <w:szCs w:val="20"/>
          <w:color w:val="auto"/>
        </w:rPr>
      </w:pPr>
    </w:p>
    <w:p>
      <w:pPr>
        <w:ind w:left="1000" w:right="41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72" w:lineRule="exact"/>
        <w:rPr>
          <w:sz w:val="20"/>
          <w:szCs w:val="20"/>
          <w:color w:val="auto"/>
        </w:rPr>
      </w:pPr>
    </w:p>
    <w:p>
      <w:pPr>
        <w:jc w:val="both"/>
        <w:ind w:left="1000" w:right="379" w:hanging="714"/>
        <w:spacing w:after="0" w:line="289" w:lineRule="auto"/>
        <w:tabs>
          <w:tab w:leader="none" w:pos="98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7"/>
          <w:szCs w:val="17"/>
          <w:color w:val="auto"/>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50" w:lineRule="exact"/>
        <w:rPr>
          <w:sz w:val="20"/>
          <w:szCs w:val="20"/>
          <w:color w:val="auto"/>
        </w:rPr>
      </w:pPr>
    </w:p>
    <w:p>
      <w:pPr>
        <w:jc w:val="both"/>
        <w:ind w:left="1000" w:right="359" w:hanging="71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8"/>
          <w:szCs w:val="18"/>
          <w:color w:val="auto"/>
        </w:rPr>
        <w:t>The Directors may issue Shares with different terms as to the amount and times of payment of calls, or the interest to be paid.</w:t>
      </w:r>
    </w:p>
    <w:p>
      <w:pPr>
        <w:spacing w:after="0" w:line="54" w:lineRule="exact"/>
        <w:rPr>
          <w:sz w:val="20"/>
          <w:szCs w:val="20"/>
          <w:color w:val="auto"/>
        </w:rPr>
      </w:pPr>
    </w:p>
    <w:p>
      <w:pPr>
        <w:ind w:left="1000" w:right="31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16.7</w:t>
      </w:r>
      <w:r>
        <w:rPr>
          <w:sz w:val="20"/>
          <w:szCs w:val="20"/>
          <w:color w:val="auto"/>
        </w:rPr>
        <w:tab/>
      </w:r>
      <w:r>
        <w:rPr>
          <w:rFonts w:ascii="Times New Roman" w:cs="Times New Roman" w:eastAsia="Times New Roman" w:hAnsi="Times New Roman"/>
          <w:sz w:val="18"/>
          <w:szCs w:val="18"/>
          <w:color w:val="auto"/>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72" w:lineRule="exact"/>
        <w:rPr>
          <w:sz w:val="20"/>
          <w:szCs w:val="20"/>
          <w:color w:val="auto"/>
        </w:rPr>
      </w:pPr>
    </w:p>
    <w:p>
      <w:pPr>
        <w:jc w:val="both"/>
        <w:ind w:left="1000" w:right="41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16.8</w:t>
      </w:r>
      <w:r>
        <w:rPr>
          <w:sz w:val="20"/>
          <w:szCs w:val="20"/>
          <w:color w:val="auto"/>
        </w:rPr>
        <w:tab/>
      </w:r>
      <w:r>
        <w:rPr>
          <w:rFonts w:ascii="Times New Roman" w:cs="Times New Roman" w:eastAsia="Times New Roman" w:hAnsi="Times New Roman"/>
          <w:sz w:val="18"/>
          <w:szCs w:val="18"/>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172"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Forfeiture of Shares</w:t>
      </w:r>
    </w:p>
    <w:p>
      <w:pPr>
        <w:spacing w:after="0" w:line="121" w:lineRule="exact"/>
        <w:rPr>
          <w:sz w:val="20"/>
          <w:szCs w:val="20"/>
          <w:color w:val="auto"/>
        </w:rPr>
      </w:pPr>
    </w:p>
    <w:p>
      <w:pPr>
        <w:ind w:left="1000" w:right="379" w:hanging="714"/>
        <w:spacing w:after="0" w:line="256" w:lineRule="auto"/>
        <w:tabs>
          <w:tab w:leader="none" w:pos="98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If a call or instalment of a call remains unpaid after it has become due and payable the Directors may give to the person from whom it is due not less than 14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79" w:lineRule="exact"/>
        <w:rPr>
          <w:sz w:val="20"/>
          <w:szCs w:val="20"/>
          <w:color w:val="auto"/>
        </w:rPr>
      </w:pPr>
    </w:p>
    <w:p>
      <w:pPr>
        <w:ind w:left="1000" w:right="39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3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75" w:lineRule="exact"/>
        <w:rPr>
          <w:sz w:val="20"/>
          <w:szCs w:val="20"/>
          <w:color w:val="auto"/>
        </w:rPr>
      </w:pPr>
    </w:p>
    <w:p>
      <w:pPr>
        <w:ind w:left="1000" w:right="339" w:hanging="714"/>
        <w:spacing w:after="0" w:line="256" w:lineRule="auto"/>
        <w:tabs>
          <w:tab w:leader="none" w:pos="98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79" w:lineRule="exact"/>
        <w:rPr>
          <w:sz w:val="20"/>
          <w:szCs w:val="20"/>
          <w:color w:val="auto"/>
        </w:rPr>
      </w:pPr>
    </w:p>
    <w:p>
      <w:pPr>
        <w:ind w:left="1000" w:right="379" w:hanging="714"/>
        <w:spacing w:after="0" w:line="274" w:lineRule="auto"/>
        <w:tabs>
          <w:tab w:leader="none" w:pos="98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color w:val="auto"/>
        </w:rPr>
        <w:t>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65" w:lineRule="exact"/>
        <w:rPr>
          <w:sz w:val="20"/>
          <w:szCs w:val="20"/>
          <w:color w:val="auto"/>
        </w:rPr>
      </w:pPr>
    </w:p>
    <w:p>
      <w:pPr>
        <w:ind w:left="1000" w:right="33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The provisions of the Articles as to forfeiture shall apply in the case of non-payment of any sum which, by the terms of issue of a Share, becomes payable at a fixed time, whether on account of the par value of the Share or by way of premium as if it had been payable by virtue of a call duly made and notified.</w:t>
      </w:r>
    </w:p>
    <w:p>
      <w:pPr>
        <w:spacing w:after="0" w:line="172"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Transmission of Shares</w:t>
      </w:r>
    </w:p>
    <w:p>
      <w:pPr>
        <w:spacing w:after="0" w:line="121" w:lineRule="exact"/>
        <w:rPr>
          <w:sz w:val="20"/>
          <w:szCs w:val="20"/>
          <w:color w:val="auto"/>
        </w:rPr>
      </w:pPr>
    </w:p>
    <w:p>
      <w:pPr>
        <w:ind w:left="1000" w:right="47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72" w:lineRule="exact"/>
        <w:rPr>
          <w:sz w:val="20"/>
          <w:szCs w:val="20"/>
          <w:color w:val="auto"/>
        </w:rPr>
      </w:pPr>
    </w:p>
    <w:p>
      <w:pPr>
        <w:ind w:left="1000" w:right="299" w:hanging="714"/>
        <w:spacing w:after="0" w:line="254" w:lineRule="auto"/>
        <w:tabs>
          <w:tab w:leader="none" w:pos="98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84" w:lineRule="exact"/>
        <w:rPr>
          <w:sz w:val="20"/>
          <w:szCs w:val="20"/>
          <w:color w:val="auto"/>
        </w:rPr>
      </w:pPr>
    </w:p>
    <w:p>
      <w:pPr>
        <w:ind w:left="1000" w:right="319" w:hanging="714"/>
        <w:spacing w:after="0" w:line="253" w:lineRule="auto"/>
        <w:tabs>
          <w:tab w:leader="none" w:pos="98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90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b w:val="1"/>
          <w:bCs w:val="1"/>
          <w:color w:val="auto"/>
        </w:rPr>
        <w:t>Restricted Stock Rights</w:t>
      </w:r>
    </w:p>
    <w:p>
      <w:pPr>
        <w:spacing w:after="0" w:line="121" w:lineRule="exact"/>
        <w:rPr>
          <w:sz w:val="20"/>
          <w:szCs w:val="20"/>
          <w:color w:val="auto"/>
        </w:rPr>
      </w:pPr>
    </w:p>
    <w:p>
      <w:pPr>
        <w:ind w:left="1000" w:right="359" w:hanging="714"/>
        <w:spacing w:after="0" w:line="253" w:lineRule="auto"/>
        <w:tabs>
          <w:tab w:leader="none" w:pos="98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The Company has issued Restricted Stock Rights to certain Earnout Participants and PMEL Post-Combination Company Unitholders on the terms and subject to the conditions set forth in the Business Combination Agreement. At such time and from time to time if and as Restricted Stock Rights vest, the Company shall issue one Class B Share in satisfaction of its obligations in respect of each such Restricted Stock Right to the Earnout Participants or PMEL Post-Combination Company Unitholders, as applicable, on the terms and subject to the conditions set forth in the Business Combination Agreement and without the need for further action on the part of Company or any Earnout Participant or PMEL Post-Combination Company Unitholder, as applicable, and the Company shall forthwith on the issue of such Class B Shares enter the relevant Earnout Participant or PMEL Post-Combination Company Unitholder, as applicable, in the Register of Members as the holder of such Class B Shares.</w:t>
      </w:r>
    </w:p>
    <w:p>
      <w:pPr>
        <w:spacing w:after="0" w:line="86" w:lineRule="exact"/>
        <w:rPr>
          <w:sz w:val="20"/>
          <w:szCs w:val="20"/>
          <w:color w:val="auto"/>
        </w:rPr>
      </w:pPr>
    </w:p>
    <w:p>
      <w:pPr>
        <w:ind w:left="1000" w:right="47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8"/>
          <w:szCs w:val="18"/>
          <w:color w:val="auto"/>
        </w:rPr>
        <w:t>No Holder of Restricted Stock Rights shall have any right as a Member (including any right to attend meetings, vote, or receive any dividend, distribution or other payment of any kind in respect of its Restricted Stock Rights, or any Class B Shares issuable in respect thereof), in each case, unless and until such Class B Shares have been issued and recorded on the Register of Members.</w:t>
      </w:r>
    </w:p>
    <w:p>
      <w:pPr>
        <w:spacing w:after="0" w:line="176"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8"/>
          <w:szCs w:val="18"/>
          <w:b w:val="1"/>
          <w:bCs w:val="1"/>
          <w:color w:val="auto"/>
        </w:rPr>
        <w:t>Amendments of Memorandum and Articles of Association and Alteration of Capital</w:t>
      </w:r>
    </w:p>
    <w:p>
      <w:pPr>
        <w:spacing w:after="0" w:line="121"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color w:val="auto"/>
        </w:rPr>
        <w:t>The Company may by Ordinary Resolution:</w:t>
      </w:r>
    </w:p>
    <w:p>
      <w:pPr>
        <w:spacing w:after="0" w:line="117" w:lineRule="exact"/>
        <w:rPr>
          <w:sz w:val="20"/>
          <w:szCs w:val="20"/>
          <w:color w:val="auto"/>
        </w:rPr>
      </w:pPr>
    </w:p>
    <w:p>
      <w:pPr>
        <w:ind w:left="1360" w:right="339" w:hanging="348"/>
        <w:spacing w:after="0" w:line="282" w:lineRule="auto"/>
        <w:tabs>
          <w:tab w:leader="none" w:pos="13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such sum as the Ordinary Resolution shall prescribe and with such rights, priorities and privileges annexed thereto, as the Company in general meeting may determine;</w:t>
      </w:r>
    </w:p>
    <w:p>
      <w:pPr>
        <w:spacing w:after="0" w:line="53" w:lineRule="exact"/>
        <w:rPr>
          <w:rFonts w:ascii="Times New Roman" w:cs="Times New Roman" w:eastAsia="Times New Roman" w:hAnsi="Times New Roman"/>
          <w:sz w:val="18"/>
          <w:szCs w:val="18"/>
          <w:color w:val="auto"/>
        </w:rPr>
      </w:pPr>
    </w:p>
    <w:p>
      <w:pPr>
        <w:ind w:left="1360" w:right="679" w:hanging="348"/>
        <w:spacing w:after="0" w:line="282" w:lineRule="auto"/>
        <w:tabs>
          <w:tab w:leader="none" w:pos="13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53" w:lineRule="exact"/>
        <w:rPr>
          <w:rFonts w:ascii="Times New Roman" w:cs="Times New Roman" w:eastAsia="Times New Roman" w:hAnsi="Times New Roman"/>
          <w:sz w:val="18"/>
          <w:szCs w:val="18"/>
          <w:color w:val="auto"/>
        </w:rPr>
      </w:pPr>
    </w:p>
    <w:p>
      <w:pPr>
        <w:ind w:left="1360" w:right="359" w:hanging="348"/>
        <w:spacing w:after="0" w:line="282" w:lineRule="auto"/>
        <w:tabs>
          <w:tab w:leader="none" w:pos="13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paid-up Shares into stock, and reconvert that stock into paid-up Shares of any denomination;</w:t>
      </w:r>
    </w:p>
    <w:p>
      <w:pPr>
        <w:spacing w:after="0" w:line="53" w:lineRule="exact"/>
        <w:rPr>
          <w:rFonts w:ascii="Times New Roman" w:cs="Times New Roman" w:eastAsia="Times New Roman" w:hAnsi="Times New Roman"/>
          <w:sz w:val="18"/>
          <w:szCs w:val="18"/>
          <w:color w:val="auto"/>
        </w:rPr>
      </w:pPr>
    </w:p>
    <w:p>
      <w:pPr>
        <w:ind w:left="1360" w:right="519" w:hanging="348"/>
        <w:spacing w:after="0" w:line="266" w:lineRule="auto"/>
        <w:tabs>
          <w:tab w:leader="none" w:pos="13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67" w:lineRule="exact"/>
        <w:rPr>
          <w:rFonts w:ascii="Times New Roman" w:cs="Times New Roman" w:eastAsia="Times New Roman" w:hAnsi="Times New Roman"/>
          <w:sz w:val="18"/>
          <w:szCs w:val="18"/>
          <w:color w:val="auto"/>
        </w:rPr>
      </w:pPr>
    </w:p>
    <w:p>
      <w:pPr>
        <w:jc w:val="both"/>
        <w:ind w:left="1360" w:right="559" w:hanging="348"/>
        <w:spacing w:after="0" w:line="266" w:lineRule="auto"/>
        <w:tabs>
          <w:tab w:leader="none" w:pos="13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68" w:lineRule="exact"/>
        <w:rPr>
          <w:sz w:val="20"/>
          <w:szCs w:val="20"/>
          <w:color w:val="auto"/>
        </w:rPr>
      </w:pPr>
    </w:p>
    <w:p>
      <w:pPr>
        <w:jc w:val="both"/>
        <w:ind w:left="1000" w:right="59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All new Shares created in accordance with the provisions of this Article 20 shall be subject to the same provisions of the Articles with reference to the payment of calls, liens, transfer, transmission, forfeiture and otherwise as the Shares in the original share capital.</w:t>
      </w:r>
    </w:p>
    <w:p>
      <w:pPr>
        <w:spacing w:after="0" w:line="68" w:lineRule="exact"/>
        <w:rPr>
          <w:sz w:val="20"/>
          <w:szCs w:val="20"/>
          <w:color w:val="auto"/>
        </w:rPr>
      </w:pPr>
    </w:p>
    <w:p>
      <w:pPr>
        <w:ind w:left="1000" w:right="639" w:hanging="71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Subject to the provisions of the Statute, the provisions of the Articles as regards the matters to be dealt with by Ordinary Resolution, the Company may by Special Resolution:</w:t>
      </w:r>
    </w:p>
    <w:p>
      <w:pPr>
        <w:spacing w:after="0" w:line="54" w:lineRule="exact"/>
        <w:rPr>
          <w:sz w:val="20"/>
          <w:szCs w:val="20"/>
          <w:color w:val="auto"/>
        </w:rPr>
      </w:pPr>
    </w:p>
    <w:p>
      <w:pPr>
        <w:ind w:left="1360" w:hanging="348"/>
        <w:spacing w:after="0"/>
        <w:tabs>
          <w:tab w:leader="none" w:pos="13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Articles;</w:t>
      </w:r>
    </w:p>
    <w:p>
      <w:pPr>
        <w:spacing w:after="0" w:line="117" w:lineRule="exact"/>
        <w:rPr>
          <w:rFonts w:ascii="Times New Roman" w:cs="Times New Roman" w:eastAsia="Times New Roman" w:hAnsi="Times New Roman"/>
          <w:sz w:val="18"/>
          <w:szCs w:val="18"/>
          <w:color w:val="auto"/>
        </w:rPr>
      </w:pPr>
    </w:p>
    <w:p>
      <w:pPr>
        <w:ind w:left="1360" w:right="879" w:hanging="348"/>
        <w:spacing w:after="0" w:line="282" w:lineRule="auto"/>
        <w:tabs>
          <w:tab w:leader="none" w:pos="13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Memorandum with respect to any objects, powers or other matters specified therein; and</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 or any capital redemption reserve fund.</w:t>
      </w:r>
    </w:p>
    <w:p>
      <w:pPr>
        <w:spacing w:after="0" w:line="221" w:lineRule="exact"/>
        <w:rPr>
          <w:sz w:val="20"/>
          <w:szCs w:val="20"/>
          <w:color w:val="auto"/>
        </w:rPr>
      </w:pPr>
    </w:p>
    <w:p>
      <w:pPr>
        <w:ind w:left="1000" w:hanging="708"/>
        <w:spacing w:after="0"/>
        <w:tabs>
          <w:tab w:leader="none" w:pos="100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Offices and Places of Business</w:t>
      </w:r>
    </w:p>
    <w:p>
      <w:pPr>
        <w:spacing w:after="0" w:line="121" w:lineRule="exact"/>
        <w:rPr>
          <w:rFonts w:ascii="Times New Roman" w:cs="Times New Roman" w:eastAsia="Times New Roman" w:hAnsi="Times New Roman"/>
          <w:sz w:val="18"/>
          <w:szCs w:val="18"/>
          <w:b w:val="1"/>
          <w:bCs w:val="1"/>
          <w:color w:val="auto"/>
        </w:rPr>
      </w:pPr>
    </w:p>
    <w:p>
      <w:pPr>
        <w:ind w:left="1020" w:right="57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General Meetings</w:t>
      </w:r>
    </w:p>
    <w:p>
      <w:pPr>
        <w:spacing w:after="0" w:line="121"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All general meetings other than annual general meetings shall be called extraordinary general meetings.</w:t>
      </w:r>
    </w:p>
    <w:p>
      <w:pPr>
        <w:spacing w:after="0" w:line="117" w:lineRule="exact"/>
        <w:rPr>
          <w:sz w:val="20"/>
          <w:szCs w:val="20"/>
          <w:color w:val="auto"/>
        </w:rPr>
      </w:pPr>
    </w:p>
    <w:p>
      <w:pPr>
        <w:ind w:left="1000" w:right="35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p>
      <w:pPr>
        <w:spacing w:after="0" w:line="72" w:lineRule="exact"/>
        <w:rPr>
          <w:sz w:val="20"/>
          <w:szCs w:val="20"/>
          <w:color w:val="auto"/>
        </w:rPr>
      </w:pPr>
    </w:p>
    <w:p>
      <w:pPr>
        <w:jc w:val="both"/>
        <w:ind w:left="1000" w:right="49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The Directors, the chief executive officer or the chairman of the board of directors of the Company may call general meetings, and, for the avoidance of doubt, Members shall not have the ability to call general meetings.</w:t>
      </w:r>
    </w:p>
    <w:p>
      <w:pPr>
        <w:spacing w:after="0" w:line="68" w:lineRule="exact"/>
        <w:rPr>
          <w:sz w:val="20"/>
          <w:szCs w:val="20"/>
          <w:color w:val="auto"/>
        </w:rPr>
      </w:pPr>
    </w:p>
    <w:p>
      <w:pPr>
        <w:ind w:left="1000" w:right="319" w:hanging="714"/>
        <w:spacing w:after="0" w:line="254" w:lineRule="auto"/>
        <w:tabs>
          <w:tab w:leader="none" w:pos="98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shall be set by the board of directors of the Company with such deadline being a reasonable time before the Company begins to print and send its related proxy materials.</w:t>
      </w:r>
    </w:p>
    <w:p>
      <w:pPr>
        <w:spacing w:after="0" w:line="188"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Notice of General Meetings</w:t>
      </w:r>
    </w:p>
    <w:p>
      <w:pPr>
        <w:spacing w:after="0" w:line="121" w:lineRule="exact"/>
        <w:rPr>
          <w:sz w:val="20"/>
          <w:szCs w:val="20"/>
          <w:color w:val="auto"/>
        </w:rPr>
      </w:pPr>
    </w:p>
    <w:p>
      <w:pPr>
        <w:ind w:left="1000" w:right="379" w:hanging="714"/>
        <w:spacing w:after="0" w:line="256" w:lineRule="auto"/>
        <w:tabs>
          <w:tab w:leader="none" w:pos="9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79" w:lineRule="exact"/>
        <w:rPr>
          <w:sz w:val="20"/>
          <w:szCs w:val="20"/>
          <w:color w:val="auto"/>
        </w:rPr>
      </w:pPr>
    </w:p>
    <w:p>
      <w:pPr>
        <w:ind w:left="1360" w:right="579" w:hanging="348"/>
        <w:spacing w:after="0" w:line="282" w:lineRule="auto"/>
        <w:tabs>
          <w:tab w:leader="none" w:pos="1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of the Members entitled to attend and vote thereat; and</w:t>
      </w:r>
    </w:p>
    <w:p>
      <w:pPr>
        <w:spacing w:after="0" w:line="53" w:lineRule="exact"/>
        <w:rPr>
          <w:rFonts w:ascii="Times New Roman" w:cs="Times New Roman" w:eastAsia="Times New Roman" w:hAnsi="Times New Roman"/>
          <w:sz w:val="18"/>
          <w:szCs w:val="18"/>
          <w:color w:val="auto"/>
        </w:rPr>
      </w:pPr>
    </w:p>
    <w:p>
      <w:pPr>
        <w:ind w:left="1360" w:right="499" w:hanging="348"/>
        <w:spacing w:after="0" w:line="266" w:lineRule="auto"/>
        <w:tabs>
          <w:tab w:leader="none" w:pos="1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a majority in number of the Members having a right to attend and vote at the meeting, together holding not less than 95 per cent in par value of the Shares giving that right.</w:t>
      </w:r>
    </w:p>
    <w:p>
      <w:pPr>
        <w:spacing w:after="0" w:line="68" w:lineRule="exact"/>
        <w:rPr>
          <w:sz w:val="20"/>
          <w:szCs w:val="20"/>
          <w:color w:val="auto"/>
        </w:rPr>
      </w:pPr>
    </w:p>
    <w:p>
      <w:pPr>
        <w:ind w:left="1000" w:right="47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The accidental omission to give notice of a general meeting to, or the non-receipt of notice of a general meeting by, any person entitled to receive such notice shall not invalidate the proceedings of that general meeting.</w:t>
      </w:r>
    </w:p>
    <w:p>
      <w:pPr>
        <w:spacing w:after="0" w:line="172"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Proceedings at General Meetings</w:t>
      </w:r>
    </w:p>
    <w:p>
      <w:pPr>
        <w:spacing w:after="0" w:line="121" w:lineRule="exact"/>
        <w:rPr>
          <w:sz w:val="20"/>
          <w:szCs w:val="20"/>
          <w:color w:val="auto"/>
        </w:rPr>
      </w:pPr>
    </w:p>
    <w:p>
      <w:pPr>
        <w:ind w:left="1000" w:right="49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No business shall be transacted at any general meeting unless a quorum is present. The holders of a majority of the Shares entitled to vote at a general meeting, being individuals present in person or by proxy or if a corporation or other non-natural person by its duly authorised representative or proxy, shall be a quorum.</w:t>
      </w:r>
    </w:p>
    <w:p>
      <w:pPr>
        <w:spacing w:after="0" w:line="72" w:lineRule="exact"/>
        <w:rPr>
          <w:sz w:val="20"/>
          <w:szCs w:val="20"/>
          <w:color w:val="auto"/>
        </w:rPr>
      </w:pPr>
    </w:p>
    <w:p>
      <w:pPr>
        <w:ind w:left="1000" w:right="41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72" w:lineRule="exact"/>
        <w:rPr>
          <w:sz w:val="20"/>
          <w:szCs w:val="20"/>
          <w:color w:val="auto"/>
        </w:rPr>
      </w:pPr>
    </w:p>
    <w:p>
      <w:pPr>
        <w:ind w:left="1000" w:right="41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7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8"/>
          <w:szCs w:val="18"/>
          <w:color w:val="auto"/>
        </w:rPr>
        <w:t>If a quorum is not present within half an hour from the time appointed for the meeting to commence, the meeting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75" w:lineRule="exact"/>
        <w:rPr>
          <w:sz w:val="20"/>
          <w:szCs w:val="20"/>
          <w:color w:val="auto"/>
        </w:rPr>
      </w:pPr>
    </w:p>
    <w:p>
      <w:pPr>
        <w:ind w:left="1000" w:right="339" w:hanging="714"/>
        <w:spacing w:after="0" w:line="256" w:lineRule="auto"/>
        <w:tabs>
          <w:tab w:leader="none" w:pos="980" w:val="left"/>
        </w:tabs>
        <w:rPr>
          <w:sz w:val="20"/>
          <w:szCs w:val="20"/>
          <w:color w:val="auto"/>
        </w:rPr>
      </w:pPr>
      <w:r>
        <w:rPr>
          <w:rFonts w:ascii="Times New Roman" w:cs="Times New Roman" w:eastAsia="Times New Roman" w:hAnsi="Times New Roman"/>
          <w:sz w:val="18"/>
          <w:szCs w:val="18"/>
          <w:color w:val="auto"/>
        </w:rPr>
        <w:t>24.5</w:t>
      </w:r>
      <w:r>
        <w:rPr>
          <w:sz w:val="20"/>
          <w:szCs w:val="20"/>
          <w:color w:val="auto"/>
        </w:rPr>
        <w:tab/>
      </w:r>
      <w:r>
        <w:rPr>
          <w:rFonts w:ascii="Times New Roman" w:cs="Times New Roman" w:eastAsia="Times New Roman" w:hAnsi="Times New Roman"/>
          <w:sz w:val="18"/>
          <w:szCs w:val="18"/>
          <w:color w:val="auto"/>
        </w:rPr>
        <w:t>The Directors may, at any time prior to the time appointed for the meeting to commence, appoint any person to act as chairman of a general meeting of the Company or, if the Directors do not make any such appointment, the chairman, if any, of the board of directors of the Company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w:t>
      </w:r>
    </w:p>
    <w:p>
      <w:pPr>
        <w:spacing w:after="0" w:line="79" w:lineRule="exact"/>
        <w:rPr>
          <w:sz w:val="20"/>
          <w:szCs w:val="20"/>
          <w:color w:val="auto"/>
        </w:rPr>
      </w:pPr>
    </w:p>
    <w:p>
      <w:pPr>
        <w:ind w:left="1000" w:right="35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24.6</w:t>
      </w:r>
      <w:r>
        <w:rPr>
          <w:sz w:val="20"/>
          <w:szCs w:val="20"/>
          <w:color w:val="auto"/>
        </w:rPr>
        <w:tab/>
      </w:r>
      <w:r>
        <w:rPr>
          <w:rFonts w:ascii="Times New Roman" w:cs="Times New Roman" w:eastAsia="Times New Roman" w:hAnsi="Times New Roman"/>
          <w:sz w:val="18"/>
          <w:szCs w:val="18"/>
          <w:color w:val="auto"/>
        </w:rPr>
        <w:t>If no Director is willing to act as chairman or if no Director is present within fifteen minutes after the time appointed for the meeting to commence, the Members present shall choose one of their number to be chairman of the meeting.</w:t>
      </w:r>
    </w:p>
    <w:p>
      <w:pPr>
        <w:spacing w:after="0" w:line="68" w:lineRule="exact"/>
        <w:rPr>
          <w:sz w:val="20"/>
          <w:szCs w:val="20"/>
          <w:color w:val="auto"/>
        </w:rPr>
      </w:pPr>
    </w:p>
    <w:p>
      <w:pPr>
        <w:ind w:left="1000" w:right="37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24.7</w:t>
      </w:r>
      <w:r>
        <w:rPr>
          <w:sz w:val="20"/>
          <w:szCs w:val="20"/>
          <w:color w:val="auto"/>
        </w:rPr>
        <w:tab/>
      </w:r>
      <w:r>
        <w:rPr>
          <w:rFonts w:ascii="Times New Roman" w:cs="Times New Roman" w:eastAsia="Times New Roman" w:hAnsi="Times New Roman"/>
          <w:sz w:val="18"/>
          <w:szCs w:val="18"/>
          <w:color w:val="auto"/>
        </w:rPr>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72" w:lineRule="exact"/>
        <w:rPr>
          <w:sz w:val="20"/>
          <w:szCs w:val="20"/>
          <w:color w:val="auto"/>
        </w:rPr>
      </w:pPr>
    </w:p>
    <w:p>
      <w:pPr>
        <w:ind w:left="1000" w:right="43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24.8</w:t>
      </w:r>
      <w:r>
        <w:rPr>
          <w:sz w:val="20"/>
          <w:szCs w:val="20"/>
          <w:color w:val="auto"/>
        </w:rPr>
        <w:tab/>
      </w:r>
      <w:r>
        <w:rPr>
          <w:rFonts w:ascii="Times New Roman" w:cs="Times New Roman" w:eastAsia="Times New Roman" w:hAnsi="Times New Roman"/>
          <w:sz w:val="18"/>
          <w:szCs w:val="18"/>
          <w:color w:val="auto"/>
        </w:rPr>
        <w:t>When a general meeting is adjourned for 30 days or more, notice of the adjourned meeting shall be given as in the case of an original meeting. Otherwise it shall not be necessary to give any such notice of an adjourned meeting.</w:t>
      </w:r>
    </w:p>
    <w:p>
      <w:pPr>
        <w:spacing w:after="0" w:line="68" w:lineRule="exact"/>
        <w:rPr>
          <w:sz w:val="20"/>
          <w:szCs w:val="20"/>
          <w:color w:val="auto"/>
        </w:rPr>
      </w:pPr>
    </w:p>
    <w:p>
      <w:pPr>
        <w:ind w:left="1000" w:right="319" w:hanging="714"/>
        <w:spacing w:after="0" w:line="256" w:lineRule="auto"/>
        <w:tabs>
          <w:tab w:leader="none" w:pos="980" w:val="left"/>
        </w:tabs>
        <w:rPr>
          <w:sz w:val="20"/>
          <w:szCs w:val="20"/>
          <w:color w:val="auto"/>
        </w:rPr>
      </w:pPr>
      <w:r>
        <w:rPr>
          <w:rFonts w:ascii="Times New Roman" w:cs="Times New Roman" w:eastAsia="Times New Roman" w:hAnsi="Times New Roman"/>
          <w:sz w:val="18"/>
          <w:szCs w:val="18"/>
          <w:color w:val="auto"/>
        </w:rPr>
        <w:t>24.9</w:t>
      </w:r>
      <w:r>
        <w:rPr>
          <w:sz w:val="20"/>
          <w:szCs w:val="20"/>
          <w:color w:val="auto"/>
        </w:rPr>
        <w:tab/>
      </w:r>
      <w:r>
        <w:rPr>
          <w:rFonts w:ascii="Times New Roman" w:cs="Times New Roman" w:eastAsia="Times New Roman" w:hAnsi="Times New Roman"/>
          <w:sz w:val="18"/>
          <w:szCs w:val="18"/>
          <w:color w:val="auto"/>
        </w:rPr>
        <w:t>If a notice is issued in respect of a general meeting and the Directors, in their absolute discretion, consider that it is impractical or undesirable for any reason to hold that general meeting at the place, the day and the hour specified in the notice calling such general meeting, the Directors may postpone the general meeting to another place, day and/or hour provided that notice of the place, the day and the hour of the rearranged general meeting is promptly given to all Members. No business shall be transacted at any postponed meeting other than the business specified in the notice of the original meeting.</w:t>
      </w:r>
    </w:p>
    <w:p>
      <w:pPr>
        <w:spacing w:after="0" w:line="79" w:lineRule="exact"/>
        <w:rPr>
          <w:sz w:val="20"/>
          <w:szCs w:val="20"/>
          <w:color w:val="auto"/>
        </w:rPr>
      </w:pPr>
    </w:p>
    <w:p>
      <w:pPr>
        <w:ind w:left="1000" w:right="39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24.10</w:t>
      </w:r>
      <w:r>
        <w:rPr>
          <w:sz w:val="20"/>
          <w:szCs w:val="20"/>
          <w:color w:val="auto"/>
        </w:rPr>
        <w:tab/>
      </w:r>
      <w:r>
        <w:rPr>
          <w:rFonts w:ascii="Times New Roman" w:cs="Times New Roman" w:eastAsia="Times New Roman" w:hAnsi="Times New Roman"/>
          <w:sz w:val="18"/>
          <w:szCs w:val="18"/>
          <w:color w:val="auto"/>
        </w:rPr>
        <w:t>When a general meeting is postponed for 30 days or more, notice of the postponed meeting shall be given as in the case of an original meeting. Otherwise it shall not be necessary to give any such notice of a postponed meeting. All proxy forms submitted for the original general meeting shall remain valid for the postponed meeting. The Directors may postpone a general meeting which has already been postponed.</w:t>
      </w:r>
    </w:p>
    <w:p>
      <w:pPr>
        <w:spacing w:after="0" w:line="72"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color w:val="auto"/>
        </w:rPr>
        <w:t>24.11</w:t>
      </w:r>
      <w:r>
        <w:rPr>
          <w:sz w:val="20"/>
          <w:szCs w:val="20"/>
          <w:color w:val="auto"/>
        </w:rPr>
        <w:tab/>
      </w:r>
      <w:r>
        <w:rPr>
          <w:rFonts w:ascii="Times New Roman" w:cs="Times New Roman" w:eastAsia="Times New Roman" w:hAnsi="Times New Roman"/>
          <w:sz w:val="17"/>
          <w:szCs w:val="17"/>
          <w:color w:val="auto"/>
        </w:rPr>
        <w:t>A resolution put to the vote of the meeting shall be decided on a poll.</w:t>
      </w:r>
    </w:p>
    <w:p>
      <w:pPr>
        <w:spacing w:after="0" w:line="117" w:lineRule="exact"/>
        <w:rPr>
          <w:sz w:val="20"/>
          <w:szCs w:val="20"/>
          <w:color w:val="auto"/>
        </w:rPr>
      </w:pPr>
    </w:p>
    <w:p>
      <w:pPr>
        <w:ind w:left="1000" w:right="339" w:hanging="71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24.12</w:t>
      </w:r>
      <w:r>
        <w:rPr>
          <w:sz w:val="20"/>
          <w:szCs w:val="20"/>
          <w:color w:val="auto"/>
        </w:rPr>
        <w:tab/>
      </w:r>
      <w:r>
        <w:rPr>
          <w:rFonts w:ascii="Times New Roman" w:cs="Times New Roman" w:eastAsia="Times New Roman" w:hAnsi="Times New Roman"/>
          <w:sz w:val="18"/>
          <w:szCs w:val="18"/>
          <w:color w:val="auto"/>
        </w:rPr>
        <w:t>A poll shall be taken as the chairman directs, and the result of the poll shall be deemed to be the resolution of the general meeting at which the poll was demanded.</w:t>
      </w:r>
    </w:p>
    <w:p>
      <w:pPr>
        <w:spacing w:after="0" w:line="54" w:lineRule="exact"/>
        <w:rPr>
          <w:sz w:val="20"/>
          <w:szCs w:val="20"/>
          <w:color w:val="auto"/>
        </w:rPr>
      </w:pPr>
    </w:p>
    <w:p>
      <w:pPr>
        <w:ind w:left="1000" w:right="31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24.13</w:t>
      </w:r>
      <w:r>
        <w:rPr>
          <w:sz w:val="20"/>
          <w:szCs w:val="20"/>
          <w:color w:val="auto"/>
        </w:rPr>
        <w:tab/>
      </w:r>
      <w:r>
        <w:rPr>
          <w:rFonts w:ascii="Times New Roman" w:cs="Times New Roman" w:eastAsia="Times New Roman" w:hAnsi="Times New Roman"/>
          <w:sz w:val="18"/>
          <w:szCs w:val="18"/>
          <w:color w:val="auto"/>
        </w:rPr>
        <w:t>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72"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color w:val="auto"/>
        </w:rPr>
        <w:t>24.14</w:t>
      </w:r>
      <w:r>
        <w:rPr>
          <w:sz w:val="20"/>
          <w:szCs w:val="20"/>
          <w:color w:val="auto"/>
        </w:rPr>
        <w:tab/>
      </w:r>
      <w:r>
        <w:rPr>
          <w:rFonts w:ascii="Times New Roman" w:cs="Times New Roman" w:eastAsia="Times New Roman" w:hAnsi="Times New Roman"/>
          <w:sz w:val="18"/>
          <w:szCs w:val="18"/>
          <w:color w:val="auto"/>
        </w:rPr>
        <w:t>In the case of an equality of votes the chairman shall be entitled to a second or casting vote.</w:t>
      </w:r>
    </w:p>
    <w:p>
      <w:pPr>
        <w:spacing w:after="0" w:line="221"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Votes of Members</w:t>
      </w:r>
    </w:p>
    <w:p>
      <w:pPr>
        <w:spacing w:after="0" w:line="121" w:lineRule="exact"/>
        <w:rPr>
          <w:sz w:val="20"/>
          <w:szCs w:val="20"/>
          <w:color w:val="auto"/>
        </w:rPr>
      </w:pPr>
    </w:p>
    <w:p>
      <w:pPr>
        <w:ind w:left="1000" w:right="33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Subject to any rights or restrictions attached to any Shares, every Member present in any such manner shall have one vote for every Share of which he is the holder. The Class A Shares and Class B Shares shall vote together as a single class on all matters (subject to Article 12).</w:t>
      </w:r>
    </w:p>
    <w:p>
      <w:pPr>
        <w:spacing w:after="0" w:line="68" w:lineRule="exact"/>
        <w:rPr>
          <w:sz w:val="20"/>
          <w:szCs w:val="20"/>
          <w:color w:val="auto"/>
        </w:rPr>
      </w:pPr>
    </w:p>
    <w:p>
      <w:pPr>
        <w:ind w:left="1000" w:right="35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9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8"/>
          <w:szCs w:val="18"/>
          <w:color w:val="auto"/>
        </w:rPr>
        <w:t>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p>
      <w:pPr>
        <w:spacing w:after="0" w:line="72" w:lineRule="exact"/>
        <w:rPr>
          <w:sz w:val="20"/>
          <w:szCs w:val="20"/>
          <w:color w:val="auto"/>
        </w:rPr>
      </w:pPr>
    </w:p>
    <w:p>
      <w:pPr>
        <w:ind w:left="1000" w:right="43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25.4</w:t>
      </w:r>
      <w:r>
        <w:rPr>
          <w:sz w:val="20"/>
          <w:szCs w:val="20"/>
          <w:color w:val="auto"/>
        </w:rPr>
        <w:tab/>
      </w:r>
      <w:r>
        <w:rPr>
          <w:rFonts w:ascii="Times New Roman" w:cs="Times New Roman" w:eastAsia="Times New Roman" w:hAnsi="Times New Roman"/>
          <w:sz w:val="18"/>
          <w:szCs w:val="18"/>
          <w:color w:val="auto"/>
        </w:rPr>
        <w:t>No person shall be entitled to vote at any general meeting unless he is registered as a Member on the record date for such meeting nor unless all calls or other monies then payable by him in respect of Shares have been paid.</w:t>
      </w:r>
    </w:p>
    <w:p>
      <w:pPr>
        <w:spacing w:after="0" w:line="68" w:lineRule="exact"/>
        <w:rPr>
          <w:sz w:val="20"/>
          <w:szCs w:val="20"/>
          <w:color w:val="auto"/>
        </w:rPr>
      </w:pPr>
    </w:p>
    <w:p>
      <w:pPr>
        <w:ind w:left="1000" w:right="37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25.5</w:t>
      </w:r>
      <w:r>
        <w:rPr>
          <w:sz w:val="20"/>
          <w:szCs w:val="20"/>
          <w:color w:val="auto"/>
        </w:rPr>
        <w:tab/>
      </w:r>
      <w:r>
        <w:rPr>
          <w:rFonts w:ascii="Times New Roman" w:cs="Times New Roman" w:eastAsia="Times New Roman" w:hAnsi="Times New Roman"/>
          <w:sz w:val="18"/>
          <w:szCs w:val="18"/>
          <w:color w:val="auto"/>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72" w:lineRule="exact"/>
        <w:rPr>
          <w:sz w:val="20"/>
          <w:szCs w:val="20"/>
          <w:color w:val="auto"/>
        </w:rPr>
      </w:pPr>
    </w:p>
    <w:p>
      <w:pPr>
        <w:ind w:left="1000" w:right="31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25.6</w:t>
      </w:r>
      <w:r>
        <w:rPr>
          <w:sz w:val="20"/>
          <w:szCs w:val="20"/>
          <w:color w:val="auto"/>
        </w:rPr>
        <w:tab/>
      </w:r>
      <w:r>
        <w:rPr>
          <w:rFonts w:ascii="Times New Roman" w:cs="Times New Roman" w:eastAsia="Times New Roman" w:hAnsi="Times New Roman"/>
          <w:sz w:val="18"/>
          <w:szCs w:val="18"/>
          <w:color w:val="auto"/>
        </w:rPr>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p>
      <w:pPr>
        <w:spacing w:after="0" w:line="75" w:lineRule="exact"/>
        <w:rPr>
          <w:sz w:val="20"/>
          <w:szCs w:val="20"/>
          <w:color w:val="auto"/>
        </w:rPr>
      </w:pPr>
    </w:p>
    <w:p>
      <w:pPr>
        <w:ind w:left="1000" w:right="359" w:hanging="714"/>
        <w:spacing w:after="0" w:line="256" w:lineRule="auto"/>
        <w:tabs>
          <w:tab w:leader="none" w:pos="980" w:val="left"/>
        </w:tabs>
        <w:rPr>
          <w:sz w:val="20"/>
          <w:szCs w:val="20"/>
          <w:color w:val="auto"/>
        </w:rPr>
      </w:pPr>
      <w:r>
        <w:rPr>
          <w:rFonts w:ascii="Times New Roman" w:cs="Times New Roman" w:eastAsia="Times New Roman" w:hAnsi="Times New Roman"/>
          <w:sz w:val="18"/>
          <w:szCs w:val="18"/>
          <w:color w:val="auto"/>
        </w:rPr>
        <w:t>25.7</w:t>
      </w:r>
      <w:r>
        <w:rPr>
          <w:sz w:val="20"/>
          <w:szCs w:val="20"/>
          <w:color w:val="auto"/>
        </w:rPr>
        <w:tab/>
      </w:r>
      <w:r>
        <w:rPr>
          <w:rFonts w:ascii="Times New Roman" w:cs="Times New Roman" w:eastAsia="Times New Roman" w:hAnsi="Times New Roman"/>
          <w:sz w:val="18"/>
          <w:szCs w:val="18"/>
          <w:color w:val="auto"/>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183"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Proxies</w:t>
      </w:r>
    </w:p>
    <w:p>
      <w:pPr>
        <w:spacing w:after="0" w:line="121" w:lineRule="exact"/>
        <w:rPr>
          <w:sz w:val="20"/>
          <w:szCs w:val="20"/>
          <w:color w:val="auto"/>
        </w:rPr>
      </w:pPr>
    </w:p>
    <w:p>
      <w:pPr>
        <w:ind w:left="1000" w:right="559" w:hanging="714"/>
        <w:spacing w:after="0" w:line="289" w:lineRule="auto"/>
        <w:tabs>
          <w:tab w:leader="none" w:pos="980"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7"/>
          <w:szCs w:val="17"/>
          <w:color w:val="auto"/>
        </w:rPr>
        <w:t>The instrument appointing a proxy shall be in writing and shall be executed under the hand of the appointor or of his attorney duly authorised in writing, or, if the appointor is a corporation or other non-natural person, under the hand of its duly authorised representative. A proxy need not be a Member.</w:t>
      </w:r>
    </w:p>
    <w:p>
      <w:pPr>
        <w:spacing w:after="0" w:line="50" w:lineRule="exact"/>
        <w:rPr>
          <w:sz w:val="20"/>
          <w:szCs w:val="20"/>
          <w:color w:val="auto"/>
        </w:rPr>
      </w:pPr>
    </w:p>
    <w:p>
      <w:pPr>
        <w:ind w:left="1000" w:right="319" w:hanging="714"/>
        <w:spacing w:after="0" w:line="254" w:lineRule="auto"/>
        <w:tabs>
          <w:tab w:leader="none" w:pos="980"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8"/>
          <w:szCs w:val="18"/>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80" w:lineRule="exact"/>
        <w:rPr>
          <w:sz w:val="20"/>
          <w:szCs w:val="20"/>
          <w:color w:val="auto"/>
        </w:rPr>
      </w:pPr>
    </w:p>
    <w:p>
      <w:pPr>
        <w:ind w:left="1000" w:right="41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26.3</w:t>
      </w:r>
      <w:r>
        <w:rPr>
          <w:sz w:val="20"/>
          <w:szCs w:val="20"/>
          <w:color w:val="auto"/>
        </w:rPr>
        <w:tab/>
      </w:r>
      <w:r>
        <w:rPr>
          <w:rFonts w:ascii="Times New Roman" w:cs="Times New Roman" w:eastAsia="Times New Roman" w:hAnsi="Times New Roman"/>
          <w:sz w:val="18"/>
          <w:szCs w:val="18"/>
          <w:color w:val="auto"/>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68" w:lineRule="exact"/>
        <w:rPr>
          <w:sz w:val="20"/>
          <w:szCs w:val="20"/>
          <w:color w:val="auto"/>
        </w:rPr>
      </w:pPr>
    </w:p>
    <w:p>
      <w:pPr>
        <w:ind w:left="1000" w:right="33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26.4</w:t>
      </w:r>
      <w:r>
        <w:rPr>
          <w:sz w:val="20"/>
          <w:szCs w:val="20"/>
          <w:color w:val="auto"/>
        </w:rPr>
        <w:tab/>
      </w:r>
      <w:r>
        <w:rPr>
          <w:rFonts w:ascii="Times New Roman" w:cs="Times New Roman" w:eastAsia="Times New Roman" w:hAnsi="Times New Roman"/>
          <w:sz w:val="18"/>
          <w:szCs w:val="18"/>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72" w:lineRule="exact"/>
        <w:rPr>
          <w:sz w:val="20"/>
          <w:szCs w:val="20"/>
          <w:color w:val="auto"/>
        </w:rPr>
      </w:pPr>
    </w:p>
    <w:p>
      <w:pPr>
        <w:ind w:left="1000" w:right="359" w:hanging="714"/>
        <w:spacing w:after="0" w:line="256" w:lineRule="auto"/>
        <w:tabs>
          <w:tab w:leader="none" w:pos="980" w:val="left"/>
        </w:tabs>
        <w:rPr>
          <w:sz w:val="20"/>
          <w:szCs w:val="20"/>
          <w:color w:val="auto"/>
        </w:rPr>
      </w:pPr>
      <w:r>
        <w:rPr>
          <w:rFonts w:ascii="Times New Roman" w:cs="Times New Roman" w:eastAsia="Times New Roman" w:hAnsi="Times New Roman"/>
          <w:sz w:val="18"/>
          <w:szCs w:val="18"/>
          <w:color w:val="auto"/>
        </w:rPr>
        <w:t>26.5</w:t>
      </w:r>
      <w:r>
        <w:rPr>
          <w:sz w:val="20"/>
          <w:szCs w:val="20"/>
          <w:color w:val="auto"/>
        </w:rPr>
        <w:tab/>
      </w:r>
      <w:r>
        <w:rPr>
          <w:rFonts w:ascii="Times New Roman" w:cs="Times New Roman" w:eastAsia="Times New Roman" w:hAnsi="Times New Roman"/>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Corporate Members</w:t>
      </w:r>
    </w:p>
    <w:p>
      <w:pPr>
        <w:spacing w:after="0" w:line="121" w:lineRule="exact"/>
        <w:rPr>
          <w:sz w:val="20"/>
          <w:szCs w:val="20"/>
          <w:color w:val="auto"/>
        </w:rPr>
      </w:pPr>
    </w:p>
    <w:p>
      <w:pPr>
        <w:ind w:left="1000" w:right="399" w:hanging="714"/>
        <w:spacing w:after="0" w:line="277" w:lineRule="auto"/>
        <w:tabs>
          <w:tab w:leader="none" w:pos="98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7"/>
          <w:szCs w:val="17"/>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60" w:lineRule="exact"/>
        <w:rPr>
          <w:sz w:val="20"/>
          <w:szCs w:val="20"/>
          <w:color w:val="auto"/>
        </w:rPr>
      </w:pPr>
    </w:p>
    <w:p>
      <w:pPr>
        <w:ind w:left="1000" w:right="319" w:hanging="714"/>
        <w:spacing w:after="0" w:line="255" w:lineRule="auto"/>
        <w:tabs>
          <w:tab w:leader="none" w:pos="98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8"/>
          <w:szCs w:val="18"/>
          <w:color w:val="auto"/>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w:t>
      </w:r>
    </w:p>
    <w:p>
      <w:pPr>
        <w:spacing w:after="0" w:line="3" w:lineRule="exact"/>
        <w:rPr>
          <w:sz w:val="20"/>
          <w:szCs w:val="20"/>
          <w:color w:val="auto"/>
        </w:rPr>
      </w:pPr>
    </w:p>
    <w:p>
      <w:pPr>
        <w:ind w:left="1000" w:right="439"/>
        <w:spacing w:after="0" w:line="255" w:lineRule="auto"/>
        <w:rPr>
          <w:sz w:val="20"/>
          <w:szCs w:val="20"/>
          <w:color w:val="auto"/>
        </w:rPr>
      </w:pPr>
      <w:r>
        <w:rPr>
          <w:rFonts w:ascii="Times New Roman" w:cs="Times New Roman" w:eastAsia="Times New Roman" w:hAnsi="Times New Roman"/>
          <w:sz w:val="18"/>
          <w:szCs w:val="18"/>
          <w:color w:val="auto"/>
        </w:rPr>
        <w:t>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182" w:lineRule="exact"/>
        <w:rPr>
          <w:sz w:val="20"/>
          <w:szCs w:val="20"/>
          <w:color w:val="auto"/>
        </w:rPr>
      </w:pPr>
    </w:p>
    <w:p>
      <w:pPr>
        <w:ind w:left="1000" w:hanging="708"/>
        <w:spacing w:after="0"/>
        <w:tabs>
          <w:tab w:leader="none" w:pos="100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that May Not be Voted</w:t>
      </w:r>
    </w:p>
    <w:p>
      <w:pPr>
        <w:spacing w:after="0" w:line="121" w:lineRule="exact"/>
        <w:rPr>
          <w:rFonts w:ascii="Times New Roman" w:cs="Times New Roman" w:eastAsia="Times New Roman" w:hAnsi="Times New Roman"/>
          <w:sz w:val="18"/>
          <w:szCs w:val="18"/>
          <w:b w:val="1"/>
          <w:bCs w:val="1"/>
          <w:color w:val="auto"/>
        </w:rPr>
      </w:pPr>
    </w:p>
    <w:p>
      <w:pPr>
        <w:ind w:left="1020" w:right="4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171" w:lineRule="exact"/>
        <w:rPr>
          <w:rFonts w:ascii="Times New Roman" w:cs="Times New Roman" w:eastAsia="Times New Roman" w:hAnsi="Times New Roman"/>
          <w:sz w:val="18"/>
          <w:szCs w:val="18"/>
          <w:b w:val="1"/>
          <w:bCs w:val="1"/>
          <w:color w:val="auto"/>
        </w:rPr>
      </w:pPr>
    </w:p>
    <w:p>
      <w:pPr>
        <w:ind w:left="1000" w:hanging="708"/>
        <w:spacing w:after="0"/>
        <w:tabs>
          <w:tab w:leader="none" w:pos="100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121" w:lineRule="exact"/>
        <w:rPr>
          <w:sz w:val="20"/>
          <w:szCs w:val="20"/>
          <w:color w:val="auto"/>
        </w:rPr>
      </w:pPr>
    </w:p>
    <w:p>
      <w:pPr>
        <w:jc w:val="both"/>
        <w:ind w:left="1000" w:right="43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8"/>
          <w:szCs w:val="18"/>
          <w:color w:val="auto"/>
        </w:rPr>
        <w:t>There shall be a board of directors of the Company consisting of not less than one person. Subject to this Article 29.1 and the Business Combination Agreement, the Directors may increase or reduce the limits in the number of Directors.</w:t>
      </w:r>
    </w:p>
    <w:p>
      <w:pPr>
        <w:spacing w:after="0" w:line="172"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8"/>
          <w:szCs w:val="18"/>
          <w:b w:val="1"/>
          <w:bCs w:val="1"/>
          <w:color w:val="auto"/>
        </w:rPr>
        <w:t>Powers of Directors</w:t>
      </w:r>
    </w:p>
    <w:p>
      <w:pPr>
        <w:spacing w:after="0" w:line="121" w:lineRule="exact"/>
        <w:rPr>
          <w:sz w:val="20"/>
          <w:szCs w:val="20"/>
          <w:color w:val="auto"/>
        </w:rPr>
      </w:pPr>
    </w:p>
    <w:p>
      <w:pPr>
        <w:ind w:left="1000" w:right="419" w:hanging="714"/>
        <w:spacing w:after="0" w:line="256" w:lineRule="auto"/>
        <w:tabs>
          <w:tab w:leader="none" w:pos="980"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8"/>
          <w:szCs w:val="18"/>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79" w:lineRule="exact"/>
        <w:rPr>
          <w:sz w:val="20"/>
          <w:szCs w:val="20"/>
          <w:color w:val="auto"/>
        </w:rPr>
      </w:pPr>
    </w:p>
    <w:p>
      <w:pPr>
        <w:jc w:val="both"/>
        <w:ind w:left="1000" w:right="49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8"/>
          <w:szCs w:val="18"/>
          <w:color w:val="auto"/>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68" w:lineRule="exact"/>
        <w:rPr>
          <w:sz w:val="20"/>
          <w:szCs w:val="20"/>
          <w:color w:val="auto"/>
        </w:rPr>
      </w:pPr>
    </w:p>
    <w:p>
      <w:pPr>
        <w:ind w:left="1000" w:right="43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30.3</w:t>
      </w:r>
      <w:r>
        <w:rPr>
          <w:sz w:val="20"/>
          <w:szCs w:val="20"/>
          <w:color w:val="auto"/>
        </w:rPr>
        <w:tab/>
      </w:r>
      <w:r>
        <w:rPr>
          <w:rFonts w:ascii="Times New Roman" w:cs="Times New Roman" w:eastAsia="Times New Roman" w:hAnsi="Times New Roman"/>
          <w:sz w:val="18"/>
          <w:szCs w:val="18"/>
          <w:color w:val="auto"/>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72" w:lineRule="exact"/>
        <w:rPr>
          <w:sz w:val="20"/>
          <w:szCs w:val="20"/>
          <w:color w:val="auto"/>
        </w:rPr>
      </w:pPr>
    </w:p>
    <w:p>
      <w:pPr>
        <w:ind w:left="1000" w:right="33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30.4</w:t>
      </w:r>
      <w:r>
        <w:rPr>
          <w:sz w:val="20"/>
          <w:szCs w:val="20"/>
          <w:color w:val="auto"/>
        </w:rPr>
        <w:tab/>
      </w:r>
      <w:r>
        <w:rPr>
          <w:rFonts w:ascii="Times New Roman" w:cs="Times New Roman" w:eastAsia="Times New Roman" w:hAnsi="Times New Roman"/>
          <w:sz w:val="18"/>
          <w:szCs w:val="18"/>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176"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Appointment and Removal of Directors</w:t>
      </w:r>
    </w:p>
    <w:p>
      <w:pPr>
        <w:spacing w:after="0" w:line="121"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Subject to and as otherwise set out in the Articles, including Articles 29.1 and 31.2:</w:t>
      </w:r>
    </w:p>
    <w:p>
      <w:pPr>
        <w:spacing w:after="0" w:line="117" w:lineRule="exact"/>
        <w:rPr>
          <w:sz w:val="20"/>
          <w:szCs w:val="20"/>
          <w:color w:val="auto"/>
        </w:rPr>
      </w:pPr>
    </w:p>
    <w:p>
      <w:pPr>
        <w:ind w:left="1360" w:hanging="348"/>
        <w:spacing w:after="0"/>
        <w:tabs>
          <w:tab w:leader="none" w:pos="1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appoint any person to be a Director; and</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hold office until such time as they are removed from office by Special Resolution.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79" w:hanging="714"/>
        <w:spacing w:after="0" w:line="256" w:lineRule="auto"/>
        <w:tabs>
          <w:tab w:leader="none" w:pos="9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The board of directors of the Company shall consist of three classes, each holding three-year terms, with the term of the first class of Directors expiring at the first annual meeting of the Members following the Effective Date, the term of the second class of Directors expiring at the second annual meeting of Members following the Effective Date and the term of the third class of Directors expiring at the third annual meeting of Members following the Effective Date, and the class into which a Director is to be appointed shall be set out in the resolutions appointing such Director.</w:t>
      </w:r>
    </w:p>
    <w:p>
      <w:pPr>
        <w:spacing w:after="0" w:line="79" w:lineRule="exact"/>
        <w:rPr>
          <w:sz w:val="20"/>
          <w:szCs w:val="20"/>
          <w:color w:val="auto"/>
        </w:rPr>
      </w:pPr>
    </w:p>
    <w:p>
      <w:pPr>
        <w:jc w:val="both"/>
        <w:ind w:left="1000" w:right="33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172" w:lineRule="exact"/>
        <w:rPr>
          <w:sz w:val="20"/>
          <w:szCs w:val="20"/>
          <w:color w:val="auto"/>
        </w:rPr>
      </w:pPr>
    </w:p>
    <w:p>
      <w:pPr>
        <w:ind w:left="1000" w:hanging="708"/>
        <w:spacing w:after="0"/>
        <w:tabs>
          <w:tab w:leader="none" w:pos="100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of Office of Director</w:t>
      </w:r>
    </w:p>
    <w:p>
      <w:pPr>
        <w:spacing w:after="0" w:line="148"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office of a Director shall be vacated if:</w:t>
      </w:r>
    </w:p>
    <w:p>
      <w:pPr>
        <w:spacing w:after="0" w:line="117" w:lineRule="exact"/>
        <w:rPr>
          <w:rFonts w:ascii="Times New Roman" w:cs="Times New Roman" w:eastAsia="Times New Roman" w:hAnsi="Times New Roman"/>
          <w:sz w:val="18"/>
          <w:szCs w:val="18"/>
          <w:b w:val="1"/>
          <w:bCs w:val="1"/>
          <w:color w:val="auto"/>
        </w:rPr>
      </w:pPr>
    </w:p>
    <w:p>
      <w:pPr>
        <w:ind w:left="1360" w:hanging="348"/>
        <w:spacing w:after="0"/>
        <w:tabs>
          <w:tab w:leader="none" w:pos="13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notice in writing to the Company that he resigns the office of Director; or</w:t>
      </w:r>
    </w:p>
    <w:p>
      <w:pPr>
        <w:spacing w:after="0" w:line="117" w:lineRule="exact"/>
        <w:rPr>
          <w:rFonts w:ascii="Times New Roman" w:cs="Times New Roman" w:eastAsia="Times New Roman" w:hAnsi="Times New Roman"/>
          <w:sz w:val="18"/>
          <w:szCs w:val="18"/>
          <w:color w:val="auto"/>
        </w:rPr>
      </w:pPr>
    </w:p>
    <w:p>
      <w:pPr>
        <w:ind w:left="1360" w:right="339" w:hanging="348"/>
        <w:spacing w:after="0" w:line="261" w:lineRule="auto"/>
        <w:tabs>
          <w:tab w:leader="none" w:pos="13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absents himself (for the avoidance of doubt, without being represented by proxy) from three consecutive meetings of the board of directors of the Company without special leave of absence from the Directors, and the Directors pass a resolution that he has by reason of such absence vacated office; or</w:t>
      </w:r>
    </w:p>
    <w:p>
      <w:pPr>
        <w:spacing w:after="0" w:line="71" w:lineRule="exact"/>
        <w:rPr>
          <w:rFonts w:ascii="Times New Roman" w:cs="Times New Roman" w:eastAsia="Times New Roman" w:hAnsi="Times New Roman"/>
          <w:sz w:val="18"/>
          <w:szCs w:val="18"/>
          <w:color w:val="auto"/>
        </w:rPr>
      </w:pPr>
    </w:p>
    <w:p>
      <w:pPr>
        <w:ind w:left="1360" w:right="679" w:hanging="348"/>
        <w:spacing w:after="0" w:line="282" w:lineRule="auto"/>
        <w:tabs>
          <w:tab w:leader="none" w:pos="13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 becomes bankrupt or makes any arrangement or composition with his creditors generally; or</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found to be or becomes of unsound mind; or</w:t>
      </w:r>
    </w:p>
    <w:p>
      <w:pPr>
        <w:spacing w:after="0" w:line="117" w:lineRule="exact"/>
        <w:rPr>
          <w:rFonts w:ascii="Times New Roman" w:cs="Times New Roman" w:eastAsia="Times New Roman" w:hAnsi="Times New Roman"/>
          <w:sz w:val="18"/>
          <w:szCs w:val="18"/>
          <w:color w:val="auto"/>
        </w:rPr>
      </w:pPr>
    </w:p>
    <w:p>
      <w:pPr>
        <w:ind w:left="1360" w:right="379" w:hanging="348"/>
        <w:spacing w:after="0" w:line="261" w:lineRule="auto"/>
        <w:tabs>
          <w:tab w:leader="none" w:pos="13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175" w:lineRule="exact"/>
        <w:rPr>
          <w:rFonts w:ascii="Times New Roman" w:cs="Times New Roman" w:eastAsia="Times New Roman" w:hAnsi="Times New Roman"/>
          <w:sz w:val="18"/>
          <w:szCs w:val="18"/>
          <w:color w:val="auto"/>
        </w:rPr>
      </w:pPr>
    </w:p>
    <w:p>
      <w:pPr>
        <w:ind w:left="1000" w:hanging="708"/>
        <w:spacing w:after="0"/>
        <w:tabs>
          <w:tab w:leader="none" w:pos="100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of Directors</w:t>
      </w:r>
    </w:p>
    <w:p>
      <w:pPr>
        <w:spacing w:after="0" w:line="121" w:lineRule="exact"/>
        <w:rPr>
          <w:sz w:val="20"/>
          <w:szCs w:val="20"/>
          <w:color w:val="auto"/>
        </w:rPr>
      </w:pPr>
    </w:p>
    <w:p>
      <w:pPr>
        <w:ind w:left="1000" w:right="459" w:hanging="71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33.1</w:t>
      </w:r>
      <w:r>
        <w:rPr>
          <w:sz w:val="20"/>
          <w:szCs w:val="20"/>
          <w:color w:val="auto"/>
        </w:rPr>
        <w:tab/>
      </w:r>
      <w:r>
        <w:rPr>
          <w:rFonts w:ascii="Times New Roman" w:cs="Times New Roman" w:eastAsia="Times New Roman" w:hAnsi="Times New Roman"/>
          <w:sz w:val="18"/>
          <w:szCs w:val="18"/>
          <w:color w:val="auto"/>
        </w:rPr>
        <w:t>The quorum for the transaction of the business of the Directors may be fixed by the Directors, and unless so fixed shall be a majority of the Directors then in office.</w:t>
      </w:r>
    </w:p>
    <w:p>
      <w:pPr>
        <w:spacing w:after="0" w:line="54" w:lineRule="exact"/>
        <w:rPr>
          <w:sz w:val="20"/>
          <w:szCs w:val="20"/>
          <w:color w:val="auto"/>
        </w:rPr>
      </w:pPr>
    </w:p>
    <w:p>
      <w:pPr>
        <w:jc w:val="both"/>
        <w:ind w:left="1000" w:right="63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33.2</w:t>
      </w:r>
      <w:r>
        <w:rPr>
          <w:sz w:val="20"/>
          <w:szCs w:val="20"/>
          <w:color w:val="auto"/>
        </w:rPr>
        <w:tab/>
      </w:r>
      <w:r>
        <w:rPr>
          <w:rFonts w:ascii="Times New Roman" w:cs="Times New Roman" w:eastAsia="Times New Roman" w:hAnsi="Times New Roman"/>
          <w:sz w:val="18"/>
          <w:szCs w:val="18"/>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w:t>
      </w:r>
    </w:p>
    <w:p>
      <w:pPr>
        <w:spacing w:after="0" w:line="68" w:lineRule="exact"/>
        <w:rPr>
          <w:sz w:val="20"/>
          <w:szCs w:val="20"/>
          <w:color w:val="auto"/>
        </w:rPr>
      </w:pPr>
    </w:p>
    <w:p>
      <w:pPr>
        <w:ind w:left="1000" w:right="37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33.3</w:t>
      </w:r>
      <w:r>
        <w:rPr>
          <w:sz w:val="20"/>
          <w:szCs w:val="20"/>
          <w:color w:val="auto"/>
        </w:rPr>
        <w:tab/>
      </w:r>
      <w:r>
        <w:rPr>
          <w:rFonts w:ascii="Times New Roman" w:cs="Times New Roman" w:eastAsia="Times New Roman" w:hAnsi="Times New Roman"/>
          <w:sz w:val="18"/>
          <w:szCs w:val="18"/>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75" w:lineRule="exact"/>
        <w:rPr>
          <w:sz w:val="20"/>
          <w:szCs w:val="20"/>
          <w:color w:val="auto"/>
        </w:rPr>
      </w:pPr>
    </w:p>
    <w:p>
      <w:pPr>
        <w:ind w:left="1000" w:right="37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33.4</w:t>
      </w:r>
      <w:r>
        <w:rPr>
          <w:sz w:val="20"/>
          <w:szCs w:val="20"/>
          <w:color w:val="auto"/>
        </w:rPr>
        <w:tab/>
      </w:r>
      <w:r>
        <w:rPr>
          <w:rFonts w:ascii="Times New Roman" w:cs="Times New Roman" w:eastAsia="Times New Roman" w:hAnsi="Times New Roman"/>
          <w:sz w:val="18"/>
          <w:szCs w:val="18"/>
          <w:color w:val="auto"/>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75" w:lineRule="exact"/>
        <w:rPr>
          <w:sz w:val="20"/>
          <w:szCs w:val="20"/>
          <w:color w:val="auto"/>
        </w:rPr>
      </w:pPr>
    </w:p>
    <w:p>
      <w:pPr>
        <w:ind w:left="1000" w:right="39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33.5</w:t>
      </w:r>
      <w:r>
        <w:rPr>
          <w:sz w:val="20"/>
          <w:szCs w:val="20"/>
          <w:color w:val="auto"/>
        </w:rPr>
        <w:tab/>
      </w:r>
      <w:r>
        <w:rPr>
          <w:rFonts w:ascii="Times New Roman" w:cs="Times New Roman" w:eastAsia="Times New Roman" w:hAnsi="Times New Roman"/>
          <w:sz w:val="18"/>
          <w:szCs w:val="18"/>
          <w:color w:val="auto"/>
        </w:rPr>
        <w:t xml:space="preserve">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Times New Roman" w:cs="Times New Roman" w:eastAsia="Times New Roman" w:hAnsi="Times New Roman"/>
          <w:sz w:val="18"/>
          <w:szCs w:val="18"/>
          <w:i w:val="1"/>
          <w:iCs w:val="1"/>
          <w:color w:val="auto"/>
        </w:rPr>
        <w:t>mutatis mutandis.</w:t>
      </w:r>
    </w:p>
    <w:p>
      <w:pPr>
        <w:spacing w:after="0" w:line="75" w:lineRule="exact"/>
        <w:rPr>
          <w:sz w:val="20"/>
          <w:szCs w:val="20"/>
          <w:color w:val="auto"/>
        </w:rPr>
      </w:pPr>
    </w:p>
    <w:p>
      <w:pPr>
        <w:ind w:left="1000" w:right="419" w:hanging="71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33.6</w:t>
      </w:r>
      <w:r>
        <w:rPr>
          <w:sz w:val="20"/>
          <w:szCs w:val="20"/>
          <w:color w:val="auto"/>
        </w:rPr>
        <w:tab/>
      </w:r>
      <w:r>
        <w:rPr>
          <w:rFonts w:ascii="Times New Roman" w:cs="Times New Roman" w:eastAsia="Times New Roman" w:hAnsi="Times New Roman"/>
          <w:sz w:val="18"/>
          <w:szCs w:val="18"/>
          <w:color w:val="auto"/>
        </w:rPr>
        <w:t>The continuing Directors (or a sole continuing Director, as the case may be) may act notwithstanding any vacancy in their body, but if and so long as their number is reduced below the number fixed by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319"/>
        <w:spacing w:after="0" w:line="266" w:lineRule="auto"/>
        <w:rPr>
          <w:sz w:val="20"/>
          <w:szCs w:val="20"/>
          <w:color w:val="auto"/>
        </w:rPr>
      </w:pPr>
      <w:r>
        <w:rPr>
          <w:rFonts w:ascii="Times New Roman" w:cs="Times New Roman" w:eastAsia="Times New Roman" w:hAnsi="Times New Roman"/>
          <w:sz w:val="18"/>
          <w:szCs w:val="18"/>
          <w:color w:val="auto"/>
        </w:rPr>
        <w:t>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68" w:lineRule="exact"/>
        <w:rPr>
          <w:sz w:val="20"/>
          <w:szCs w:val="20"/>
          <w:color w:val="auto"/>
        </w:rPr>
      </w:pPr>
    </w:p>
    <w:p>
      <w:pPr>
        <w:ind w:left="1000" w:right="39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33.7</w:t>
      </w:r>
      <w:r>
        <w:rPr>
          <w:sz w:val="20"/>
          <w:szCs w:val="20"/>
          <w:color w:val="auto"/>
        </w:rPr>
        <w:tab/>
      </w:r>
      <w:r>
        <w:rPr>
          <w:rFonts w:ascii="Times New Roman" w:cs="Times New Roman" w:eastAsia="Times New Roman" w:hAnsi="Times New Roman"/>
          <w:sz w:val="18"/>
          <w:szCs w:val="18"/>
          <w:color w:val="auto"/>
        </w:rPr>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72" w:lineRule="exact"/>
        <w:rPr>
          <w:sz w:val="20"/>
          <w:szCs w:val="20"/>
          <w:color w:val="auto"/>
        </w:rPr>
      </w:pPr>
    </w:p>
    <w:p>
      <w:pPr>
        <w:ind w:left="1000" w:right="45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33.8</w:t>
      </w:r>
      <w:r>
        <w:rPr>
          <w:sz w:val="20"/>
          <w:szCs w:val="20"/>
          <w:color w:val="auto"/>
        </w:rPr>
        <w:tab/>
      </w:r>
      <w:r>
        <w:rPr>
          <w:rFonts w:ascii="Times New Roman" w:cs="Times New Roman" w:eastAsia="Times New Roman" w:hAnsi="Times New Roman"/>
          <w:sz w:val="18"/>
          <w:szCs w:val="18"/>
          <w:color w:val="auto"/>
        </w:rPr>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179" w:lineRule="exact"/>
        <w:rPr>
          <w:sz w:val="20"/>
          <w:szCs w:val="20"/>
          <w:color w:val="auto"/>
        </w:rPr>
      </w:pPr>
    </w:p>
    <w:p>
      <w:pPr>
        <w:ind w:left="1000" w:hanging="708"/>
        <w:spacing w:after="0"/>
        <w:tabs>
          <w:tab w:leader="none" w:pos="100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Presumption of Assent</w:t>
      </w:r>
    </w:p>
    <w:p>
      <w:pPr>
        <w:spacing w:after="0" w:line="121" w:lineRule="exact"/>
        <w:rPr>
          <w:rFonts w:ascii="Times New Roman" w:cs="Times New Roman" w:eastAsia="Times New Roman" w:hAnsi="Times New Roman"/>
          <w:sz w:val="18"/>
          <w:szCs w:val="18"/>
          <w:b w:val="1"/>
          <w:bCs w:val="1"/>
          <w:color w:val="auto"/>
        </w:rPr>
      </w:pPr>
    </w:p>
    <w:p>
      <w:pPr>
        <w:ind w:left="1020" w:right="37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who is present at a meeting of the board of directors of the Company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183" w:lineRule="exact"/>
        <w:rPr>
          <w:rFonts w:ascii="Times New Roman" w:cs="Times New Roman" w:eastAsia="Times New Roman" w:hAnsi="Times New Roman"/>
          <w:sz w:val="18"/>
          <w:szCs w:val="18"/>
          <w:b w:val="1"/>
          <w:bCs w:val="1"/>
          <w:color w:val="auto"/>
        </w:rPr>
      </w:pPr>
    </w:p>
    <w:p>
      <w:pPr>
        <w:ind w:left="1000" w:hanging="708"/>
        <w:spacing w:after="0"/>
        <w:tabs>
          <w:tab w:leader="none" w:pos="100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Interests</w:t>
      </w:r>
    </w:p>
    <w:p>
      <w:pPr>
        <w:spacing w:after="0" w:line="121" w:lineRule="exact"/>
        <w:rPr>
          <w:sz w:val="20"/>
          <w:szCs w:val="20"/>
          <w:color w:val="auto"/>
        </w:rPr>
      </w:pPr>
    </w:p>
    <w:p>
      <w:pPr>
        <w:ind w:left="1000" w:right="51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35.1</w:t>
      </w:r>
      <w:r>
        <w:rPr>
          <w:sz w:val="20"/>
          <w:szCs w:val="20"/>
          <w:color w:val="auto"/>
        </w:rPr>
        <w:tab/>
      </w: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68" w:lineRule="exact"/>
        <w:rPr>
          <w:sz w:val="20"/>
          <w:szCs w:val="20"/>
          <w:color w:val="auto"/>
        </w:rPr>
      </w:pPr>
    </w:p>
    <w:p>
      <w:pPr>
        <w:ind w:left="1000" w:right="45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35.2</w:t>
      </w:r>
      <w:r>
        <w:rPr>
          <w:sz w:val="20"/>
          <w:szCs w:val="20"/>
          <w:color w:val="auto"/>
        </w:rPr>
        <w:tab/>
      </w:r>
      <w:r>
        <w:rPr>
          <w:rFonts w:ascii="Times New Roman" w:cs="Times New Roman" w:eastAsia="Times New Roman" w:hAnsi="Times New Roman"/>
          <w:sz w:val="18"/>
          <w:szCs w:val="18"/>
          <w:color w:val="auto"/>
        </w:rPr>
        <w:t>A Director may act by himself or by, through or on behalf of his firm in a professional capacity for the Company and he or his firm shall be entitled to remuneration for professional services as if he were not a Director.</w:t>
      </w:r>
    </w:p>
    <w:p>
      <w:pPr>
        <w:spacing w:after="0" w:line="68" w:lineRule="exact"/>
        <w:rPr>
          <w:sz w:val="20"/>
          <w:szCs w:val="20"/>
          <w:color w:val="auto"/>
        </w:rPr>
      </w:pPr>
    </w:p>
    <w:p>
      <w:pPr>
        <w:ind w:left="1000" w:right="659" w:hanging="714"/>
        <w:spacing w:after="0" w:line="281" w:lineRule="auto"/>
        <w:tabs>
          <w:tab w:leader="none" w:pos="980" w:val="left"/>
        </w:tabs>
        <w:rPr>
          <w:sz w:val="20"/>
          <w:szCs w:val="20"/>
          <w:color w:val="auto"/>
        </w:rPr>
      </w:pPr>
      <w:r>
        <w:rPr>
          <w:rFonts w:ascii="Times New Roman" w:cs="Times New Roman" w:eastAsia="Times New Roman" w:hAnsi="Times New Roman"/>
          <w:sz w:val="18"/>
          <w:szCs w:val="18"/>
          <w:color w:val="auto"/>
        </w:rPr>
        <w:t>35.3</w:t>
      </w:r>
      <w:r>
        <w:rPr>
          <w:sz w:val="20"/>
          <w:szCs w:val="20"/>
          <w:color w:val="auto"/>
        </w:rPr>
        <w:tab/>
      </w:r>
      <w:r>
        <w:rPr>
          <w:rFonts w:ascii="Times New Roman" w:cs="Times New Roman" w:eastAsia="Times New Roman" w:hAnsi="Times New Roman"/>
          <w:sz w:val="17"/>
          <w:szCs w:val="17"/>
          <w:color w:val="auto"/>
        </w:rPr>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p>
      <w:pPr>
        <w:spacing w:after="0" w:line="56" w:lineRule="exact"/>
        <w:rPr>
          <w:sz w:val="20"/>
          <w:szCs w:val="20"/>
          <w:color w:val="auto"/>
        </w:rPr>
      </w:pPr>
    </w:p>
    <w:p>
      <w:pPr>
        <w:ind w:left="1000" w:right="379" w:hanging="714"/>
        <w:spacing w:after="0" w:line="254" w:lineRule="auto"/>
        <w:tabs>
          <w:tab w:leader="none" w:pos="980" w:val="left"/>
        </w:tabs>
        <w:rPr>
          <w:sz w:val="20"/>
          <w:szCs w:val="20"/>
          <w:color w:val="auto"/>
        </w:rPr>
      </w:pPr>
      <w:r>
        <w:rPr>
          <w:rFonts w:ascii="Times New Roman" w:cs="Times New Roman" w:eastAsia="Times New Roman" w:hAnsi="Times New Roman"/>
          <w:sz w:val="18"/>
          <w:szCs w:val="18"/>
          <w:color w:val="auto"/>
        </w:rPr>
        <w:t>35.4</w:t>
      </w:r>
      <w:r>
        <w:rPr>
          <w:sz w:val="20"/>
          <w:szCs w:val="20"/>
          <w:color w:val="auto"/>
        </w:rPr>
        <w:tab/>
      </w:r>
      <w:r>
        <w:rPr>
          <w:rFonts w:ascii="Times New Roman" w:cs="Times New Roman" w:eastAsia="Times New Roman" w:hAnsi="Times New Roman"/>
          <w:sz w:val="18"/>
          <w:szCs w:val="18"/>
          <w:color w:val="auto"/>
        </w:rPr>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p>
      <w:pPr>
        <w:spacing w:after="0" w:line="80" w:lineRule="exact"/>
        <w:rPr>
          <w:sz w:val="20"/>
          <w:szCs w:val="20"/>
          <w:color w:val="auto"/>
        </w:rPr>
      </w:pPr>
    </w:p>
    <w:p>
      <w:pPr>
        <w:ind w:left="1000" w:right="63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35.5</w:t>
      </w:r>
      <w:r>
        <w:rPr>
          <w:sz w:val="20"/>
          <w:szCs w:val="20"/>
          <w:color w:val="auto"/>
        </w:rPr>
        <w:tab/>
      </w:r>
      <w:r>
        <w:rPr>
          <w:rFonts w:ascii="Times New Roman" w:cs="Times New Roman" w:eastAsia="Times New Roman" w:hAnsi="Times New Roman"/>
          <w:sz w:val="18"/>
          <w:szCs w:val="18"/>
          <w:color w:val="auto"/>
        </w:rPr>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179" w:lineRule="exact"/>
        <w:rPr>
          <w:sz w:val="20"/>
          <w:szCs w:val="20"/>
          <w:color w:val="auto"/>
        </w:rPr>
      </w:pPr>
    </w:p>
    <w:p>
      <w:pPr>
        <w:ind w:left="1000" w:hanging="708"/>
        <w:spacing w:after="0"/>
        <w:tabs>
          <w:tab w:leader="none" w:pos="100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Minutes</w:t>
      </w:r>
    </w:p>
    <w:p>
      <w:pPr>
        <w:spacing w:after="0" w:line="121" w:lineRule="exact"/>
        <w:rPr>
          <w:rFonts w:ascii="Times New Roman" w:cs="Times New Roman" w:eastAsia="Times New Roman" w:hAnsi="Times New Roman"/>
          <w:sz w:val="18"/>
          <w:szCs w:val="18"/>
          <w:b w:val="1"/>
          <w:bCs w:val="1"/>
          <w:color w:val="auto"/>
        </w:rPr>
      </w:pPr>
    </w:p>
    <w:p>
      <w:pPr>
        <w:ind w:left="1020" w:right="39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8"/>
          <w:szCs w:val="18"/>
          <w:b w:val="1"/>
          <w:bCs w:val="1"/>
          <w:color w:val="auto"/>
        </w:rPr>
        <w:t>Delegation of Directors’ Powers</w:t>
      </w:r>
    </w:p>
    <w:p>
      <w:pPr>
        <w:spacing w:after="0" w:line="121" w:lineRule="exact"/>
        <w:rPr>
          <w:sz w:val="20"/>
          <w:szCs w:val="20"/>
          <w:color w:val="auto"/>
        </w:rPr>
      </w:pPr>
    </w:p>
    <w:p>
      <w:pPr>
        <w:ind w:left="1000" w:right="339" w:hanging="714"/>
        <w:spacing w:after="0" w:line="255" w:lineRule="auto"/>
        <w:tabs>
          <w:tab w:leader="none" w:pos="980" w:val="left"/>
        </w:tabs>
        <w:rPr>
          <w:sz w:val="20"/>
          <w:szCs w:val="20"/>
          <w:color w:val="auto"/>
        </w:rPr>
      </w:pPr>
      <w:r>
        <w:rPr>
          <w:rFonts w:ascii="Times New Roman" w:cs="Times New Roman" w:eastAsia="Times New Roman" w:hAnsi="Times New Roman"/>
          <w:sz w:val="18"/>
          <w:szCs w:val="18"/>
          <w:color w:val="auto"/>
        </w:rPr>
        <w:t>37.1</w:t>
      </w:r>
      <w:r>
        <w:rPr>
          <w:sz w:val="20"/>
          <w:szCs w:val="20"/>
          <w:color w:val="auto"/>
        </w:rPr>
        <w:tab/>
      </w:r>
      <w:r>
        <w:rPr>
          <w:rFonts w:ascii="Times New Roman" w:cs="Times New Roman" w:eastAsia="Times New Roman" w:hAnsi="Times New Roman"/>
          <w:sz w:val="18"/>
          <w:szCs w:val="18"/>
          <w:color w:val="auto"/>
        </w:rPr>
        <w:t>The Directors may delegate any of their powers, authorities and discretions, including the power to sub-delegate, to any committee consisting of one or more Directors (including, without limitation, the Audit Committee, the Compensation Committee and the Nominating and Corporate Governance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81" w:lineRule="exact"/>
        <w:rPr>
          <w:sz w:val="20"/>
          <w:szCs w:val="20"/>
          <w:color w:val="auto"/>
        </w:rPr>
      </w:pPr>
    </w:p>
    <w:p>
      <w:pPr>
        <w:ind w:left="1000" w:right="359" w:hanging="714"/>
        <w:spacing w:after="0" w:line="255" w:lineRule="auto"/>
        <w:tabs>
          <w:tab w:leader="none" w:pos="980" w:val="left"/>
        </w:tabs>
        <w:rPr>
          <w:sz w:val="20"/>
          <w:szCs w:val="20"/>
          <w:color w:val="auto"/>
        </w:rPr>
      </w:pPr>
      <w:r>
        <w:rPr>
          <w:rFonts w:ascii="Times New Roman" w:cs="Times New Roman" w:eastAsia="Times New Roman" w:hAnsi="Times New Roman"/>
          <w:sz w:val="18"/>
          <w:szCs w:val="18"/>
          <w:color w:val="auto"/>
        </w:rPr>
        <w:t>37.2</w:t>
      </w:r>
      <w:r>
        <w:rPr>
          <w:sz w:val="20"/>
          <w:szCs w:val="20"/>
          <w:color w:val="auto"/>
        </w:rPr>
        <w:tab/>
      </w:r>
      <w:r>
        <w:rPr>
          <w:rFonts w:ascii="Times New Roman" w:cs="Times New Roman" w:eastAsia="Times New Roman" w:hAnsi="Times New Roman"/>
          <w:sz w:val="18"/>
          <w:szCs w:val="18"/>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81" w:lineRule="exact"/>
        <w:rPr>
          <w:sz w:val="20"/>
          <w:szCs w:val="20"/>
          <w:color w:val="auto"/>
        </w:rPr>
      </w:pPr>
    </w:p>
    <w:p>
      <w:pPr>
        <w:ind w:left="1000" w:right="379" w:hanging="714"/>
        <w:spacing w:after="0" w:line="252" w:lineRule="auto"/>
        <w:tabs>
          <w:tab w:leader="none" w:pos="980" w:val="left"/>
        </w:tabs>
        <w:rPr>
          <w:sz w:val="20"/>
          <w:szCs w:val="20"/>
          <w:color w:val="auto"/>
        </w:rPr>
      </w:pPr>
      <w:r>
        <w:rPr>
          <w:rFonts w:ascii="Times New Roman" w:cs="Times New Roman" w:eastAsia="Times New Roman" w:hAnsi="Times New Roman"/>
          <w:sz w:val="18"/>
          <w:szCs w:val="18"/>
          <w:color w:val="auto"/>
        </w:rPr>
        <w:t>37.3</w:t>
      </w:r>
      <w:r>
        <w:rPr>
          <w:sz w:val="20"/>
          <w:szCs w:val="20"/>
          <w:color w:val="auto"/>
        </w:rPr>
        <w:tab/>
      </w:r>
      <w:r>
        <w:rPr>
          <w:rFonts w:ascii="Times New Roman" w:cs="Times New Roman" w:eastAsia="Times New Roman" w:hAnsi="Times New Roman"/>
          <w:sz w:val="18"/>
          <w:szCs w:val="18"/>
          <w:color w:val="auto"/>
        </w:rPr>
        <w:t>The Directors may adopt formal written charters for committees. Each of these committees shall be empowered to do all things necessary to exercise the rights of such committee set forth in the Articles and its charter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and Corporate Governance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 For so long as any class of Shares is listed on the Designated Stock Exchange, the Audit Committee, the Compensation Committee and the Nominating and Corporate Governance Committee shall be made up of such number of Independent Directors as is required from time to time by the rules and regulations of the Designated Stock Exchange, the Securities and Exchange Commission and/or any other competent regulatory authority or otherwise under Applicable Law.</w:t>
      </w:r>
    </w:p>
    <w:p>
      <w:pPr>
        <w:spacing w:after="0" w:line="88" w:lineRule="exact"/>
        <w:rPr>
          <w:sz w:val="20"/>
          <w:szCs w:val="20"/>
          <w:color w:val="auto"/>
        </w:rPr>
      </w:pPr>
    </w:p>
    <w:p>
      <w:pPr>
        <w:jc w:val="both"/>
        <w:ind w:left="1000" w:right="43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37.4</w:t>
      </w:r>
      <w:r>
        <w:rPr>
          <w:sz w:val="20"/>
          <w:szCs w:val="20"/>
          <w:color w:val="auto"/>
        </w:rPr>
        <w:tab/>
      </w:r>
      <w:r>
        <w:rPr>
          <w:rFonts w:ascii="Times New Roman" w:cs="Times New Roman" w:eastAsia="Times New Roman" w:hAnsi="Times New Roman"/>
          <w:sz w:val="18"/>
          <w:szCs w:val="18"/>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68" w:lineRule="exact"/>
        <w:rPr>
          <w:sz w:val="20"/>
          <w:szCs w:val="20"/>
          <w:color w:val="auto"/>
        </w:rPr>
      </w:pPr>
    </w:p>
    <w:p>
      <w:pPr>
        <w:ind w:left="1000" w:right="379" w:hanging="714"/>
        <w:spacing w:after="0" w:line="254" w:lineRule="auto"/>
        <w:tabs>
          <w:tab w:leader="none" w:pos="980" w:val="left"/>
        </w:tabs>
        <w:rPr>
          <w:sz w:val="20"/>
          <w:szCs w:val="20"/>
          <w:color w:val="auto"/>
        </w:rPr>
      </w:pPr>
      <w:r>
        <w:rPr>
          <w:rFonts w:ascii="Times New Roman" w:cs="Times New Roman" w:eastAsia="Times New Roman" w:hAnsi="Times New Roman"/>
          <w:sz w:val="18"/>
          <w:szCs w:val="18"/>
          <w:color w:val="auto"/>
        </w:rPr>
        <w:t>37.5</w:t>
      </w:r>
      <w:r>
        <w:rPr>
          <w:sz w:val="20"/>
          <w:szCs w:val="20"/>
          <w:color w:val="auto"/>
        </w:rPr>
        <w:tab/>
      </w:r>
      <w:r>
        <w:rPr>
          <w:rFonts w:ascii="Times New Roman" w:cs="Times New Roman" w:eastAsia="Times New Roman" w:hAnsi="Times New Roman"/>
          <w:sz w:val="18"/>
          <w:szCs w:val="18"/>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84" w:lineRule="exact"/>
        <w:rPr>
          <w:sz w:val="20"/>
          <w:szCs w:val="20"/>
          <w:color w:val="auto"/>
        </w:rPr>
      </w:pPr>
    </w:p>
    <w:p>
      <w:pPr>
        <w:ind w:left="1000" w:right="47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37.6</w:t>
      </w:r>
      <w:r>
        <w:rPr>
          <w:sz w:val="20"/>
          <w:szCs w:val="20"/>
          <w:color w:val="auto"/>
        </w:rPr>
        <w:tab/>
      </w:r>
      <w:r>
        <w:rPr>
          <w:rFonts w:ascii="Times New Roman" w:cs="Times New Roman" w:eastAsia="Times New Roman" w:hAnsi="Times New Roman"/>
          <w:sz w:val="18"/>
          <w:szCs w:val="18"/>
          <w:color w:val="auto"/>
        </w:rPr>
        <w:t>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resolution of the Directors or Members. An Officer may vacate his office at any time if he gives notice in writing to the Company that he resigns his office.</w:t>
      </w:r>
    </w:p>
    <w:p>
      <w:pPr>
        <w:spacing w:after="0" w:line="179" w:lineRule="exact"/>
        <w:rPr>
          <w:sz w:val="20"/>
          <w:szCs w:val="20"/>
          <w:color w:val="auto"/>
        </w:rPr>
      </w:pPr>
    </w:p>
    <w:p>
      <w:pPr>
        <w:ind w:left="1000" w:hanging="708"/>
        <w:spacing w:after="0"/>
        <w:tabs>
          <w:tab w:leader="none" w:pos="100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Minimum Shareholding</w:t>
      </w:r>
    </w:p>
    <w:p>
      <w:pPr>
        <w:spacing w:after="0" w:line="121" w:lineRule="exact"/>
        <w:rPr>
          <w:rFonts w:ascii="Times New Roman" w:cs="Times New Roman" w:eastAsia="Times New Roman" w:hAnsi="Times New Roman"/>
          <w:sz w:val="18"/>
          <w:szCs w:val="18"/>
          <w:b w:val="1"/>
          <w:bCs w:val="1"/>
          <w:color w:val="auto"/>
        </w:rPr>
      </w:pPr>
    </w:p>
    <w:p>
      <w:pPr>
        <w:ind w:left="1020" w:right="45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39</w:t>
      </w:r>
      <w:r>
        <w:rPr>
          <w:sz w:val="20"/>
          <w:szCs w:val="20"/>
          <w:color w:val="auto"/>
        </w:rPr>
        <w:tab/>
      </w:r>
      <w:r>
        <w:rPr>
          <w:rFonts w:ascii="Times New Roman" w:cs="Times New Roman" w:eastAsia="Times New Roman" w:hAnsi="Times New Roman"/>
          <w:sz w:val="18"/>
          <w:szCs w:val="18"/>
          <w:b w:val="1"/>
          <w:bCs w:val="1"/>
          <w:color w:val="auto"/>
        </w:rPr>
        <w:t>Remuneration of Directors</w:t>
      </w:r>
    </w:p>
    <w:p>
      <w:pPr>
        <w:spacing w:after="0" w:line="121" w:lineRule="exact"/>
        <w:rPr>
          <w:sz w:val="20"/>
          <w:szCs w:val="20"/>
          <w:color w:val="auto"/>
        </w:rPr>
      </w:pPr>
    </w:p>
    <w:p>
      <w:pPr>
        <w:ind w:left="1000" w:right="359" w:hanging="714"/>
        <w:spacing w:after="0" w:line="255" w:lineRule="auto"/>
        <w:tabs>
          <w:tab w:leader="none" w:pos="980" w:val="left"/>
        </w:tabs>
        <w:rPr>
          <w:sz w:val="20"/>
          <w:szCs w:val="20"/>
          <w:color w:val="auto"/>
        </w:rPr>
      </w:pPr>
      <w:r>
        <w:rPr>
          <w:rFonts w:ascii="Times New Roman" w:cs="Times New Roman" w:eastAsia="Times New Roman" w:hAnsi="Times New Roman"/>
          <w:sz w:val="18"/>
          <w:szCs w:val="18"/>
          <w:color w:val="auto"/>
        </w:rPr>
        <w:t>39.1</w:t>
      </w:r>
      <w:r>
        <w:rPr>
          <w:sz w:val="20"/>
          <w:szCs w:val="20"/>
          <w:color w:val="auto"/>
        </w:rPr>
        <w:tab/>
      </w:r>
      <w:r>
        <w:rPr>
          <w:rFonts w:ascii="Times New Roman" w:cs="Times New Roman" w:eastAsia="Times New Roman" w:hAnsi="Times New Roman"/>
          <w:sz w:val="18"/>
          <w:szCs w:val="18"/>
          <w:color w:val="auto"/>
        </w:rPr>
        <w:t>The remuneration to be paid to the Directors, if any, shall be such remuneration as the Directors shall determine. The 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81" w:lineRule="exact"/>
        <w:rPr>
          <w:sz w:val="20"/>
          <w:szCs w:val="20"/>
          <w:color w:val="auto"/>
        </w:rPr>
      </w:pPr>
    </w:p>
    <w:p>
      <w:pPr>
        <w:ind w:left="1000" w:right="41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39.2</w:t>
      </w:r>
      <w:r>
        <w:rPr>
          <w:sz w:val="20"/>
          <w:szCs w:val="20"/>
          <w:color w:val="auto"/>
        </w:rPr>
        <w:tab/>
      </w:r>
      <w:r>
        <w:rPr>
          <w:rFonts w:ascii="Times New Roman" w:cs="Times New Roman" w:eastAsia="Times New Roman" w:hAnsi="Times New Roman"/>
          <w:sz w:val="18"/>
          <w:szCs w:val="18"/>
          <w:color w:val="auto"/>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176"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40</w:t>
      </w:r>
      <w:r>
        <w:rPr>
          <w:sz w:val="20"/>
          <w:szCs w:val="20"/>
          <w:color w:val="auto"/>
        </w:rPr>
        <w:tab/>
      </w:r>
      <w:r>
        <w:rPr>
          <w:rFonts w:ascii="Times New Roman" w:cs="Times New Roman" w:eastAsia="Times New Roman" w:hAnsi="Times New Roman"/>
          <w:sz w:val="18"/>
          <w:szCs w:val="18"/>
          <w:b w:val="1"/>
          <w:bCs w:val="1"/>
          <w:color w:val="auto"/>
        </w:rPr>
        <w:t>Seal</w:t>
      </w:r>
    </w:p>
    <w:p>
      <w:pPr>
        <w:spacing w:after="0" w:line="121" w:lineRule="exact"/>
        <w:rPr>
          <w:sz w:val="20"/>
          <w:szCs w:val="20"/>
          <w:color w:val="auto"/>
        </w:rPr>
      </w:pPr>
    </w:p>
    <w:p>
      <w:pPr>
        <w:ind w:left="1000" w:right="33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40.1</w:t>
      </w:r>
      <w:r>
        <w:rPr>
          <w:sz w:val="20"/>
          <w:szCs w:val="20"/>
          <w:color w:val="auto"/>
        </w:rPr>
        <w:tab/>
      </w:r>
      <w:r>
        <w:rPr>
          <w:rFonts w:ascii="Times New Roman" w:cs="Times New Roman" w:eastAsia="Times New Roman" w:hAnsi="Times New Roman"/>
          <w:sz w:val="18"/>
          <w:szCs w:val="18"/>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72" w:lineRule="exact"/>
        <w:rPr>
          <w:sz w:val="20"/>
          <w:szCs w:val="20"/>
          <w:color w:val="auto"/>
        </w:rPr>
      </w:pPr>
    </w:p>
    <w:p>
      <w:pPr>
        <w:jc w:val="both"/>
        <w:ind w:left="1000" w:right="69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40.2</w:t>
      </w:r>
      <w:r>
        <w:rPr>
          <w:sz w:val="20"/>
          <w:szCs w:val="20"/>
          <w:color w:val="auto"/>
        </w:rPr>
        <w:tab/>
      </w:r>
      <w:r>
        <w:rPr>
          <w:rFonts w:ascii="Times New Roman" w:cs="Times New Roman" w:eastAsia="Times New Roman" w:hAnsi="Times New Roman"/>
          <w:sz w:val="18"/>
          <w:szCs w:val="18"/>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68" w:lineRule="exact"/>
        <w:rPr>
          <w:sz w:val="20"/>
          <w:szCs w:val="20"/>
          <w:color w:val="auto"/>
        </w:rPr>
      </w:pPr>
    </w:p>
    <w:p>
      <w:pPr>
        <w:ind w:left="1000" w:right="51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40.3</w:t>
      </w:r>
      <w:r>
        <w:rPr>
          <w:sz w:val="20"/>
          <w:szCs w:val="20"/>
          <w:color w:val="auto"/>
        </w:rPr>
        <w:tab/>
      </w:r>
      <w:r>
        <w:rPr>
          <w:rFonts w:ascii="Times New Roman" w:cs="Times New Roman" w:eastAsia="Times New Roman" w:hAnsi="Times New Roman"/>
          <w:sz w:val="18"/>
          <w:szCs w:val="18"/>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176"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Dividends, Distributions and Reserve</w:t>
      </w:r>
    </w:p>
    <w:p>
      <w:pPr>
        <w:spacing w:after="0" w:line="121" w:lineRule="exact"/>
        <w:rPr>
          <w:sz w:val="20"/>
          <w:szCs w:val="20"/>
          <w:color w:val="auto"/>
        </w:rPr>
      </w:pPr>
    </w:p>
    <w:p>
      <w:pPr>
        <w:ind w:left="1000" w:right="399" w:hanging="714"/>
        <w:spacing w:after="0" w:line="254" w:lineRule="auto"/>
        <w:tabs>
          <w:tab w:leader="none" w:pos="98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Subject to the Statute and the Articles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p>
      <w:pPr>
        <w:spacing w:after="0" w:line="84" w:lineRule="exact"/>
        <w:rPr>
          <w:sz w:val="20"/>
          <w:szCs w:val="20"/>
          <w:color w:val="auto"/>
        </w:rPr>
      </w:pPr>
    </w:p>
    <w:p>
      <w:pPr>
        <w:ind w:left="1000" w:right="37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72" w:lineRule="exact"/>
        <w:rPr>
          <w:sz w:val="20"/>
          <w:szCs w:val="20"/>
          <w:color w:val="auto"/>
        </w:rPr>
      </w:pPr>
    </w:p>
    <w:p>
      <w:pPr>
        <w:ind w:left="1000" w:right="659" w:hanging="71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The Directors may deduct from any Dividend or other distribution payable to any Member all sums of money (if any) then payable by him to the Company on account of calls or otherwise.</w:t>
      </w:r>
    </w:p>
    <w:p>
      <w:pPr>
        <w:spacing w:after="0" w:line="54" w:lineRule="exact"/>
        <w:rPr>
          <w:sz w:val="20"/>
          <w:szCs w:val="20"/>
          <w:color w:val="auto"/>
        </w:rPr>
      </w:pPr>
    </w:p>
    <w:p>
      <w:pPr>
        <w:ind w:left="1000" w:right="319" w:hanging="714"/>
        <w:spacing w:after="0" w:line="254" w:lineRule="auto"/>
        <w:tabs>
          <w:tab w:leader="none" w:pos="98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8"/>
          <w:szCs w:val="18"/>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84" w:lineRule="exact"/>
        <w:rPr>
          <w:sz w:val="20"/>
          <w:szCs w:val="20"/>
          <w:color w:val="auto"/>
        </w:rPr>
      </w:pPr>
    </w:p>
    <w:p>
      <w:pPr>
        <w:ind w:left="1000" w:right="43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color w:val="auto"/>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72" w:lineRule="exact"/>
        <w:rPr>
          <w:sz w:val="20"/>
          <w:szCs w:val="20"/>
          <w:color w:val="auto"/>
        </w:rPr>
      </w:pPr>
    </w:p>
    <w:p>
      <w:pPr>
        <w:ind w:left="1000" w:right="319" w:hanging="714"/>
        <w:spacing w:after="0" w:line="255" w:lineRule="auto"/>
        <w:tabs>
          <w:tab w:leader="none" w:pos="98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8"/>
          <w:szCs w:val="18"/>
          <w:color w:val="auto"/>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81"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color w:val="auto"/>
        </w:rPr>
        <w:t>41.8</w:t>
      </w:r>
      <w:r>
        <w:rPr>
          <w:sz w:val="20"/>
          <w:szCs w:val="20"/>
          <w:color w:val="auto"/>
        </w:rPr>
        <w:tab/>
      </w:r>
      <w:r>
        <w:rPr>
          <w:rFonts w:ascii="Times New Roman" w:cs="Times New Roman" w:eastAsia="Times New Roman" w:hAnsi="Times New Roman"/>
          <w:sz w:val="17"/>
          <w:szCs w:val="17"/>
          <w:color w:val="auto"/>
        </w:rPr>
        <w:t>No Dividend or other distribution shall bear interest against the Company.</w:t>
      </w:r>
    </w:p>
    <w:p>
      <w:pPr>
        <w:spacing w:after="0" w:line="117" w:lineRule="exact"/>
        <w:rPr>
          <w:sz w:val="20"/>
          <w:szCs w:val="20"/>
          <w:color w:val="auto"/>
        </w:rPr>
      </w:pPr>
    </w:p>
    <w:p>
      <w:pPr>
        <w:ind w:left="1000" w:right="419" w:hanging="714"/>
        <w:spacing w:after="0" w:line="255" w:lineRule="auto"/>
        <w:tabs>
          <w:tab w:leader="none" w:pos="980" w:val="left"/>
        </w:tabs>
        <w:rPr>
          <w:sz w:val="20"/>
          <w:szCs w:val="20"/>
          <w:color w:val="auto"/>
        </w:rPr>
      </w:pPr>
      <w:r>
        <w:rPr>
          <w:rFonts w:ascii="Times New Roman" w:cs="Times New Roman" w:eastAsia="Times New Roman" w:hAnsi="Times New Roman"/>
          <w:sz w:val="18"/>
          <w:szCs w:val="18"/>
          <w:color w:val="auto"/>
        </w:rPr>
        <w:t>41.9</w:t>
      </w:r>
      <w:r>
        <w:rPr>
          <w:sz w:val="20"/>
          <w:szCs w:val="20"/>
          <w:color w:val="auto"/>
        </w:rPr>
        <w:tab/>
      </w:r>
      <w:r>
        <w:rPr>
          <w:rFonts w:ascii="Times New Roman" w:cs="Times New Roman" w:eastAsia="Times New Roman" w:hAnsi="Times New Roman"/>
          <w:sz w:val="18"/>
          <w:szCs w:val="18"/>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185" w:lineRule="exact"/>
        <w:rPr>
          <w:sz w:val="20"/>
          <w:szCs w:val="20"/>
          <w:color w:val="auto"/>
        </w:rPr>
      </w:pPr>
    </w:p>
    <w:p>
      <w:pPr>
        <w:ind w:left="1000" w:hanging="708"/>
        <w:spacing w:after="0"/>
        <w:tabs>
          <w:tab w:leader="none" w:pos="100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Capitalisation</w:t>
      </w:r>
    </w:p>
    <w:p>
      <w:pPr>
        <w:spacing w:after="0" w:line="121" w:lineRule="exact"/>
        <w:rPr>
          <w:rFonts w:ascii="Times New Roman" w:cs="Times New Roman" w:eastAsia="Times New Roman" w:hAnsi="Times New Roman"/>
          <w:sz w:val="18"/>
          <w:szCs w:val="18"/>
          <w:b w:val="1"/>
          <w:bCs w:val="1"/>
          <w:color w:val="auto"/>
        </w:rPr>
      </w:pPr>
    </w:p>
    <w:p>
      <w:pPr>
        <w:ind w:left="1020" w:right="379"/>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193" w:lineRule="exact"/>
        <w:rPr>
          <w:rFonts w:ascii="Times New Roman" w:cs="Times New Roman" w:eastAsia="Times New Roman" w:hAnsi="Times New Roman"/>
          <w:sz w:val="18"/>
          <w:szCs w:val="18"/>
          <w:b w:val="1"/>
          <w:bCs w:val="1"/>
          <w:color w:val="auto"/>
        </w:rPr>
      </w:pPr>
    </w:p>
    <w:p>
      <w:pPr>
        <w:ind w:left="1000" w:hanging="708"/>
        <w:spacing w:after="0"/>
        <w:tabs>
          <w:tab w:leader="none" w:pos="100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Books of Account</w:t>
      </w:r>
    </w:p>
    <w:p>
      <w:pPr>
        <w:spacing w:after="0" w:line="121" w:lineRule="exact"/>
        <w:rPr>
          <w:sz w:val="20"/>
          <w:szCs w:val="20"/>
          <w:color w:val="auto"/>
        </w:rPr>
      </w:pPr>
    </w:p>
    <w:p>
      <w:pPr>
        <w:ind w:left="1000" w:right="319" w:hanging="714"/>
        <w:spacing w:after="0" w:line="255" w:lineRule="auto"/>
        <w:tabs>
          <w:tab w:leader="none" w:pos="98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8"/>
          <w:szCs w:val="18"/>
          <w:color w:val="auto"/>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81" w:lineRule="exact"/>
        <w:rPr>
          <w:sz w:val="20"/>
          <w:szCs w:val="20"/>
          <w:color w:val="auto"/>
        </w:rPr>
      </w:pPr>
    </w:p>
    <w:p>
      <w:pPr>
        <w:ind w:left="1000" w:right="39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43.2</w:t>
      </w:r>
      <w:r>
        <w:rPr>
          <w:sz w:val="20"/>
          <w:szCs w:val="20"/>
          <w:color w:val="auto"/>
        </w:rPr>
        <w:tab/>
      </w:r>
      <w:r>
        <w:rPr>
          <w:rFonts w:ascii="Times New Roman" w:cs="Times New Roman" w:eastAsia="Times New Roman" w:hAnsi="Times New Roman"/>
          <w:sz w:val="18"/>
          <w:szCs w:val="18"/>
          <w:color w:val="auto"/>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7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43.3</w:t>
      </w:r>
      <w:r>
        <w:rPr>
          <w:sz w:val="20"/>
          <w:szCs w:val="20"/>
          <w:color w:val="auto"/>
        </w:rPr>
        <w:tab/>
      </w:r>
      <w:r>
        <w:rPr>
          <w:rFonts w:ascii="Times New Roman" w:cs="Times New Roman" w:eastAsia="Times New Roman" w:hAnsi="Times New Roman"/>
          <w:sz w:val="18"/>
          <w:szCs w:val="18"/>
          <w:color w:val="auto"/>
        </w:rPr>
        <w:t>The Directors may cause to be prepared and to be laid before the Company in general meeting profit and loss accounts, balance sheets, group accounts (if any) and such other reports and accounts as may be required by law.</w:t>
      </w:r>
    </w:p>
    <w:p>
      <w:pPr>
        <w:spacing w:after="0" w:line="172"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Audit</w:t>
      </w:r>
    </w:p>
    <w:p>
      <w:pPr>
        <w:spacing w:after="0" w:line="121" w:lineRule="exact"/>
        <w:rPr>
          <w:sz w:val="20"/>
          <w:szCs w:val="20"/>
          <w:color w:val="auto"/>
        </w:rPr>
      </w:pPr>
    </w:p>
    <w:p>
      <w:pPr>
        <w:ind w:left="1000" w:right="979" w:hanging="71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8"/>
          <w:szCs w:val="18"/>
          <w:color w:val="auto"/>
        </w:rPr>
        <w:t>The Directors may appoint an Auditor of the Company who shall hold office on such terms as the Directors determine.</w:t>
      </w:r>
    </w:p>
    <w:p>
      <w:pPr>
        <w:spacing w:after="0" w:line="54" w:lineRule="exact"/>
        <w:rPr>
          <w:sz w:val="20"/>
          <w:szCs w:val="20"/>
          <w:color w:val="auto"/>
        </w:rPr>
      </w:pPr>
    </w:p>
    <w:p>
      <w:pPr>
        <w:ind w:left="1000" w:right="359" w:hanging="714"/>
        <w:spacing w:after="0" w:line="254" w:lineRule="auto"/>
        <w:tabs>
          <w:tab w:leader="none" w:pos="980" w:val="left"/>
        </w:tabs>
        <w:rPr>
          <w:sz w:val="20"/>
          <w:szCs w:val="20"/>
          <w:color w:val="auto"/>
        </w:rPr>
      </w:pPr>
      <w:r>
        <w:rPr>
          <w:rFonts w:ascii="Times New Roman" w:cs="Times New Roman" w:eastAsia="Times New Roman" w:hAnsi="Times New Roman"/>
          <w:sz w:val="18"/>
          <w:szCs w:val="18"/>
          <w:color w:val="auto"/>
        </w:rPr>
        <w:t>44.2</w:t>
      </w:r>
      <w:r>
        <w:rPr>
          <w:sz w:val="20"/>
          <w:szCs w:val="20"/>
          <w:color w:val="auto"/>
        </w:rPr>
        <w:tab/>
      </w:r>
      <w:r>
        <w:rPr>
          <w:rFonts w:ascii="Times New Roman" w:cs="Times New Roman" w:eastAsia="Times New Roman" w:hAnsi="Times New Roman"/>
          <w:sz w:val="18"/>
          <w:szCs w:val="18"/>
          <w:color w:val="auto"/>
        </w:rPr>
        <w:t>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w:t>
      </w:r>
    </w:p>
    <w:p>
      <w:pPr>
        <w:spacing w:after="0" w:line="80" w:lineRule="exact"/>
        <w:rPr>
          <w:sz w:val="20"/>
          <w:szCs w:val="20"/>
          <w:color w:val="auto"/>
        </w:rPr>
      </w:pPr>
    </w:p>
    <w:p>
      <w:pPr>
        <w:ind w:left="1000" w:right="47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44.3</w:t>
      </w:r>
      <w:r>
        <w:rPr>
          <w:sz w:val="20"/>
          <w:szCs w:val="20"/>
          <w:color w:val="auto"/>
        </w:rPr>
        <w:tab/>
      </w:r>
      <w:r>
        <w:rPr>
          <w:rFonts w:ascii="Times New Roman" w:cs="Times New Roman" w:eastAsia="Times New Roman" w:hAnsi="Times New Roman"/>
          <w:sz w:val="18"/>
          <w:szCs w:val="18"/>
          <w:color w:val="auto"/>
        </w:rPr>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68"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color w:val="auto"/>
        </w:rPr>
        <w:t>44.4</w:t>
      </w:r>
      <w:r>
        <w:rPr>
          <w:sz w:val="20"/>
          <w:szCs w:val="20"/>
          <w:color w:val="auto"/>
        </w:rPr>
        <w:tab/>
      </w:r>
      <w:r>
        <w:rPr>
          <w:rFonts w:ascii="Times New Roman" w:cs="Times New Roman" w:eastAsia="Times New Roman" w:hAnsi="Times New Roman"/>
          <w:sz w:val="18"/>
          <w:szCs w:val="18"/>
          <w:color w:val="auto"/>
        </w:rPr>
        <w:t>The remuneration of the Auditor shall be fixed by the Audit Committee (if one exists).</w:t>
      </w:r>
    </w:p>
    <w:p>
      <w:pPr>
        <w:spacing w:after="0" w:line="117" w:lineRule="exact"/>
        <w:rPr>
          <w:sz w:val="20"/>
          <w:szCs w:val="20"/>
          <w:color w:val="auto"/>
        </w:rPr>
      </w:pPr>
    </w:p>
    <w:p>
      <w:pPr>
        <w:ind w:left="1000" w:right="67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44.5</w:t>
      </w:r>
      <w:r>
        <w:rPr>
          <w:sz w:val="20"/>
          <w:szCs w:val="20"/>
          <w:color w:val="auto"/>
        </w:rPr>
        <w:tab/>
      </w:r>
      <w:r>
        <w:rPr>
          <w:rFonts w:ascii="Times New Roman" w:cs="Times New Roman" w:eastAsia="Times New Roman" w:hAnsi="Times New Roman"/>
          <w:sz w:val="18"/>
          <w:szCs w:val="18"/>
          <w:color w:val="auto"/>
        </w:rPr>
        <w:t>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68" w:lineRule="exact"/>
        <w:rPr>
          <w:sz w:val="20"/>
          <w:szCs w:val="20"/>
          <w:color w:val="auto"/>
        </w:rPr>
      </w:pPr>
    </w:p>
    <w:p>
      <w:pPr>
        <w:ind w:left="1000" w:right="35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44.6</w:t>
      </w:r>
      <w:r>
        <w:rPr>
          <w:sz w:val="20"/>
          <w:szCs w:val="20"/>
          <w:color w:val="auto"/>
        </w:rPr>
        <w:tab/>
      </w: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p>
      <w:pPr>
        <w:spacing w:after="0" w:line="68" w:lineRule="exact"/>
        <w:rPr>
          <w:sz w:val="20"/>
          <w:szCs w:val="20"/>
          <w:color w:val="auto"/>
        </w:rPr>
      </w:pPr>
    </w:p>
    <w:p>
      <w:pPr>
        <w:ind w:left="1000" w:right="359" w:hanging="714"/>
        <w:spacing w:after="0" w:line="256" w:lineRule="auto"/>
        <w:tabs>
          <w:tab w:leader="none" w:pos="980" w:val="left"/>
        </w:tabs>
        <w:rPr>
          <w:sz w:val="20"/>
          <w:szCs w:val="20"/>
          <w:color w:val="auto"/>
        </w:rPr>
      </w:pPr>
      <w:r>
        <w:rPr>
          <w:rFonts w:ascii="Times New Roman" w:cs="Times New Roman" w:eastAsia="Times New Roman" w:hAnsi="Times New Roman"/>
          <w:sz w:val="18"/>
          <w:szCs w:val="18"/>
          <w:color w:val="auto"/>
        </w:rPr>
        <w:t>44.7</w:t>
      </w:r>
      <w:r>
        <w:rPr>
          <w:sz w:val="20"/>
          <w:szCs w:val="20"/>
          <w:color w:val="auto"/>
        </w:rPr>
        <w:tab/>
      </w:r>
      <w:r>
        <w:rPr>
          <w:rFonts w:ascii="Times New Roman" w:cs="Times New Roman" w:eastAsia="Times New Roman" w:hAnsi="Times New Roman"/>
          <w:sz w:val="18"/>
          <w:szCs w:val="18"/>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183"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000" w:right="379" w:hanging="714"/>
        <w:spacing w:after="0" w:line="256" w:lineRule="auto"/>
        <w:tabs>
          <w:tab w:leader="none" w:pos="980" w:val="left"/>
        </w:tabs>
        <w:rPr>
          <w:sz w:val="20"/>
          <w:szCs w:val="20"/>
          <w:color w:val="auto"/>
        </w:rPr>
      </w:pPr>
      <w:r>
        <w:rPr>
          <w:rFonts w:ascii="Times New Roman" w:cs="Times New Roman" w:eastAsia="Times New Roman" w:hAnsi="Times New Roman"/>
          <w:sz w:val="18"/>
          <w:szCs w:val="18"/>
          <w:color w:val="auto"/>
        </w:rPr>
        <w:t>45.1</w:t>
      </w:r>
      <w:r>
        <w:rPr>
          <w:sz w:val="20"/>
          <w:szCs w:val="20"/>
          <w:color w:val="auto"/>
        </w:rPr>
        <w:tab/>
      </w:r>
      <w:r>
        <w:rPr>
          <w:rFonts w:ascii="Times New Roman" w:cs="Times New Roman" w:eastAsia="Times New Roman" w:hAnsi="Times New Roman"/>
          <w:sz w:val="18"/>
          <w:szCs w:val="18"/>
          <w:color w:val="auto"/>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p>
      <w:pPr>
        <w:spacing w:after="0" w:line="79"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color w:val="auto"/>
        </w:rPr>
        <w:t>45.2</w:t>
      </w:r>
      <w:r>
        <w:rPr>
          <w:sz w:val="20"/>
          <w:szCs w:val="20"/>
          <w:color w:val="auto"/>
        </w:rPr>
        <w:tab/>
      </w:r>
      <w:r>
        <w:rPr>
          <w:rFonts w:ascii="Times New Roman" w:cs="Times New Roman" w:eastAsia="Times New Roman" w:hAnsi="Times New Roman"/>
          <w:sz w:val="18"/>
          <w:szCs w:val="18"/>
          <w:color w:val="auto"/>
        </w:rPr>
        <w:t>Where a notice is sent by:</w:t>
      </w:r>
    </w:p>
    <w:p>
      <w:pPr>
        <w:spacing w:after="0" w:line="117" w:lineRule="exact"/>
        <w:rPr>
          <w:sz w:val="20"/>
          <w:szCs w:val="20"/>
          <w:color w:val="auto"/>
        </w:rPr>
      </w:pPr>
    </w:p>
    <w:p>
      <w:pPr>
        <w:jc w:val="both"/>
        <w:ind w:left="1360" w:right="659" w:hanging="348"/>
        <w:spacing w:after="0" w:line="289" w:lineRule="auto"/>
        <w:tabs>
          <w:tab w:leader="none" w:pos="136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49" w:lineRule="exact"/>
        <w:rPr>
          <w:rFonts w:ascii="Times New Roman" w:cs="Times New Roman" w:eastAsia="Times New Roman" w:hAnsi="Times New Roman"/>
          <w:sz w:val="17"/>
          <w:szCs w:val="17"/>
          <w:color w:val="auto"/>
        </w:rPr>
      </w:pPr>
    </w:p>
    <w:p>
      <w:pPr>
        <w:ind w:left="1360" w:right="379" w:hanging="348"/>
        <w:spacing w:after="0" w:line="261" w:lineRule="auto"/>
        <w:tabs>
          <w:tab w:leader="none" w:pos="1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p>
      <w:pPr>
        <w:spacing w:after="0" w:line="71" w:lineRule="exact"/>
        <w:rPr>
          <w:rFonts w:ascii="Times New Roman" w:cs="Times New Roman" w:eastAsia="Times New Roman" w:hAnsi="Times New Roman"/>
          <w:sz w:val="18"/>
          <w:szCs w:val="18"/>
          <w:color w:val="auto"/>
        </w:rPr>
      </w:pPr>
    </w:p>
    <w:p>
      <w:pPr>
        <w:ind w:left="1360" w:right="599" w:hanging="348"/>
        <w:spacing w:after="0" w:line="266" w:lineRule="auto"/>
        <w:tabs>
          <w:tab w:leader="none" w:pos="1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or fax; service of the notice shall be deemed to be effected by properly addressing and sending such notice and shall be deemed to have been received on the same day that it was transmitted;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60" w:right="399" w:hanging="348"/>
        <w:spacing w:after="0" w:line="261" w:lineRule="auto"/>
        <w:tabs>
          <w:tab w:leader="none" w:pos="13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p>
      <w:pPr>
        <w:spacing w:after="0" w:line="71" w:lineRule="exact"/>
        <w:rPr>
          <w:rFonts w:ascii="Times New Roman" w:cs="Times New Roman" w:eastAsia="Times New Roman" w:hAnsi="Times New Roman"/>
          <w:sz w:val="18"/>
          <w:szCs w:val="18"/>
          <w:color w:val="auto"/>
        </w:rPr>
      </w:pPr>
    </w:p>
    <w:p>
      <w:pPr>
        <w:ind w:left="1360" w:right="379" w:hanging="348"/>
        <w:spacing w:after="0" w:line="282" w:lineRule="auto"/>
        <w:tabs>
          <w:tab w:leader="none" w:pos="13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it on the Company’s Website; service of the notice shall be deemed to have been effected one hour after the notice or document was placed on the Company’s Website.</w:t>
      </w:r>
    </w:p>
    <w:p>
      <w:pPr>
        <w:spacing w:after="0" w:line="54" w:lineRule="exact"/>
        <w:rPr>
          <w:sz w:val="20"/>
          <w:szCs w:val="20"/>
          <w:color w:val="auto"/>
        </w:rPr>
      </w:pPr>
    </w:p>
    <w:p>
      <w:pPr>
        <w:ind w:left="1000" w:right="359" w:hanging="714"/>
        <w:spacing w:after="0" w:line="255" w:lineRule="auto"/>
        <w:tabs>
          <w:tab w:leader="none" w:pos="980" w:val="left"/>
        </w:tabs>
        <w:rPr>
          <w:sz w:val="20"/>
          <w:szCs w:val="20"/>
          <w:color w:val="auto"/>
        </w:rPr>
      </w:pPr>
      <w:r>
        <w:rPr>
          <w:rFonts w:ascii="Times New Roman" w:cs="Times New Roman" w:eastAsia="Times New Roman" w:hAnsi="Times New Roman"/>
          <w:sz w:val="18"/>
          <w:szCs w:val="18"/>
          <w:color w:val="auto"/>
        </w:rPr>
        <w:t>45.3</w:t>
      </w:r>
      <w:r>
        <w:rPr>
          <w:sz w:val="20"/>
          <w:szCs w:val="20"/>
          <w:color w:val="auto"/>
        </w:rPr>
        <w:tab/>
      </w:r>
      <w:r>
        <w:rPr>
          <w:rFonts w:ascii="Times New Roman" w:cs="Times New Roman" w:eastAsia="Times New Roman" w:hAnsi="Times New Roman"/>
          <w:sz w:val="18"/>
          <w:szCs w:val="18"/>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81" w:lineRule="exact"/>
        <w:rPr>
          <w:sz w:val="20"/>
          <w:szCs w:val="20"/>
          <w:color w:val="auto"/>
        </w:rPr>
      </w:pPr>
    </w:p>
    <w:p>
      <w:pPr>
        <w:ind w:left="1000" w:right="339" w:hanging="714"/>
        <w:spacing w:after="0" w:line="255" w:lineRule="auto"/>
        <w:tabs>
          <w:tab w:leader="none" w:pos="980" w:val="left"/>
        </w:tabs>
        <w:rPr>
          <w:sz w:val="20"/>
          <w:szCs w:val="20"/>
          <w:color w:val="auto"/>
        </w:rPr>
      </w:pPr>
      <w:r>
        <w:rPr>
          <w:rFonts w:ascii="Times New Roman" w:cs="Times New Roman" w:eastAsia="Times New Roman" w:hAnsi="Times New Roman"/>
          <w:sz w:val="18"/>
          <w:szCs w:val="18"/>
          <w:color w:val="auto"/>
        </w:rPr>
        <w:t>45.4</w:t>
      </w:r>
      <w:r>
        <w:rPr>
          <w:sz w:val="20"/>
          <w:szCs w:val="20"/>
          <w:color w:val="auto"/>
        </w:rPr>
        <w:tab/>
      </w:r>
      <w:r>
        <w:rPr>
          <w:rFonts w:ascii="Times New Roman" w:cs="Times New Roman" w:eastAsia="Times New Roman" w:hAnsi="Times New Roman"/>
          <w:sz w:val="18"/>
          <w:szCs w:val="18"/>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18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8"/>
          <w:szCs w:val="18"/>
          <w:b w:val="1"/>
          <w:bCs w:val="1"/>
          <w:color w:val="auto"/>
        </w:rPr>
        <w:t>Winding Up</w:t>
      </w:r>
    </w:p>
    <w:p>
      <w:pPr>
        <w:spacing w:after="0" w:line="121" w:lineRule="exact"/>
        <w:rPr>
          <w:sz w:val="20"/>
          <w:szCs w:val="20"/>
          <w:color w:val="auto"/>
        </w:rPr>
      </w:pPr>
    </w:p>
    <w:p>
      <w:pPr>
        <w:ind w:left="1000" w:right="459" w:hanging="714"/>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46.1</w:t>
      </w:r>
      <w:r>
        <w:rPr>
          <w:sz w:val="20"/>
          <w:szCs w:val="20"/>
          <w:color w:val="auto"/>
        </w:rPr>
        <w:tab/>
      </w:r>
      <w:r>
        <w:rPr>
          <w:rFonts w:ascii="Times New Roman" w:cs="Times New Roman" w:eastAsia="Times New Roman" w:hAnsi="Times New Roman"/>
          <w:sz w:val="18"/>
          <w:szCs w:val="18"/>
          <w:color w:val="auto"/>
        </w:rPr>
        <w:t>If the Company shall be wound up, the liquidator shall apply the assets of the Company in satisfaction of creditors’ claims in such manner and order as such liquidator thinks fit. Subject to the Articles and the rights attaching to any Shares, in a winding up:</w:t>
      </w:r>
    </w:p>
    <w:p>
      <w:pPr>
        <w:spacing w:after="0" w:line="68" w:lineRule="exact"/>
        <w:rPr>
          <w:sz w:val="20"/>
          <w:szCs w:val="20"/>
          <w:color w:val="auto"/>
        </w:rPr>
      </w:pPr>
    </w:p>
    <w:p>
      <w:pPr>
        <w:ind w:left="1360" w:right="319" w:hanging="348"/>
        <w:spacing w:after="0" w:line="266" w:lineRule="auto"/>
        <w:tabs>
          <w:tab w:leader="none" w:pos="13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67" w:lineRule="exact"/>
        <w:rPr>
          <w:rFonts w:ascii="Times New Roman" w:cs="Times New Roman" w:eastAsia="Times New Roman" w:hAnsi="Times New Roman"/>
          <w:sz w:val="18"/>
          <w:szCs w:val="18"/>
          <w:color w:val="auto"/>
        </w:rPr>
      </w:pPr>
    </w:p>
    <w:p>
      <w:pPr>
        <w:ind w:left="1360" w:right="319" w:hanging="348"/>
        <w:spacing w:after="0" w:line="256" w:lineRule="auto"/>
        <w:tabs>
          <w:tab w:leader="none" w:pos="13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more than sufficient to repay the whole of the Company’s issued share capital at the commencement of the winding up, the surplus shall be distributed amongst the Members holding Class A Shares in proportion to the par value of the Class A Shares held by them at the commencement of the winding up subject to a deduction from those Class A Shares in respect of which there are monies due, of all monies payable to the Company for unpaid calls or otherwise.</w:t>
      </w:r>
    </w:p>
    <w:p>
      <w:pPr>
        <w:spacing w:after="0" w:line="79" w:lineRule="exact"/>
        <w:rPr>
          <w:sz w:val="20"/>
          <w:szCs w:val="20"/>
          <w:color w:val="auto"/>
        </w:rPr>
      </w:pPr>
    </w:p>
    <w:p>
      <w:pPr>
        <w:ind w:left="1000" w:right="359" w:hanging="714"/>
        <w:spacing w:after="0" w:line="254" w:lineRule="auto"/>
        <w:tabs>
          <w:tab w:leader="none" w:pos="980" w:val="left"/>
        </w:tabs>
        <w:rPr>
          <w:sz w:val="20"/>
          <w:szCs w:val="20"/>
          <w:color w:val="auto"/>
        </w:rPr>
      </w:pPr>
      <w:r>
        <w:rPr>
          <w:rFonts w:ascii="Times New Roman" w:cs="Times New Roman" w:eastAsia="Times New Roman" w:hAnsi="Times New Roman"/>
          <w:sz w:val="18"/>
          <w:szCs w:val="18"/>
          <w:color w:val="auto"/>
        </w:rPr>
        <w:t>46.2</w:t>
      </w:r>
      <w:r>
        <w:rPr>
          <w:sz w:val="20"/>
          <w:szCs w:val="20"/>
          <w:color w:val="auto"/>
        </w:rPr>
        <w:tab/>
      </w:r>
      <w:r>
        <w:rPr>
          <w:rFonts w:ascii="Times New Roman" w:cs="Times New Roman" w:eastAsia="Times New Roman" w:hAnsi="Times New Roman"/>
          <w:sz w:val="18"/>
          <w:szCs w:val="18"/>
          <w:color w:val="auto"/>
        </w:rPr>
        <w:t>If the Company shall be wound up the liquidator may, subject to the Articles and the rights attaching to any Shares and with the approval of a Special Resolution of the Company and any other approval required by the Statute, divide amongst the Members holding Class A Shares in kind the whole or any part of the assets of the Company (whether such assets shall consist of property of the same kind or not) and may for that purpose value any assets and determine how the division shall be carried out as between the Members holding Class A Shares. The liquidator may, with the like approval, vest the whole or any part of such assets in trustees upon such trusts for the benefit of the Members holding Class A Shares as the liquidator, with the like approval, shall think fit, but so that no Member holding Class A Shares shall be compelled to accept any asset upon which there is a liability.</w:t>
      </w:r>
    </w:p>
    <w:p>
      <w:pPr>
        <w:spacing w:after="0" w:line="184"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8"/>
          <w:szCs w:val="18"/>
          <w:b w:val="1"/>
          <w:bCs w:val="1"/>
          <w:color w:val="auto"/>
        </w:rPr>
        <w:t>Indemnity and Insurance</w:t>
      </w:r>
    </w:p>
    <w:p>
      <w:pPr>
        <w:spacing w:after="0" w:line="121" w:lineRule="exact"/>
        <w:rPr>
          <w:sz w:val="20"/>
          <w:szCs w:val="20"/>
          <w:color w:val="auto"/>
        </w:rPr>
      </w:pPr>
    </w:p>
    <w:p>
      <w:pPr>
        <w:ind w:left="1000" w:right="359" w:hanging="714"/>
        <w:spacing w:after="0" w:line="256" w:lineRule="auto"/>
        <w:tabs>
          <w:tab w:leader="none" w:pos="980" w:val="left"/>
        </w:tabs>
        <w:rPr>
          <w:sz w:val="20"/>
          <w:szCs w:val="20"/>
          <w:color w:val="auto"/>
        </w:rPr>
      </w:pPr>
      <w:r>
        <w:rPr>
          <w:rFonts w:ascii="Times New Roman" w:cs="Times New Roman" w:eastAsia="Times New Roman" w:hAnsi="Times New Roman"/>
          <w:sz w:val="18"/>
          <w:szCs w:val="18"/>
          <w:color w:val="auto"/>
        </w:rPr>
        <w:t>47.1</w:t>
      </w:r>
      <w:r>
        <w:rPr>
          <w:sz w:val="20"/>
          <w:szCs w:val="20"/>
          <w:color w:val="auto"/>
        </w:rPr>
        <w:tab/>
      </w:r>
      <w:r>
        <w:rPr>
          <w:rFonts w:ascii="Times New Roman" w:cs="Times New Roman" w:eastAsia="Times New Roman" w:hAnsi="Times New Roman"/>
          <w:sz w:val="18"/>
          <w:szCs w:val="18"/>
          <w:color w:val="auto"/>
        </w:rPr>
        <w:t>Every Director and Officer (which for the avoidance of doubt, shall not include auditors of the Company), together with every former Director and former Officer, including every former Director and every former Officer prior to the date hereof,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59"/>
        <w:spacing w:after="0" w:line="256" w:lineRule="auto"/>
        <w:rPr>
          <w:sz w:val="20"/>
          <w:szCs w:val="20"/>
          <w:color w:val="auto"/>
        </w:rPr>
      </w:pPr>
      <w:r>
        <w:rPr>
          <w:rFonts w:ascii="Times New Roman" w:cs="Times New Roman" w:eastAsia="Times New Roman" w:hAnsi="Times New Roman"/>
          <w:sz w:val="18"/>
          <w:szCs w:val="18"/>
          <w:color w:val="auto"/>
        </w:rPr>
        <w:t>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p>
      <w:pPr>
        <w:spacing w:after="0" w:line="79" w:lineRule="exact"/>
        <w:rPr>
          <w:sz w:val="20"/>
          <w:szCs w:val="20"/>
          <w:color w:val="auto"/>
        </w:rPr>
      </w:pPr>
    </w:p>
    <w:p>
      <w:pPr>
        <w:ind w:left="1000" w:right="319" w:hanging="714"/>
        <w:spacing w:after="0" w:line="253" w:lineRule="auto"/>
        <w:tabs>
          <w:tab w:leader="none" w:pos="980" w:val="left"/>
        </w:tabs>
        <w:rPr>
          <w:sz w:val="20"/>
          <w:szCs w:val="20"/>
          <w:color w:val="auto"/>
        </w:rPr>
      </w:pPr>
      <w:r>
        <w:rPr>
          <w:rFonts w:ascii="Times New Roman" w:cs="Times New Roman" w:eastAsia="Times New Roman" w:hAnsi="Times New Roman"/>
          <w:sz w:val="18"/>
          <w:szCs w:val="18"/>
          <w:color w:val="auto"/>
        </w:rPr>
        <w:t>47.2</w:t>
      </w:r>
      <w:r>
        <w:rPr>
          <w:sz w:val="20"/>
          <w:szCs w:val="20"/>
          <w:color w:val="auto"/>
        </w:rPr>
        <w:tab/>
      </w:r>
      <w:r>
        <w:rPr>
          <w:rFonts w:ascii="Times New Roman" w:cs="Times New Roman" w:eastAsia="Times New Roman" w:hAnsi="Times New Roman"/>
          <w:sz w:val="18"/>
          <w:szCs w:val="18"/>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86" w:lineRule="exact"/>
        <w:rPr>
          <w:sz w:val="20"/>
          <w:szCs w:val="20"/>
          <w:color w:val="auto"/>
        </w:rPr>
      </w:pPr>
    </w:p>
    <w:p>
      <w:pPr>
        <w:ind w:left="1000" w:right="31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47.3</w:t>
      </w:r>
      <w:r>
        <w:rPr>
          <w:sz w:val="20"/>
          <w:szCs w:val="20"/>
          <w:color w:val="auto"/>
        </w:rPr>
        <w:tab/>
      </w:r>
      <w:r>
        <w:rPr>
          <w:rFonts w:ascii="Times New Roman" w:cs="Times New Roman" w:eastAsia="Times New Roman" w:hAnsi="Times New Roman"/>
          <w:sz w:val="18"/>
          <w:szCs w:val="18"/>
          <w:color w:val="auto"/>
        </w:rPr>
        <w:t>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p>
      <w:pPr>
        <w:spacing w:after="0" w:line="176" w:lineRule="exact"/>
        <w:rPr>
          <w:sz w:val="20"/>
          <w:szCs w:val="20"/>
          <w:color w:val="auto"/>
        </w:rPr>
      </w:pPr>
    </w:p>
    <w:p>
      <w:pPr>
        <w:ind w:left="1000" w:hanging="708"/>
        <w:spacing w:after="0"/>
        <w:tabs>
          <w:tab w:leader="none" w:pos="100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Year</w:t>
      </w:r>
    </w:p>
    <w:p>
      <w:pPr>
        <w:spacing w:after="0" w:line="121" w:lineRule="exact"/>
        <w:rPr>
          <w:rFonts w:ascii="Times New Roman" w:cs="Times New Roman" w:eastAsia="Times New Roman" w:hAnsi="Times New Roman"/>
          <w:sz w:val="18"/>
          <w:szCs w:val="18"/>
          <w:b w:val="1"/>
          <w:bCs w:val="1"/>
          <w:color w:val="auto"/>
        </w:rPr>
      </w:pPr>
    </w:p>
    <w:p>
      <w:pPr>
        <w:ind w:left="1020" w:right="3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157" w:lineRule="exact"/>
        <w:rPr>
          <w:rFonts w:ascii="Times New Roman" w:cs="Times New Roman" w:eastAsia="Times New Roman" w:hAnsi="Times New Roman"/>
          <w:sz w:val="18"/>
          <w:szCs w:val="18"/>
          <w:b w:val="1"/>
          <w:bCs w:val="1"/>
          <w:color w:val="auto"/>
        </w:rPr>
      </w:pPr>
    </w:p>
    <w:p>
      <w:pPr>
        <w:ind w:left="1000" w:hanging="708"/>
        <w:spacing w:after="0"/>
        <w:tabs>
          <w:tab w:leader="none" w:pos="100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by Way of Continuation</w:t>
      </w:r>
    </w:p>
    <w:p>
      <w:pPr>
        <w:spacing w:after="0" w:line="121" w:lineRule="exact"/>
        <w:rPr>
          <w:rFonts w:ascii="Times New Roman" w:cs="Times New Roman" w:eastAsia="Times New Roman" w:hAnsi="Times New Roman"/>
          <w:sz w:val="18"/>
          <w:szCs w:val="18"/>
          <w:b w:val="1"/>
          <w:bCs w:val="1"/>
          <w:color w:val="auto"/>
        </w:rPr>
      </w:pPr>
    </w:p>
    <w:p>
      <w:pPr>
        <w:ind w:left="1020" w:right="4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175" w:lineRule="exact"/>
        <w:rPr>
          <w:rFonts w:ascii="Times New Roman" w:cs="Times New Roman" w:eastAsia="Times New Roman" w:hAnsi="Times New Roman"/>
          <w:sz w:val="18"/>
          <w:szCs w:val="18"/>
          <w:b w:val="1"/>
          <w:bCs w:val="1"/>
          <w:color w:val="auto"/>
        </w:rPr>
      </w:pPr>
    </w:p>
    <w:p>
      <w:pPr>
        <w:ind w:left="1000" w:hanging="708"/>
        <w:spacing w:after="0"/>
        <w:tabs>
          <w:tab w:leader="none" w:pos="100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Mergers and Consolidations</w:t>
      </w:r>
    </w:p>
    <w:p>
      <w:pPr>
        <w:spacing w:after="0" w:line="121" w:lineRule="exact"/>
        <w:rPr>
          <w:rFonts w:ascii="Times New Roman" w:cs="Times New Roman" w:eastAsia="Times New Roman" w:hAnsi="Times New Roman"/>
          <w:sz w:val="18"/>
          <w:szCs w:val="18"/>
          <w:b w:val="1"/>
          <w:bCs w:val="1"/>
          <w:color w:val="auto"/>
        </w:rPr>
      </w:pPr>
    </w:p>
    <w:p>
      <w:pPr>
        <w:ind w:left="1020" w:right="37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171" w:lineRule="exact"/>
        <w:rPr>
          <w:rFonts w:ascii="Times New Roman" w:cs="Times New Roman" w:eastAsia="Times New Roman" w:hAnsi="Times New Roman"/>
          <w:sz w:val="18"/>
          <w:szCs w:val="18"/>
          <w:b w:val="1"/>
          <w:bCs w:val="1"/>
          <w:color w:val="auto"/>
        </w:rPr>
      </w:pPr>
    </w:p>
    <w:p>
      <w:pPr>
        <w:ind w:left="1000" w:hanging="708"/>
        <w:spacing w:after="0"/>
        <w:tabs>
          <w:tab w:leader="none" w:pos="100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Tax Filings</w:t>
      </w:r>
    </w:p>
    <w:p>
      <w:pPr>
        <w:spacing w:after="0" w:line="121" w:lineRule="exact"/>
        <w:rPr>
          <w:rFonts w:ascii="Times New Roman" w:cs="Times New Roman" w:eastAsia="Times New Roman" w:hAnsi="Times New Roman"/>
          <w:sz w:val="18"/>
          <w:szCs w:val="18"/>
          <w:b w:val="1"/>
          <w:bCs w:val="1"/>
          <w:color w:val="auto"/>
        </w:rPr>
      </w:pPr>
    </w:p>
    <w:p>
      <w:pPr>
        <w:ind w:left="1020" w:right="31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Tax Filing Authorised Person and any such other person, acting alone, as any Director shall designate from time to time, are authorised to file tax forms SS-4, W-8 BEN, W-8 IMY, W-9, 8832 and 2553 and such other similar tax forms as are customary to file with any US state or federal governmental authorities or foreign governmental authorities in connection with the formation, activities and/or elections of the Company and such other tax forms as may be approved from time to time by any Director or Officer. The Company further ratifies and approves any such filing made by any Tax Filing Authorised Person or such other person prior to the date of the Articles.</w:t>
      </w:r>
    </w:p>
    <w:p>
      <w:pPr>
        <w:spacing w:after="0" w:line="184" w:lineRule="exact"/>
        <w:rPr>
          <w:rFonts w:ascii="Times New Roman" w:cs="Times New Roman" w:eastAsia="Times New Roman" w:hAnsi="Times New Roman"/>
          <w:sz w:val="18"/>
          <w:szCs w:val="18"/>
          <w:b w:val="1"/>
          <w:bCs w:val="1"/>
          <w:color w:val="auto"/>
        </w:rPr>
      </w:pPr>
    </w:p>
    <w:p>
      <w:pPr>
        <w:ind w:left="1000" w:hanging="708"/>
        <w:spacing w:after="0"/>
        <w:tabs>
          <w:tab w:leader="none" w:pos="100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Opportunities</w:t>
      </w:r>
    </w:p>
    <w:p>
      <w:pPr>
        <w:spacing w:after="0" w:line="121" w:lineRule="exact"/>
        <w:rPr>
          <w:sz w:val="20"/>
          <w:szCs w:val="20"/>
          <w:color w:val="auto"/>
        </w:rPr>
      </w:pPr>
    </w:p>
    <w:p>
      <w:pPr>
        <w:ind w:left="1000" w:right="49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52.1</w:t>
      </w:r>
      <w:r>
        <w:rPr>
          <w:sz w:val="20"/>
          <w:szCs w:val="20"/>
          <w:color w:val="auto"/>
        </w:rPr>
        <w:tab/>
      </w:r>
      <w:r>
        <w:rPr>
          <w:rFonts w:ascii="Times New Roman" w:cs="Times New Roman" w:eastAsia="Times New Roman" w:hAnsi="Times New Roman"/>
          <w:sz w:val="18"/>
          <w:szCs w:val="18"/>
          <w:color w:val="auto"/>
        </w:rPr>
        <w:t>To the fullest extent permitted by Applicable Law, no individual serving as a Director who is not also an employee of the Company or its subsidiaries (“</w:t>
      </w:r>
      <w:r>
        <w:rPr>
          <w:rFonts w:ascii="Times New Roman" w:cs="Times New Roman" w:eastAsia="Times New Roman" w:hAnsi="Times New Roman"/>
          <w:sz w:val="18"/>
          <w:szCs w:val="18"/>
          <w:b w:val="1"/>
          <w:bCs w:val="1"/>
          <w:color w:val="auto"/>
        </w:rPr>
        <w:t>Specified Directors</w:t>
      </w:r>
      <w:r>
        <w:rPr>
          <w:rFonts w:ascii="Times New Roman" w:cs="Times New Roman" w:eastAsia="Times New Roman" w:hAnsi="Times New Roman"/>
          <w:sz w:val="18"/>
          <w:szCs w:val="18"/>
          <w:color w:val="auto"/>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79"/>
        <w:spacing w:after="0" w:line="254" w:lineRule="auto"/>
        <w:rPr>
          <w:sz w:val="20"/>
          <w:szCs w:val="20"/>
          <w:color w:val="auto"/>
        </w:rPr>
      </w:pPr>
      <w:r>
        <w:rPr>
          <w:rFonts w:ascii="Times New Roman" w:cs="Times New Roman" w:eastAsia="Times New Roman" w:hAnsi="Times New Roman"/>
          <w:sz w:val="18"/>
          <w:szCs w:val="18"/>
          <w:color w:val="auto"/>
        </w:rPr>
        <w:t>offered an opportunity to participate in, any potential transaction or matter which may be a corporate opportunity for any Specified Director, on the one hand, and the Company, on the other. Except to the extent expressly assumed by contract, to the fullest extent permitted by Applicable Law, a Specified Director shall have no duty to communicate or offer any such corporate opportunity to the Company and shall not be liable to the Company or its Members for breach of any fiduciary duty as a Member or Director solely by reason of the fact that such Specified Director pursues or acquires such corporate opportunity for himself or herself, directs such corporate opportunity to another person, or does not communicate information regarding such corporate opportunity to the Company.</w:t>
      </w:r>
    </w:p>
    <w:p>
      <w:pPr>
        <w:spacing w:after="0" w:line="84" w:lineRule="exact"/>
        <w:rPr>
          <w:sz w:val="20"/>
          <w:szCs w:val="20"/>
          <w:color w:val="auto"/>
        </w:rPr>
      </w:pPr>
    </w:p>
    <w:p>
      <w:pPr>
        <w:ind w:left="1000" w:right="319" w:hanging="714"/>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52.2</w:t>
      </w:r>
      <w:r>
        <w:rPr>
          <w:sz w:val="20"/>
          <w:szCs w:val="20"/>
          <w:color w:val="auto"/>
        </w:rPr>
        <w:tab/>
      </w:r>
      <w:r>
        <w:rPr>
          <w:rFonts w:ascii="Times New Roman" w:cs="Times New Roman" w:eastAsia="Times New Roman" w:hAnsi="Times New Roman"/>
          <w:sz w:val="18"/>
          <w:szCs w:val="18"/>
          <w:color w:val="auto"/>
        </w:rPr>
        <w:t>Notwithstanding anything to the contrary in this Article 52, this Article 52 shall not apply to any potential transaction or matter that may be a corporate opportunity for the Company or any of its subsidiaries presented to a Specified Director expressly in his or her capacity as a director of the Company or any of its subsidiaries.</w:t>
      </w:r>
    </w:p>
    <w:p>
      <w:pPr>
        <w:spacing w:after="0" w:line="72" w:lineRule="exact"/>
        <w:rPr>
          <w:sz w:val="20"/>
          <w:szCs w:val="20"/>
          <w:color w:val="auto"/>
        </w:rPr>
      </w:pPr>
    </w:p>
    <w:p>
      <w:pPr>
        <w:ind w:left="1000" w:right="339" w:hanging="714"/>
        <w:spacing w:after="0" w:line="258" w:lineRule="auto"/>
        <w:tabs>
          <w:tab w:leader="none" w:pos="980" w:val="left"/>
        </w:tabs>
        <w:rPr>
          <w:sz w:val="20"/>
          <w:szCs w:val="20"/>
          <w:color w:val="auto"/>
        </w:rPr>
      </w:pPr>
      <w:r>
        <w:rPr>
          <w:rFonts w:ascii="Times New Roman" w:cs="Times New Roman" w:eastAsia="Times New Roman" w:hAnsi="Times New Roman"/>
          <w:sz w:val="18"/>
          <w:szCs w:val="18"/>
          <w:color w:val="auto"/>
        </w:rPr>
        <w:t>52.3</w:t>
      </w:r>
      <w:r>
        <w:rPr>
          <w:sz w:val="20"/>
          <w:szCs w:val="20"/>
          <w:color w:val="auto"/>
        </w:rPr>
        <w:tab/>
      </w:r>
      <w:r>
        <w:rPr>
          <w:rFonts w:ascii="Times New Roman" w:cs="Times New Roman" w:eastAsia="Times New Roman" w:hAnsi="Times New Roman"/>
          <w:sz w:val="18"/>
          <w:szCs w:val="18"/>
          <w:color w:val="auto"/>
        </w:rPr>
        <w:t>To the extent a court might hold that the conduct of any activity related to a corporate opportunity that is renounced in this Article is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3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99"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undersigned, for the purposes of incorporating and organizing a corporation under the General Corporation Law of the State of Delaware (as from time to time in effect, the “</w:t>
      </w:r>
      <w:r>
        <w:rPr>
          <w:rFonts w:ascii="Times New Roman" w:cs="Times New Roman" w:eastAsia="Times New Roman" w:hAnsi="Times New Roman"/>
          <w:sz w:val="18"/>
          <w:szCs w:val="18"/>
          <w:u w:val="single" w:color="auto"/>
          <w:color w:val="auto"/>
        </w:rPr>
        <w:t>General Corporation Law</w:t>
      </w:r>
      <w:r>
        <w:rPr>
          <w:rFonts w:ascii="Times New Roman" w:cs="Times New Roman" w:eastAsia="Times New Roman" w:hAnsi="Times New Roman"/>
          <w:sz w:val="18"/>
          <w:szCs w:val="18"/>
          <w:color w:val="auto"/>
        </w:rPr>
        <w:t>”), does execute this Certificate of Incorporation and hereby certifies as follows:</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Corporation is ProKidney Corp.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Address; Registered Office and Agent</w:t>
      </w:r>
      <w:r>
        <w:rPr>
          <w:rFonts w:ascii="Times New Roman" w:cs="Times New Roman" w:eastAsia="Times New Roman" w:hAnsi="Times New Roman"/>
          <w:sz w:val="18"/>
          <w:szCs w:val="18"/>
          <w:color w:val="auto"/>
        </w:rPr>
        <w:t>. The address of the Corporation’s registered office in the State of Delaware is c/o Corporation Service Company, 251 Little Falls Drive, City of Wilmington, County of New Castle, State of Delaware 19808 and the name of its registered agent at such address is the Corporation Service Company.</w:t>
      </w:r>
    </w:p>
    <w:p>
      <w:pPr>
        <w:spacing w:after="0" w:line="72" w:lineRule="exact"/>
        <w:rPr>
          <w:sz w:val="20"/>
          <w:szCs w:val="20"/>
          <w:color w:val="auto"/>
        </w:rPr>
      </w:pPr>
    </w:p>
    <w:p>
      <w:pPr>
        <w:ind w:left="660" w:right="10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Corporation is to engage in any lawful act or activity for which corporations may be organized under the General Corporation Law.</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4.1   The total number of shares of all classes of capital stock that the Corporation shall have</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authority to issue is 1,250,000,000 shares, consisting of: (i) 1,200,000,000 shares of common stock,</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divided into (a) 700,000,000 shares of Class A common stock, with the par value of $0.0001 per share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and (b) 500,000,000 shares of Class B common stock, with the par value of</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$0.0001 per share (the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and, together with Class A Common Stock,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50,000,000 shares of preferred stock, with the par value of $0.0001 per share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020" w:right="339" w:firstLine="360"/>
        <w:spacing w:after="0" w:line="253" w:lineRule="auto"/>
        <w:rPr>
          <w:sz w:val="20"/>
          <w:szCs w:val="20"/>
          <w:color w:val="auto"/>
        </w:rPr>
      </w:pPr>
      <w:r>
        <w:rPr>
          <w:rFonts w:ascii="Times New Roman" w:cs="Times New Roman" w:eastAsia="Times New Roman" w:hAnsi="Times New Roman"/>
          <w:sz w:val="18"/>
          <w:szCs w:val="18"/>
          <w:color w:val="auto"/>
        </w:rPr>
        <w:t>4.2  Subject to the rights of the holders of any one or more series of Preferred Stock then outstanding, the number of authorized shares of any of the Common Stock, Class A Common Stock, Class B Common Stock or the Preferred Stock may be increased or decreased, in each case by the affirmative vote of the holders of a majority of the total voting power of the outstanding shares of capital stock of the Corporation entitled to vote thereon, voting together as a single class, irrespective of the provisions of Section 242(b)(2) of the General Corporation Law, and no vote of the holders of any of the Common Stock, Class A Common Stock, Class B Common Stock or the Preferred Stock voting separately as a class will be required therefor. Notwithstanding the immediately preceding sentence, the number of authorized shares of any particular class may not be decreased below the number of shares of such class then outstanding, plus:</w:t>
      </w:r>
    </w:p>
    <w:p>
      <w:pPr>
        <w:spacing w:after="0" w:line="86" w:lineRule="exact"/>
        <w:rPr>
          <w:sz w:val="20"/>
          <w:szCs w:val="20"/>
          <w:color w:val="auto"/>
        </w:rPr>
      </w:pPr>
    </w:p>
    <w:p>
      <w:pPr>
        <w:jc w:val="both"/>
        <w:ind w:left="1380" w:right="619" w:firstLine="360"/>
        <w:spacing w:after="0" w:line="258" w:lineRule="auto"/>
        <w:rPr>
          <w:sz w:val="20"/>
          <w:szCs w:val="20"/>
          <w:color w:val="auto"/>
        </w:rPr>
      </w:pPr>
      <w:r>
        <w:rPr>
          <w:rFonts w:ascii="Times New Roman" w:cs="Times New Roman" w:eastAsia="Times New Roman" w:hAnsi="Times New Roman"/>
          <w:sz w:val="18"/>
          <w:szCs w:val="18"/>
          <w:color w:val="auto"/>
        </w:rPr>
        <w:t>(i)  in the case of Class A Common Stock, the number of shares of Class A Common Stock issuable in connection with (x) the exchange of all outstanding shares of Class B Common Stock, together with the corresponding Common Units, pursuant to the Exchange Agreement and (y) the exercise of outstanding options, warrants, exchange rights, conversion rights or similar rights for Class A Common Stock; and</w:t>
      </w:r>
    </w:p>
    <w:p>
      <w:pPr>
        <w:spacing w:after="0" w:line="75" w:lineRule="exact"/>
        <w:rPr>
          <w:sz w:val="20"/>
          <w:szCs w:val="20"/>
          <w:color w:val="auto"/>
        </w:rPr>
      </w:pPr>
    </w:p>
    <w:p>
      <w:pPr>
        <w:ind w:left="1380" w:right="319" w:firstLine="360"/>
        <w:spacing w:after="0" w:line="266" w:lineRule="auto"/>
        <w:rPr>
          <w:sz w:val="20"/>
          <w:szCs w:val="20"/>
          <w:color w:val="auto"/>
        </w:rPr>
      </w:pPr>
      <w:r>
        <w:rPr>
          <w:rFonts w:ascii="Times New Roman" w:cs="Times New Roman" w:eastAsia="Times New Roman" w:hAnsi="Times New Roman"/>
          <w:sz w:val="18"/>
          <w:szCs w:val="18"/>
          <w:color w:val="auto"/>
        </w:rPr>
        <w:t>(ii)  in the case of Class B Common Stock, the number of shares of Class B Common Stock issuable in connection with the exercise of outstanding options, warrants, exchange rights, conversion rights or similar rights.</w:t>
      </w:r>
    </w:p>
    <w:p>
      <w:pPr>
        <w:spacing w:after="0" w:line="68" w:lineRule="exact"/>
        <w:rPr>
          <w:sz w:val="20"/>
          <w:szCs w:val="20"/>
          <w:color w:val="auto"/>
        </w:rPr>
      </w:pPr>
    </w:p>
    <w:p>
      <w:pPr>
        <w:ind w:left="660" w:right="5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Classes of Shares</w:t>
      </w:r>
      <w:r>
        <w:rPr>
          <w:rFonts w:ascii="Times New Roman" w:cs="Times New Roman" w:eastAsia="Times New Roman" w:hAnsi="Times New Roman"/>
          <w:sz w:val="18"/>
          <w:szCs w:val="18"/>
          <w:color w:val="auto"/>
        </w:rPr>
        <w:t>. The designation, relative rights, preferences and limitations of the shares of each class of stock are as follows:</w:t>
      </w: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740" w:right="479" w:firstLine="360"/>
        <w:spacing w:after="0" w:line="266" w:lineRule="auto"/>
        <w:rPr>
          <w:sz w:val="20"/>
          <w:szCs w:val="20"/>
          <w:color w:val="auto"/>
        </w:rPr>
      </w:pPr>
      <w:r>
        <w:rPr>
          <w:rFonts w:ascii="Times New Roman" w:cs="Times New Roman" w:eastAsia="Times New Roman" w:hAnsi="Times New Roman"/>
          <w:sz w:val="18"/>
          <w:szCs w:val="18"/>
          <w:color w:val="auto"/>
        </w:rPr>
        <w:t>(1)  Each holder of Class A Common Stock will be entitled to one vote for each share of Class A Common Stock held of record by such holder on all matters on which stockholders generally are entitled to vote, and each holder of Class B Common Stock will be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740" w:right="339"/>
        <w:spacing w:after="0" w:line="253" w:lineRule="auto"/>
        <w:rPr>
          <w:sz w:val="20"/>
          <w:szCs w:val="20"/>
          <w:color w:val="auto"/>
        </w:rPr>
      </w:pPr>
      <w:r>
        <w:rPr>
          <w:rFonts w:ascii="Times New Roman" w:cs="Times New Roman" w:eastAsia="Times New Roman" w:hAnsi="Times New Roman"/>
          <w:sz w:val="18"/>
          <w:szCs w:val="18"/>
          <w:color w:val="auto"/>
        </w:rPr>
        <w:t>entitled to one vote for each share of Class B Common Stock held of record by such holder on all matters on which stockholders generally are entitled to vote, except that, in each case, to the fullest extent permitted by law and subject to Section 5‎.1(i)(2), holders of shares of each class of Common Stock, as such, will have no voting power with respect to, and will not be entitled to vote on, any amendment to this Certificate of Incorporation (including any certificate of designations relating to any series of Preferred Stock) that relates solely to the terms of any outstanding series of Preferred Stock if the holders of such series of Preferred Stock are entitled, either separately or together with the holders of one or more other such series, to vote or consent thereon pursuant to this Certificate of Incorporation (including any certificate of designations relating to any series of Preferred Stock) or under the General Corporation Law.</w:t>
      </w:r>
    </w:p>
    <w:p>
      <w:pPr>
        <w:spacing w:after="0" w:line="86" w:lineRule="exact"/>
        <w:rPr>
          <w:sz w:val="20"/>
          <w:szCs w:val="20"/>
          <w:color w:val="auto"/>
        </w:rPr>
      </w:pPr>
    </w:p>
    <w:p>
      <w:pPr>
        <w:ind w:left="1740" w:right="319" w:firstLine="360"/>
        <w:spacing w:after="0" w:line="254" w:lineRule="auto"/>
        <w:rPr>
          <w:sz w:val="20"/>
          <w:szCs w:val="20"/>
          <w:color w:val="auto"/>
        </w:rPr>
      </w:pPr>
      <w:r>
        <w:rPr>
          <w:rFonts w:ascii="Times New Roman" w:cs="Times New Roman" w:eastAsia="Times New Roman" w:hAnsi="Times New Roman"/>
          <w:sz w:val="18"/>
          <w:szCs w:val="18"/>
          <w:color w:val="auto"/>
        </w:rPr>
        <w:t>(2)  (a) The holders of the outstanding shares of Class A Common Stock shall be entitled to vote separately upon any amendment to this Certificate of Incorporation (including by merger, conversion, consolidation, reorganization or similar event) that would alter or change the powers, preferences or special rights of such class of Common Stock in a manner that is adverse as compared to the Class B Common Stock and (b) the holders of the outstanding shares of Class B Common Stock shall be entitled to vote separately upon any amendment to this Certificate of Incorporation (including by merger, conversion, consolidation, reorganization or similar event) that would alter or change the powers, preferences or special rights of such class of Common Stock in a manner that is adverse as compared to the Class A Common Stock.</w:t>
      </w:r>
    </w:p>
    <w:p>
      <w:pPr>
        <w:spacing w:after="0" w:line="80" w:lineRule="exact"/>
        <w:rPr>
          <w:sz w:val="20"/>
          <w:szCs w:val="20"/>
          <w:color w:val="auto"/>
        </w:rPr>
      </w:pPr>
    </w:p>
    <w:p>
      <w:pPr>
        <w:ind w:left="1740" w:right="399" w:firstLine="360"/>
        <w:spacing w:after="0" w:line="261" w:lineRule="auto"/>
        <w:rPr>
          <w:sz w:val="20"/>
          <w:szCs w:val="20"/>
          <w:color w:val="auto"/>
        </w:rPr>
      </w:pPr>
      <w:r>
        <w:rPr>
          <w:rFonts w:ascii="Times New Roman" w:cs="Times New Roman" w:eastAsia="Times New Roman" w:hAnsi="Times New Roman"/>
          <w:sz w:val="18"/>
          <w:szCs w:val="18"/>
          <w:color w:val="auto"/>
        </w:rPr>
        <w:t>(3)  Except as otherwise required in this Certificate of Incorporation or by applicable law, the holders of Common Stock will vote together as a single class on all matters (or, if any holders of Preferred Stock are entitled to vote together with the holders of Common Stock, as a single class with the holders of Preferred Stock).</w:t>
      </w:r>
    </w:p>
    <w:p>
      <w:pPr>
        <w:spacing w:after="0" w:line="11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Dividends; Stock Splits or Combinations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740" w:right="379" w:firstLine="360"/>
        <w:spacing w:after="0" w:line="255" w:lineRule="auto"/>
        <w:rPr>
          <w:sz w:val="20"/>
          <w:szCs w:val="20"/>
          <w:color w:val="auto"/>
        </w:rPr>
      </w:pPr>
      <w:r>
        <w:rPr>
          <w:rFonts w:ascii="Times New Roman" w:cs="Times New Roman" w:eastAsia="Times New Roman" w:hAnsi="Times New Roman"/>
          <w:sz w:val="18"/>
          <w:szCs w:val="18"/>
          <w:color w:val="auto"/>
        </w:rPr>
        <w:t>(1)  Subject to applicable law and the rights, if any, of the holders of any outstanding series of Preferred Stock or any class or series of stock having a preference senior to or the right to participate with the Class A Common Stock with respect to the payment of dividends, dividends of cash, stock or property may be declared and paid on the Class A Common Stock out of the assets of the Corporation that are by law available therefor, at the times and in the amounts as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in its discretion may determine, and shall share equally on a per share basis in such dividends.</w:t>
      </w:r>
    </w:p>
    <w:p>
      <w:pPr>
        <w:spacing w:after="0" w:line="81" w:lineRule="exact"/>
        <w:rPr>
          <w:sz w:val="20"/>
          <w:szCs w:val="20"/>
          <w:color w:val="auto"/>
        </w:rPr>
      </w:pPr>
    </w:p>
    <w:p>
      <w:pPr>
        <w:ind w:left="1740" w:right="439" w:firstLine="360"/>
        <w:spacing w:after="0" w:line="282" w:lineRule="auto"/>
        <w:rPr>
          <w:sz w:val="20"/>
          <w:szCs w:val="20"/>
          <w:color w:val="auto"/>
        </w:rPr>
      </w:pPr>
      <w:r>
        <w:rPr>
          <w:rFonts w:ascii="Times New Roman" w:cs="Times New Roman" w:eastAsia="Times New Roman" w:hAnsi="Times New Roman"/>
          <w:sz w:val="18"/>
          <w:szCs w:val="18"/>
          <w:color w:val="auto"/>
        </w:rPr>
        <w:t>(2)  Except as provided in Section 5‎.1(ii)(3) with respect to stock dividends, dividends of cash or property shall not be declared or paid on shares of Class B Common Stock.</w:t>
      </w:r>
    </w:p>
    <w:p>
      <w:pPr>
        <w:spacing w:after="0" w:line="54" w:lineRule="exact"/>
        <w:rPr>
          <w:sz w:val="20"/>
          <w:szCs w:val="20"/>
          <w:color w:val="auto"/>
        </w:rPr>
      </w:pPr>
    </w:p>
    <w:p>
      <w:pPr>
        <w:ind w:left="1740" w:right="419" w:firstLine="360"/>
        <w:spacing w:after="0" w:line="254" w:lineRule="auto"/>
        <w:rPr>
          <w:sz w:val="20"/>
          <w:szCs w:val="20"/>
          <w:color w:val="auto"/>
        </w:rPr>
      </w:pPr>
      <w:r>
        <w:rPr>
          <w:rFonts w:ascii="Times New Roman" w:cs="Times New Roman" w:eastAsia="Times New Roman" w:hAnsi="Times New Roman"/>
          <w:sz w:val="18"/>
          <w:szCs w:val="18"/>
          <w:color w:val="auto"/>
        </w:rPr>
        <w:t>(3)  In no event will any stock dividend, stock split, reverse stock split, combination of stock, subdivision of stock, reclassification or recapitalization be declared or made on any class of Common Stock (each, a “</w:t>
      </w:r>
      <w:r>
        <w:rPr>
          <w:rFonts w:ascii="Times New Roman" w:cs="Times New Roman" w:eastAsia="Times New Roman" w:hAnsi="Times New Roman"/>
          <w:sz w:val="18"/>
          <w:szCs w:val="18"/>
          <w:u w:val="single" w:color="auto"/>
          <w:color w:val="auto"/>
        </w:rPr>
        <w:t>Stock Adjustment</w:t>
      </w:r>
      <w:r>
        <w:rPr>
          <w:rFonts w:ascii="Times New Roman" w:cs="Times New Roman" w:eastAsia="Times New Roman" w:hAnsi="Times New Roman"/>
          <w:sz w:val="18"/>
          <w:szCs w:val="18"/>
          <w:color w:val="auto"/>
        </w:rPr>
        <w:t>”) unless (a) a corresponding Stock Adjustment for all other classes of Common Stock not so adjusted at the time outstanding is made in the same proportion and the same manner and (b) the Stock Adjustment has been reflected in the same economically equivalent manner on all Common Units. Stock dividends with respect to each class of Common Stock may only be declared and paid with shares of stock of the same class of Common Stock.</w:t>
      </w:r>
    </w:p>
    <w:p>
      <w:pPr>
        <w:spacing w:after="0" w:line="84" w:lineRule="exact"/>
        <w:rPr>
          <w:sz w:val="20"/>
          <w:szCs w:val="20"/>
          <w:color w:val="auto"/>
        </w:rPr>
      </w:pPr>
    </w:p>
    <w:p>
      <w:pPr>
        <w:ind w:left="138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Subject to applicable law, in the event of any voluntary or involuntary liquidation, dissolution or winding-up of the affairs of the Corporation, after payment or provision for payment of the debts and other liabilities of the Corporation and of the preferential and other amounts, if any, to which the holders of any outstanding series of Preferred Stock are entitled, if any, the holders of all outstanding shares of Class A Common Stock will be entitled to receive,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holders of outstanding shares of Class B Common Stock, an amount per share equal to the par value thereof, and thereafter the holders of all outstanding shares of Class A Common Stock will be entitled to receive the remaining assets of the Corporation available for distribution ratably in proportion to the number of shares of Class A Common Stock. Without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80" w:right="419"/>
        <w:spacing w:after="0" w:line="253" w:lineRule="auto"/>
        <w:rPr>
          <w:sz w:val="20"/>
          <w:szCs w:val="20"/>
          <w:color w:val="auto"/>
        </w:rPr>
      </w:pPr>
      <w:r>
        <w:rPr>
          <w:rFonts w:ascii="Times New Roman" w:cs="Times New Roman" w:eastAsia="Times New Roman" w:hAnsi="Times New Roman"/>
          <w:sz w:val="18"/>
          <w:szCs w:val="18"/>
          <w:color w:val="auto"/>
        </w:rPr>
        <w:t xml:space="preserve">limiting the rights of the holders of the outstanding shares of Class B Common Stock to exchange their shares of Class B Common Stock, together with the corresponding Common Units constituting the remainder of any Paired Interests in which such shares are included, for shares of Class A Common Stock in accordance with the Exchange Agreement (or for the consideration payable in respect of shares of Class A Common Stock in such voluntary or involuntary liquidation, dissolution or winding-up), the holders of outstanding shares of Class B Common Stock, as such, will not be entitled to receive, with respect to such shares, any assets of the Corporation in excess of the par value thereof (which such payment shall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holders of outstanding shares of Class A Common Stock), in the event of any voluntary or involuntary liquidation, dissolution or winding up of the affairs of the Corporation.</w:t>
      </w:r>
    </w:p>
    <w:p>
      <w:pPr>
        <w:spacing w:after="0" w:line="86" w:lineRule="exact"/>
        <w:rPr>
          <w:sz w:val="20"/>
          <w:szCs w:val="20"/>
          <w:color w:val="auto"/>
        </w:rPr>
      </w:pPr>
    </w:p>
    <w:p>
      <w:pPr>
        <w:ind w:left="102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The Board is hereby expressly authorized, subject to any limitations prescribed by the General Corporation Law, by resolution or resolutions, at any time and from time to time, to provide, out of the authorized but unissued shares of Preferred Stock, for one or more series of Preferred Stock and, with respect to each such series, to fix the number of shares constituting such series, and the designation of such series, the voting powers (whether none, limited or full)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hereinabove authorized. The powers, including voting powers (whether none, limited or full), preferences and relative, participating, optional and other special rights, if any, of each series of Preferred Stock, and the qualifications, limitations or restrictions thereof, if any, may differ from those of any and all other series at any time outstanding.</w:t>
      </w:r>
    </w:p>
    <w:p>
      <w:pPr>
        <w:spacing w:after="0" w:line="1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Retirement of Class B Shares</w:t>
      </w:r>
      <w:r>
        <w:rPr>
          <w:rFonts w:ascii="Times New Roman" w:cs="Times New Roman" w:eastAsia="Times New Roman" w:hAnsi="Times New Roman"/>
          <w:sz w:val="18"/>
          <w:szCs w:val="18"/>
          <w:color w:val="auto"/>
        </w:rPr>
        <w:t>. No holder of Class B Common Stock may transfer shares of Class B Common Stock to any person unless such holder transfers a corresponding number of Common Units to the same person in accordance with the provisions of the LLC Agreement. If any outstanding share of Class B Common Stock ceases to be held by a holder of the corresponding Common Unit, as set forth in the books and records of ProKidney Holdings, LLC, such share shall automatically and without further action on the part of the Corporation or any holder of Class B Common Stock be transferred to the Corporation for no consideration and retired, and any purported transfer of Class B Common Stock which does not include the simultaneous transfer of a corresponding number of such holder’s Common Units to such transferee or is otherwise not in accordance with the LLC Agreement and/or Exchange Agreement, as applicable, shall be null and void and such transferee shall not obtain any rights in and to such shares of Class B Common Stock, nor shall such transferee be recognized by the Corporation’s transfer agent.</w:t>
      </w:r>
    </w:p>
    <w:p>
      <w:pPr>
        <w:spacing w:after="0" w:line="84" w:lineRule="exact"/>
        <w:rPr>
          <w:sz w:val="20"/>
          <w:szCs w:val="20"/>
          <w:color w:val="auto"/>
        </w:rPr>
      </w:pPr>
    </w:p>
    <w:p>
      <w:pPr>
        <w:ind w:left="1020" w:right="3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Reservation of Shares of Class A Common Stock</w:t>
      </w:r>
      <w:r>
        <w:rPr>
          <w:rFonts w:ascii="Times New Roman" w:cs="Times New Roman" w:eastAsia="Times New Roman" w:hAnsi="Times New Roman"/>
          <w:sz w:val="18"/>
          <w:szCs w:val="18"/>
          <w:color w:val="auto"/>
        </w:rPr>
        <w:t>. The Corporation will at all times reserve and keep available out of its authorized and unissued shares of Class A Common Stock, solely for the purpose of the issuance in connection with the exchange of Paired Interests, the number of shares of Class A Common Stock that are issuable upon conversion of all outstanding Paired Interests, pursuant to the Exchange Agreement. The Corporation covenants that all the shares of Class A Common Stock that are issued upon the exchange of such Paired Interests will, upon issuance, be validly issued, fully paid and non-assessable.</w:t>
      </w:r>
    </w:p>
    <w:p>
      <w:pPr>
        <w:spacing w:after="0" w:line="81" w:lineRule="exact"/>
        <w:rPr>
          <w:sz w:val="20"/>
          <w:szCs w:val="20"/>
          <w:color w:val="auto"/>
        </w:rPr>
      </w:pPr>
    </w:p>
    <w:p>
      <w:pPr>
        <w:ind w:left="1020" w:right="3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The issuance of shares of Class A Common Stock upon the exercise by holders of Common Units of their right under the Exchange Agreement to exchange Paired Interests for shares of Class A Common Stock will be made without charge to such holders for any transfer taxes, stamp taxes or duties or other similar tax in respect of the issuance;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such shares of Class A Common Stock are to be issued in a name other than that of the then record holder of the Paired Interests being exchanged (or The Depository Trust Company or its nominee for the account of a participant of The Depository Trust Company that will hold the shares for the account of such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39"/>
        <w:spacing w:after="0" w:line="261" w:lineRule="auto"/>
        <w:rPr>
          <w:sz w:val="20"/>
          <w:szCs w:val="20"/>
          <w:color w:val="auto"/>
        </w:rPr>
      </w:pPr>
      <w:r>
        <w:rPr>
          <w:rFonts w:ascii="Times New Roman" w:cs="Times New Roman" w:eastAsia="Times New Roman" w:hAnsi="Times New Roman"/>
          <w:sz w:val="18"/>
          <w:szCs w:val="18"/>
          <w:color w:val="auto"/>
        </w:rPr>
        <w:t>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72" w:lineRule="exact"/>
        <w:rPr>
          <w:sz w:val="20"/>
          <w:szCs w:val="20"/>
          <w:color w:val="auto"/>
        </w:rPr>
      </w:pPr>
    </w:p>
    <w:p>
      <w:pPr>
        <w:ind w:left="1020" w:right="339" w:firstLine="360"/>
        <w:spacing w:after="0" w:line="281"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Preemptive Rights</w:t>
      </w:r>
      <w:r>
        <w:rPr>
          <w:rFonts w:ascii="Times New Roman" w:cs="Times New Roman" w:eastAsia="Times New Roman" w:hAnsi="Times New Roman"/>
          <w:sz w:val="17"/>
          <w:szCs w:val="17"/>
          <w:color w:val="auto"/>
        </w:rPr>
        <w:t>. To the extent Common Units are issued pursuant to the LLC Agreement to anyone other than the Corporation or a wholly owned subsidiary of the Corporation, an equivalent number of shares of Class B Common Stock (subject to adjustment as set forth herein) shall to the fullest extent permitted by law be issued to the same Person to which such Common Units are issued at par value.</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380" w:right="299" w:firstLine="360"/>
        <w:spacing w:after="0" w:line="254" w:lineRule="auto"/>
        <w:rPr>
          <w:sz w:val="20"/>
          <w:szCs w:val="20"/>
          <w:color w:val="auto"/>
        </w:rPr>
      </w:pPr>
      <w:r>
        <w:rPr>
          <w:rFonts w:ascii="Times New Roman" w:cs="Times New Roman" w:eastAsia="Times New Roman" w:hAnsi="Times New Roman"/>
          <w:sz w:val="18"/>
          <w:szCs w:val="18"/>
          <w:color w:val="auto"/>
        </w:rPr>
        <w:t>(i)  Unless and except to the extent that the By-laws of the Corporation (as such By-laws may be amended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require, the election of the directors of the Corporation (the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need not be by written ballot. Except as otherwise provided for or fixed pursuant to the provisions of Section 5.2 of this Certificate of Incorporation relating to the rights of the holders of any series of Preferred Stock to elect additional Directors, the total number of Directors constituting the entire Board shall, (a) as of the date of this Certificate of Incorporation, initially be eight (8) and (b) thereafter, shall be determined exclusively by one or more resolutions adopted from time to time by the Board. The initial Directors of the Board are listed below:</w:t>
      </w:r>
    </w:p>
    <w:p>
      <w:pPr>
        <w:sectPr>
          <w:pgSz w:w="11900" w:h="16838" w:orient="portrait"/>
          <w:cols w:equalWidth="0" w:num="1">
            <w:col w:w="9019"/>
          </w:cols>
          <w:pgMar w:left="1440" w:top="263" w:right="1440" w:bottom="1440" w:gutter="0" w:footer="0" w:header="0"/>
        </w:sectPr>
      </w:pPr>
    </w:p>
    <w:p>
      <w:pPr>
        <w:spacing w:after="0" w:line="1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Pablo Legorreta</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2000 Frontis Plaza Blvd., Suite 250, Winston-Salem, NC 27103</w:t>
      </w:r>
    </w:p>
    <w:p>
      <w:pPr>
        <w:spacing w:after="0" w:line="48"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7"/>
          <w:szCs w:val="17"/>
          <w:color w:val="auto"/>
        </w:rPr>
        <w:t>Bruce Culleton, M.D.</w:t>
      </w:r>
    </w:p>
    <w:p>
      <w:pPr>
        <w:spacing w:after="0" w:line="20" w:lineRule="exact"/>
        <w:rPr>
          <w:sz w:val="20"/>
          <w:szCs w:val="20"/>
          <w:color w:val="auto"/>
        </w:rPr>
      </w:pPr>
      <w:r>
        <w:rPr>
          <w:sz w:val="20"/>
          <w:szCs w:val="20"/>
          <w:color w:val="auto"/>
        </w:rPr>
        <w:br w:type="column"/>
      </w:r>
    </w:p>
    <w:p>
      <w:pPr>
        <w:jc w:val="center"/>
        <w:ind w:right="619"/>
        <w:spacing w:after="0"/>
        <w:rPr>
          <w:sz w:val="20"/>
          <w:szCs w:val="20"/>
          <w:color w:val="auto"/>
        </w:rPr>
      </w:pPr>
      <w:r>
        <w:rPr>
          <w:rFonts w:ascii="Times New Roman" w:cs="Times New Roman" w:eastAsia="Times New Roman" w:hAnsi="Times New Roman"/>
          <w:sz w:val="17"/>
          <w:szCs w:val="17"/>
          <w:color w:val="auto"/>
        </w:rPr>
        <w:t>c/o 2000 Frontis Plaza Blvd., Suite 250, Winston-Salem, NC 27103</w:t>
      </w:r>
    </w:p>
    <w:p>
      <w:pPr>
        <w:spacing w:after="0" w:line="48" w:lineRule="exact"/>
        <w:rPr>
          <w:sz w:val="20"/>
          <w:szCs w:val="20"/>
          <w:color w:val="auto"/>
        </w:rPr>
      </w:pPr>
    </w:p>
    <w:p>
      <w:pPr>
        <w:sectPr>
          <w:pgSz w:w="11900" w:h="16838" w:orient="portrait"/>
          <w:cols w:equalWidth="0" w:num="2">
            <w:col w:w="2940" w:space="600"/>
            <w:col w:w="5479"/>
          </w:cols>
          <w:pgMar w:left="1440" w:top="263" w:right="1440"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7"/>
          <w:szCs w:val="17"/>
          <w:color w:val="auto"/>
        </w:rPr>
        <w:t>Uma Sinha,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 2000 Frontis Plaza Blvd., Suite 250, Winston-Salem, NC 27103</w:t>
      </w:r>
    </w:p>
    <w:p>
      <w:pPr>
        <w:spacing w:after="0" w:line="48"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7"/>
          <w:szCs w:val="17"/>
          <w:color w:val="auto"/>
        </w:rPr>
        <w:t>William F. Doyle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 2000 Frontis Plaza Blvd., Suite 250, Winston-Salem, NC 27103</w:t>
      </w:r>
    </w:p>
    <w:p>
      <w:pPr>
        <w:spacing w:after="0" w:line="48"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7"/>
          <w:szCs w:val="17"/>
          <w:color w:val="auto"/>
        </w:rPr>
        <w:t>Alan M. Lotvin, M.D.</w:t>
      </w:r>
    </w:p>
    <w:p>
      <w:pPr>
        <w:spacing w:after="0" w:line="20" w:lineRule="exact"/>
        <w:rPr>
          <w:sz w:val="20"/>
          <w:szCs w:val="20"/>
          <w:color w:val="auto"/>
        </w:rPr>
      </w:pPr>
      <w:r>
        <w:rPr>
          <w:sz w:val="20"/>
          <w:szCs w:val="20"/>
          <w:color w:val="auto"/>
        </w:rPr>
        <w:br w:type="column"/>
      </w:r>
    </w:p>
    <w:p>
      <w:pPr>
        <w:jc w:val="center"/>
        <w:ind w:right="619"/>
        <w:spacing w:after="0"/>
        <w:rPr>
          <w:sz w:val="20"/>
          <w:szCs w:val="20"/>
          <w:color w:val="auto"/>
        </w:rPr>
      </w:pPr>
      <w:r>
        <w:rPr>
          <w:rFonts w:ascii="Times New Roman" w:cs="Times New Roman" w:eastAsia="Times New Roman" w:hAnsi="Times New Roman"/>
          <w:sz w:val="17"/>
          <w:szCs w:val="17"/>
          <w:color w:val="auto"/>
        </w:rPr>
        <w:t>c/o 2000 Frontis Plaza Blvd., Suite 250, Winston-Salem, NC 27103</w:t>
      </w:r>
    </w:p>
    <w:p>
      <w:pPr>
        <w:spacing w:after="0" w:line="48" w:lineRule="exact"/>
        <w:rPr>
          <w:sz w:val="20"/>
          <w:szCs w:val="20"/>
          <w:color w:val="auto"/>
        </w:rPr>
      </w:pPr>
    </w:p>
    <w:p>
      <w:pPr>
        <w:sectPr>
          <w:pgSz w:w="11900" w:h="16838" w:orient="portrait"/>
          <w:cols w:equalWidth="0" w:num="2">
            <w:col w:w="2960" w:space="580"/>
            <w:col w:w="5479"/>
          </w:cols>
          <w:pgMar w:left="1440" w:top="263" w:right="1440"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7"/>
          <w:szCs w:val="17"/>
          <w:color w:val="auto"/>
        </w:rPr>
        <w:t>Brian J. G. Pereira, 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 2000 Frontis Plaza Blvd., Suite 250, Winston-Salem, NC 27103</w:t>
      </w:r>
    </w:p>
    <w:p>
      <w:pPr>
        <w:spacing w:after="0" w:line="48" w:lineRule="exact"/>
        <w:rPr>
          <w:sz w:val="20"/>
          <w:szCs w:val="20"/>
          <w:color w:val="auto"/>
        </w:rPr>
      </w:pPr>
    </w:p>
    <w:p>
      <w:pPr>
        <w:sectPr>
          <w:pgSz w:w="11900" w:h="16838" w:orient="portrait"/>
          <w:cols w:equalWidth="0" w:num="2">
            <w:col w:w="3180" w:space="360"/>
            <w:col w:w="5479"/>
          </w:cols>
          <w:pgMar w:left="1440" w:top="263" w:right="1440" w:bottom="1440" w:gutter="0" w:footer="0" w:header="0"/>
          <w:type w:val="continuous"/>
        </w:sectPr>
      </w:pPr>
    </w:p>
    <w:p>
      <w:pPr>
        <w:jc w:val="center"/>
        <w:ind w:left="840"/>
        <w:spacing w:after="0"/>
        <w:rPr>
          <w:sz w:val="20"/>
          <w:szCs w:val="20"/>
          <w:color w:val="auto"/>
        </w:rPr>
      </w:pPr>
      <w:r>
        <w:rPr>
          <w:rFonts w:ascii="Times New Roman" w:cs="Times New Roman" w:eastAsia="Times New Roman" w:hAnsi="Times New Roman"/>
          <w:sz w:val="17"/>
          <w:szCs w:val="17"/>
          <w:color w:val="auto"/>
        </w:rPr>
        <w:t>Jennifer Fox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 2000 Frontis Plaza Blvd., Suite 250, Winston-Salem, NC 27103</w:t>
      </w:r>
    </w:p>
    <w:p>
      <w:pPr>
        <w:spacing w:after="0" w:line="48"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7"/>
          <w:szCs w:val="17"/>
          <w:color w:val="auto"/>
        </w:rPr>
        <w:t>José Ignacio Jiménez</w:t>
      </w:r>
    </w:p>
    <w:p>
      <w:pPr>
        <w:spacing w:after="0" w:line="3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Santos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color w:val="auto"/>
        </w:rPr>
        <w:t>c/o 2000 Frontis Plaza Blvd., Suite 250, Winston-Salem, NC 27103</w:t>
      </w:r>
    </w:p>
    <w:p>
      <w:pPr>
        <w:spacing w:after="0" w:line="182" w:lineRule="exact"/>
        <w:rPr>
          <w:sz w:val="20"/>
          <w:szCs w:val="20"/>
          <w:color w:val="auto"/>
        </w:rPr>
      </w:pPr>
    </w:p>
    <w:p>
      <w:pPr>
        <w:sectPr>
          <w:pgSz w:w="11900" w:h="16838" w:orient="portrait"/>
          <w:cols w:equalWidth="0" w:num="2">
            <w:col w:w="2900" w:space="640"/>
            <w:col w:w="5479"/>
          </w:cols>
          <w:pgMar w:left="1440" w:top="263" w:right="1440" w:bottom="1440" w:gutter="0" w:footer="0" w:header="0"/>
          <w:type w:val="continuous"/>
        </w:sectPr>
      </w:pPr>
    </w:p>
    <w:p>
      <w:pPr>
        <w:ind w:left="1380" w:right="319" w:firstLine="360"/>
        <w:spacing w:after="0" w:line="252" w:lineRule="auto"/>
        <w:rPr>
          <w:sz w:val="20"/>
          <w:szCs w:val="20"/>
          <w:color w:val="auto"/>
        </w:rPr>
      </w:pPr>
      <w:r>
        <w:rPr>
          <w:rFonts w:ascii="Times New Roman" w:cs="Times New Roman" w:eastAsia="Times New Roman" w:hAnsi="Times New Roman"/>
          <w:sz w:val="18"/>
          <w:szCs w:val="18"/>
          <w:color w:val="auto"/>
        </w:rPr>
        <w:t>(ii)  During any period when the holders of any series of Preferred Stock have the right to elect additional Directors as provided for or fixed pursuant to the provisions of Section 5‎.2 (“</w:t>
      </w:r>
      <w:r>
        <w:rPr>
          <w:rFonts w:ascii="Times New Roman" w:cs="Times New Roman" w:eastAsia="Times New Roman" w:hAnsi="Times New Roman"/>
          <w:sz w:val="18"/>
          <w:szCs w:val="18"/>
          <w:u w:val="single" w:color="auto"/>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 Directors</w:t>
      </w:r>
      <w:r>
        <w:rPr>
          <w:rFonts w:ascii="Times New Roman" w:cs="Times New Roman" w:eastAsia="Times New Roman" w:hAnsi="Times New Roman"/>
          <w:sz w:val="18"/>
          <w:szCs w:val="18"/>
          <w:color w:val="auto"/>
        </w:rPr>
        <w:t>”), upon the commencement, and for the duration, of the period during which such right continues: (i) the then total authorized number of Directors of the Corporation fixed pursuant to Section 7.1(i) hereof shall automatically be increased by such specified number of Preferred Stock Directors, and the holders of the related Preferred Stock shall be entitled to elect the Preferred Stock Directors pursuant to the provisions of the certificate of designation for the series of Preferred Stock and (ii) each such Preferred Stock Director shall serve until such Preferred Stock Director’s successor shall have been duly elected and qualified, or until such Preferred Stock Director’s right to hold such directorship terminates pursuant to such provisions, whichever occurs earlier, subject to his or her earlier death, disqualification, resignation or removal. Except as otherwise provided by the Board in the resolution or resolutions establishing such series, whenever the holders of any series of Preferred Stock having such right to elect Preferred Stock Directors are divested of such right pursuant to the provisions of such stock, the terms of office of all such Preferred Stock Directors elected by the holders of such Preferred Stock, or elected to fill any vacancies resulting from the death, resignation, disqualification or removal of such Preferred Stock Directors, shall forthwith terminate and the total and authorized number of Directors shall be reduced accordingly, but in no case to less than the number of directors fixed pursuant to Section 7.1(i) hereof.</w:t>
      </w:r>
    </w:p>
    <w:p>
      <w:pPr>
        <w:spacing w:after="0" w:line="8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Staggered Board</w:t>
      </w:r>
      <w:r>
        <w:rPr>
          <w:rFonts w:ascii="Times New Roman" w:cs="Times New Roman" w:eastAsia="Times New Roman" w:hAnsi="Times New Roman"/>
          <w:sz w:val="18"/>
          <w:szCs w:val="18"/>
          <w:color w:val="auto"/>
        </w:rPr>
        <w:t>. The Board (other than Preferred Stock Directors) shall be divided into three</w:t>
      </w:r>
    </w:p>
    <w:p>
      <w:pPr>
        <w:spacing w:after="0" w:line="27" w:lineRule="exact"/>
        <w:rPr>
          <w:sz w:val="20"/>
          <w:szCs w:val="20"/>
          <w:color w:val="auto"/>
        </w:rPr>
      </w:pPr>
    </w:p>
    <w:p>
      <w:pPr>
        <w:ind w:left="1020" w:right="739" w:hanging="8"/>
        <w:spacing w:after="0" w:line="290" w:lineRule="auto"/>
        <w:tabs>
          <w:tab w:leader="none" w:pos="1275"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classes, apportioned to consist of, as nearly as possible, one-third of the total number of directors, designated Class I, Class II and Class III. Class I Directors shall initially serve until the first annual</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19"/>
        <w:spacing w:after="0" w:line="267" w:lineRule="auto"/>
        <w:rPr>
          <w:sz w:val="20"/>
          <w:szCs w:val="20"/>
          <w:color w:val="auto"/>
        </w:rPr>
      </w:pPr>
      <w:r>
        <w:rPr>
          <w:rFonts w:ascii="Times New Roman" w:cs="Times New Roman" w:eastAsia="Times New Roman" w:hAnsi="Times New Roman"/>
          <w:sz w:val="17"/>
          <w:szCs w:val="17"/>
          <w:color w:val="auto"/>
        </w:rPr>
        <w:t>meeting of stockholders following the effective time of this Certificate of Incorporation; Class II Directors shall initially serve until the second annual meeting of stockholders following the effective time of this Certificate of Incorporation; and Class III Directors shall initially serve until the third annual meeting of stockholders following the effective time of this Certificate of Incorporation. Each Director of each class, the term of which shall then expire, shall be elected to hold office for a term ending on the date of the third annual meeting of stockholders next following the annual meeting at which such director was elected. In case of any increase or decrease, from time to time, in the number of Directors (other than Preferred Stock Directors), the number of Directors in each class shall be apportioned to consist of, as nearly as possible, one-third of the total number of directors in the sole discretion of the Board. As of the effective time of this Certificate of Incorporation, (i) the Class I Directors are William F. Doyle, Alan M Lotvin, M.D., Brian J.D. Pereria, M.D., (ii) the Class II Directors are Jennifer Fox and José Ignacio Jiménez Santos and</w:t>
      </w:r>
    </w:p>
    <w:p>
      <w:pPr>
        <w:spacing w:after="0" w:line="2" w:lineRule="exact"/>
        <w:rPr>
          <w:sz w:val="20"/>
          <w:szCs w:val="20"/>
          <w:color w:val="auto"/>
        </w:rPr>
      </w:pPr>
    </w:p>
    <w:p>
      <w:pPr>
        <w:ind w:left="1020" w:right="439" w:hanging="8"/>
        <w:spacing w:after="0" w:line="252" w:lineRule="auto"/>
        <w:tabs>
          <w:tab w:leader="none" w:pos="133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Bruce Culleton, M.D., Pablo Legoretta and Uma Sinha, Ph.D. In the event of any change in the number of directors, the Board shall apportion any newly created directorships among, or reduce the number of directorships in, such class or classes so that each class is apportioned to consist of, as nearly as possible, one-third of the total number of directors in each class, as determined necessary in the sole discretion of the Board. In no event will a decrease in the number of Directors shorten the term of any Director then in office.</w:t>
      </w:r>
    </w:p>
    <w:p>
      <w:pPr>
        <w:spacing w:after="0" w:line="82" w:lineRule="exact"/>
        <w:rPr>
          <w:sz w:val="20"/>
          <w:szCs w:val="20"/>
          <w:color w:val="auto"/>
        </w:rPr>
      </w:pPr>
    </w:p>
    <w:p>
      <w:pPr>
        <w:ind w:left="102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Subject to any limitations imposed by applicable law and the rights of the holders of any one or more series of Preferred Stock then outstanding, newly created directorships resulting from any increase in the authorized number of Directors or any vacancies on the Board resulting from death, resignation, retirement, disqualification, removal from office or other cause shall be filled only by the affirmative vote of a majority of the remaining Directors then in office, even if less than a quorum of the Board, and not by the stockholders. Any Director so chosen shall hold office until the next election of the class for which such Director shall have been chosen and until his or her successor shall be duly elected and qualified or until such Director’s earlier death, disqualification, resignation or removal. In no event will a decrease in the number of Directors shorten the term of any Director then in office.</w:t>
      </w:r>
    </w:p>
    <w:p>
      <w:pPr>
        <w:spacing w:after="0" w:line="86" w:lineRule="exact"/>
        <w:rPr>
          <w:sz w:val="20"/>
          <w:szCs w:val="20"/>
          <w:color w:val="auto"/>
        </w:rPr>
      </w:pPr>
    </w:p>
    <w:p>
      <w:pPr>
        <w:ind w:left="1020" w:right="5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Removal of Directors</w:t>
      </w:r>
      <w:r>
        <w:rPr>
          <w:rFonts w:ascii="Times New Roman" w:cs="Times New Roman" w:eastAsia="Times New Roman" w:hAnsi="Times New Roman"/>
          <w:sz w:val="18"/>
          <w:szCs w:val="18"/>
          <w:color w:val="auto"/>
        </w:rPr>
        <w:t>. Subject to any limitations imposed by applicable law, except for Preferred Stock Directors, any Director or the entire Board may be removed from office at any time, but only for cause by the affirmative vote of the holders of at least 66 2/3% of the total voting power of the outstanding shares of capital stock of the Corporation entitled to vote generally in the election of Directors, voting together as a single class.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Meetings of Stockholders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right="379" w:firstLine="360"/>
        <w:spacing w:after="0" w:line="25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xml:space="preserve">. Any action required or permitted to be taken by the stockholders of the Corporation may be effected only at a duly called annual or special meeting of stockholders of the Corporation and may not be effected by any consent by such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action required or permitted to be taken by the holders of Class B Common Stock, voting separately as a class, may be effected by the consent or consents (setting forth the action so taken) of the holders of the outstanding shares of Class B Common Stock having not less than the minimum number of votes that would be necessary to authorize or take such action at a meeting at which all shares entitled to vote thereon were present and voted, consenting together as a single class in lieu of a duly called annual or special meeting of holders of Class B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action required or permitted to be taken by the holders of any or all series of Preferred Stock voting separately as a series of Preferred Stock or separately as a class of Preferred Stock (including with respect to any such action specified in the Certificate of Incorporation or any certificate of designation relating to any series of Preferred Stock) may be effected by the consent or consents (setting forth the action so taken), of the holders of outstanding shares of the relevant class or series of Preferred Stock having not less than the minimum number of votes that would be necessary to authorize or take such action at a meeting at which all shares entitled to vote thereon were present and voted.</w:t>
      </w:r>
    </w:p>
    <w:p>
      <w:pPr>
        <w:spacing w:after="0" w:line="1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Meetings of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80" w:right="299" w:firstLine="360"/>
        <w:spacing w:after="0" w:line="258" w:lineRule="auto"/>
        <w:rPr>
          <w:sz w:val="20"/>
          <w:szCs w:val="20"/>
          <w:color w:val="auto"/>
        </w:rPr>
      </w:pPr>
      <w:r>
        <w:rPr>
          <w:rFonts w:ascii="Times New Roman" w:cs="Times New Roman" w:eastAsia="Times New Roman" w:hAnsi="Times New Roman"/>
          <w:sz w:val="18"/>
          <w:szCs w:val="18"/>
          <w:color w:val="auto"/>
        </w:rPr>
        <w:t>(i)  An annual meeting of stockholders for the election of Directors to succeed those whose terms expire and for the transaction of such other business as may properly come before the meeting shall be held at such date, time and place, or, if so determined by the Board in its sole discretion, at no place (but rather by means of remote communication), as the Board shall determine from time to time.</w:t>
      </w:r>
    </w:p>
    <w:p>
      <w:pPr>
        <w:spacing w:after="0" w:line="75" w:lineRule="exact"/>
        <w:rPr>
          <w:sz w:val="20"/>
          <w:szCs w:val="20"/>
          <w:color w:val="auto"/>
        </w:rPr>
      </w:pPr>
    </w:p>
    <w:p>
      <w:pPr>
        <w:ind w:left="1380" w:right="299" w:firstLine="360"/>
        <w:spacing w:after="0" w:line="253" w:lineRule="auto"/>
        <w:rPr>
          <w:sz w:val="20"/>
          <w:szCs w:val="20"/>
          <w:color w:val="auto"/>
        </w:rPr>
      </w:pPr>
      <w:r>
        <w:rPr>
          <w:rFonts w:ascii="Times New Roman" w:cs="Times New Roman" w:eastAsia="Times New Roman" w:hAnsi="Times New Roman"/>
          <w:sz w:val="18"/>
          <w:szCs w:val="18"/>
          <w:color w:val="auto"/>
        </w:rPr>
        <w:t>(ii)  Subject to any special rights of the holders of any outstanding series of Preferred Stock, and to the requirements of applicable law, special meetings of stockholders of the Corporation may be called only by the chairperson of the Board, the chief executive officer of the Corporation or at the direction of the Board pursuant to a written resolution adopted by a majority of the total number of Directors that the Corporation would have if there were no vacancies. Any business transacted at any special meeting of stockholders shall be limited to matters relating to the purpose or purposes stated in the notice of meeting, and the Board shall have exclusive authority to determine the business included in such notice pursuant to the procedures provided in the By-laws. Subject to applicable law, the chairperson of the Board, the chief executive officer or the Board may postpone, reschedule or cancel any special meeting of the stockholders previously called by such persons. The ability of holders of Common Stock to call a special meeting of the stockholders is hereby specifically denied.</w:t>
      </w:r>
    </w:p>
    <w:p>
      <w:pPr>
        <w:spacing w:after="0" w:line="84" w:lineRule="exact"/>
        <w:rPr>
          <w:sz w:val="20"/>
          <w:szCs w:val="20"/>
          <w:color w:val="auto"/>
        </w:rPr>
      </w:pPr>
    </w:p>
    <w:p>
      <w:pPr>
        <w:ind w:left="1380" w:right="319" w:firstLine="360"/>
        <w:spacing w:after="0" w:line="266" w:lineRule="auto"/>
        <w:rPr>
          <w:sz w:val="20"/>
          <w:szCs w:val="20"/>
          <w:color w:val="auto"/>
        </w:rPr>
      </w:pPr>
      <w:r>
        <w:rPr>
          <w:rFonts w:ascii="Times New Roman" w:cs="Times New Roman" w:eastAsia="Times New Roman" w:hAnsi="Times New Roman"/>
          <w:sz w:val="18"/>
          <w:szCs w:val="18"/>
          <w:color w:val="auto"/>
        </w:rPr>
        <w:t>(iii)  Advance notice of stockholder nominations for the election of Directors and of business to be brought by stockholders before any meeting of the stockholders of the Corporation shall be given in the manner provided in the By-laws of the Corporation.</w:t>
      </w:r>
    </w:p>
    <w:p>
      <w:pPr>
        <w:spacing w:after="0" w:line="68" w:lineRule="exact"/>
        <w:rPr>
          <w:sz w:val="20"/>
          <w:szCs w:val="20"/>
          <w:color w:val="auto"/>
        </w:rPr>
      </w:pPr>
    </w:p>
    <w:p>
      <w:pPr>
        <w:jc w:val="both"/>
        <w:ind w:left="1020" w:right="5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 Cumulative Voting; Election of Directors by Written Ballot</w:t>
      </w:r>
      <w:r>
        <w:rPr>
          <w:rFonts w:ascii="Times New Roman" w:cs="Times New Roman" w:eastAsia="Times New Roman" w:hAnsi="Times New Roman"/>
          <w:sz w:val="18"/>
          <w:szCs w:val="18"/>
          <w:color w:val="auto"/>
        </w:rPr>
        <w:t>. There shall be no cumulative voting in the election of Directors. Unless and except to the extent that the By-laws shall so require, the election of the Directors need not be by written ballot.</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Limited Liability</w:t>
      </w:r>
      <w:r>
        <w:rPr>
          <w:rFonts w:ascii="Times New Roman" w:cs="Times New Roman" w:eastAsia="Times New Roman" w:hAnsi="Times New Roman"/>
          <w:sz w:val="18"/>
          <w:szCs w:val="18"/>
          <w:color w:val="auto"/>
        </w:rPr>
        <w:t>. No director or officer of the Corporation shall be personally liable to the Corporation or its stockholders for monetary damages for any breach of fiduciary duty as a director or officer, except to the extent such exemption from liability or limitation thereof is not permitted under the General Corporation Law as the same exists or may hereafter be amended. Any repeal or modification of the foregoing sentence shall not adversely affect any right or protection of a director or officer of the Corporation existing hereunder with respect to any act or omission occurring prior to such repeal or modification.</w:t>
      </w:r>
    </w:p>
    <w:p>
      <w:pPr>
        <w:spacing w:after="0" w:line="81" w:lineRule="exact"/>
        <w:rPr>
          <w:sz w:val="20"/>
          <w:szCs w:val="20"/>
          <w:color w:val="auto"/>
        </w:rPr>
      </w:pPr>
    </w:p>
    <w:p>
      <w:pPr>
        <w:ind w:left="1020" w:right="3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Right to Indemnification</w:t>
      </w:r>
      <w:r>
        <w:rPr>
          <w:rFonts w:ascii="Times New Roman" w:cs="Times New Roman" w:eastAsia="Times New Roman" w:hAnsi="Times New Roman"/>
          <w:sz w:val="18"/>
          <w:szCs w:val="18"/>
          <w:color w:val="auto"/>
        </w:rPr>
        <w:t>. To the fullest extent permitted by applicable law, the Corporation shall provide indemnification of (and advancement of expenses to) the Directors and officers of the Corporation; provided, however, that the Corporation shall not be required to indemnify (or advance expenses to) any Director or officer in connection with any proceeding (or part thereof) initiated by such person unless (i) such indemnification is expressly required to be made by law, (ii) the proceeding was authorized by the Board, (iii) such indemnification is provided by the Corporation, in its sole discretion, pursuant to the powers vested in the Corporation under the General Corporation Law or any other applicable law or (iv) such indemnification is required to be made pursuant to the Corporation’s By-laws. If applicable law is amended after approval by the stockholders of this Article 9 to authorize corporate action further eliminating or limiting the personal liability of Directors or officers, then the liability of a Director or an officer to the Corporation shall be eliminated or limited to the fullest extent permitted by applicable law as so amended. Any repeal or modification of this Article 9 shall only be prospective and shall not affect the rights or protections or increase the liability of any Director or officer under this Article 9 in effect at the time of the alleged occurrence of any act or omission to act giving rise to liability or indemnification.</w:t>
      </w:r>
    </w:p>
    <w:p>
      <w:pPr>
        <w:spacing w:after="0" w:line="88" w:lineRule="exact"/>
        <w:rPr>
          <w:sz w:val="20"/>
          <w:szCs w:val="20"/>
          <w:color w:val="auto"/>
        </w:rPr>
      </w:pPr>
    </w:p>
    <w:p>
      <w:pPr>
        <w:jc w:val="both"/>
        <w:ind w:left="102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59"/>
        <w:spacing w:after="0" w:line="289" w:lineRule="auto"/>
        <w:rPr>
          <w:sz w:val="20"/>
          <w:szCs w:val="20"/>
          <w:color w:val="auto"/>
        </w:rPr>
      </w:pPr>
      <w:r>
        <w:rPr>
          <w:rFonts w:ascii="Times New Roman" w:cs="Times New Roman" w:eastAsia="Times New Roman" w:hAnsi="Times New Roman"/>
          <w:sz w:val="17"/>
          <w:szCs w:val="17"/>
          <w:color w:val="auto"/>
        </w:rPr>
        <w:t>partnership, joint venture, trust or other enterprise against any expense, liability or loss incurred by such Person in any such capacity or arising out of such Person’s status as such, whether or not the Corporation would have the power to indemnify such Person against such liability under the General Corporation Law.</w:t>
      </w:r>
    </w:p>
    <w:p>
      <w:pPr>
        <w:spacing w:after="0" w:line="50" w:lineRule="exact"/>
        <w:rPr>
          <w:sz w:val="20"/>
          <w:szCs w:val="20"/>
          <w:color w:val="auto"/>
        </w:rPr>
      </w:pPr>
    </w:p>
    <w:p>
      <w:pPr>
        <w:ind w:left="1020" w:right="8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and authority conferred in this Article 9 shall not be exclusive of any other right that any Person may otherwise have or hereafter acquire.</w:t>
      </w:r>
    </w:p>
    <w:p>
      <w:pPr>
        <w:spacing w:after="0" w:line="54"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Adoption, Amendment or Repeal of By-Laws</w:t>
      </w:r>
      <w:r>
        <w:rPr>
          <w:rFonts w:ascii="Times New Roman" w:cs="Times New Roman" w:eastAsia="Times New Roman" w:hAnsi="Times New Roman"/>
          <w:sz w:val="18"/>
          <w:szCs w:val="18"/>
          <w:color w:val="auto"/>
        </w:rPr>
        <w:t>. In furtherance and not in limitation of the powers conferred by law, the Board is expressly authorized to make, adopt, alter, amend, change, add to, rescind or repeal, in whole or in part, the By-laws. Any of the foregoing shall require the approval of a majority of the Board. The stockholders shall also have power to make, adopt, alter, amend, change, add to, rescind or repeal, in whole or in part, the By-laws of the Corporation; provided, however, that, in addition to any vote of the holders of any class or series of stock of the Corporation required by law or by this Certificate of Incorporation, such action by stockholders shall require the affirmative vote of the holders of at least 66 2/3% of the voting power of all of the then-outstanding shares of the capital stock of the Corporation entitled to vote thereon, voting together as a single class.</w:t>
      </w:r>
    </w:p>
    <w:p>
      <w:pPr>
        <w:spacing w:after="0" w:line="80" w:lineRule="exact"/>
        <w:rPr>
          <w:sz w:val="20"/>
          <w:szCs w:val="20"/>
          <w:color w:val="auto"/>
        </w:rPr>
      </w:pPr>
    </w:p>
    <w:p>
      <w:pPr>
        <w:ind w:left="66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Adoption, Amendment and Repeal of Certificate</w:t>
      </w:r>
      <w:r>
        <w:rPr>
          <w:rFonts w:ascii="Times New Roman" w:cs="Times New Roman" w:eastAsia="Times New Roman" w:hAnsi="Times New Roman"/>
          <w:sz w:val="18"/>
          <w:szCs w:val="18"/>
          <w:color w:val="auto"/>
        </w:rPr>
        <w:t>. Subject to Article ‎5, the Corporation reserves the right to amend, alter, change or repeal any provision contained in this Certificate of Incorporation, in the manner now or hereafter prescribed by the General Corporation Law, and all rights, preferences and privileges of whatsoever nature conferred upon stockholders, Directors or any other Persons whomsoever by and pursuant to this Certificate of Incorporation in its present form or as hereafter amended. Notwithstanding anything to the contrary contained in this Certificate of Incorporation, and notwithstanding that a lesser percentage may be permitted from time to time by applicable law, no provision of Sections ‎7.2, ‎7.3 and ‎7.4 of Article ‎7, Sections ‎8.1 and ‎8.2 of Article ‎8 or Article ‎9, ‎10, 11, ‎12 or 15 may be altered, amended or repealed in any respect, nor may any provision or by-law inconsistent therewith be adopted, unless in addition to any other vote required by this Certificate of Incorporation or otherwise required by law, such alteration, amendment, repeal or adoption is approved by, in addition to any other vote otherwise required by law, the affirmative vote of the holders of sixty-six and two-thirds percent (66 and 2/3%) of the total voting power of the outstanding shares of capital stock of the Corporation entitled to vote thereon, voting together as a single class, at a meeting of the stockholders called for that purpose.</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Forum for Adjudication of Disputes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right="299" w:firstLine="360"/>
        <w:spacing w:after="0" w:line="251" w:lineRule="auto"/>
        <w:rPr>
          <w:sz w:val="20"/>
          <w:szCs w:val="20"/>
          <w:color w:val="auto"/>
        </w:rPr>
      </w:pPr>
      <w:r>
        <w:rPr>
          <w:rFonts w:ascii="Times New Roman" w:cs="Times New Roman" w:eastAsia="Times New Roman" w:hAnsi="Times New Roman"/>
          <w:sz w:val="18"/>
          <w:szCs w:val="18"/>
          <w:color w:val="auto"/>
        </w:rPr>
        <w:t>12.1  Unless the Corporation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to the fullest extent permitted by applicable law, be the sole and exclusive forum for the following types of actions or proceedings under Delaware statutory or common law: (A) any derivative action or proceeding brought on behalf of the Corporation; (B) any action or proceeding (including any class action) asserting a claim of breach of a fiduciary duty owed by any current or former Director, officer or other employee of the Corporation to the Corporation or the Corporation’s stockholders; (C) any action or proceeding (including any class action) asserting a claim against the Corporation or any current or former Director, officer or other employee of the Corporation arising out of or pursuant to any provision of the General Corporation Law, this Certificate of Incorporation or the By-laws (as each may be amended from time to time); (D) any action or proceeding (including any class action) to interpret, apply, enforce or determine the validity of this Certificate of Incorporation or the By-laws of the Corporation (including any right, obligation or remedy thereunder); (E) any action or proceeding as to which the General Corporation Law confers jurisdiction to the Court of Chancery of the State of Delaware; and/or (F) any action or claim against the Corporation or any current or former Director, officer or other employee of the Corporation governed by the internal affairs doctrine or an “internal corporate claim” as defined in Section 115 of the General Corporation Law, in each case, subject to said court having personal jurisdiction over the indispensable parties named as defendants therein. This Article 12 shall not apply to suits brought to enforce a duty or liability created by the Exchange Act or any other claim for which the federal courts have exclusive jurisdiction.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19" w:firstLine="360"/>
        <w:spacing w:after="0" w:line="255" w:lineRule="auto"/>
        <w:rPr>
          <w:sz w:val="20"/>
          <w:szCs w:val="20"/>
          <w:color w:val="auto"/>
        </w:rPr>
      </w:pPr>
      <w:r>
        <w:rPr>
          <w:rFonts w:ascii="Times New Roman" w:cs="Times New Roman" w:eastAsia="Times New Roman" w:hAnsi="Times New Roman"/>
          <w:sz w:val="18"/>
          <w:szCs w:val="18"/>
          <w:color w:val="auto"/>
        </w:rPr>
        <w:t>12.2  If any action the subject matter of which is within the scope of Section 12.1 is filed in a court other than a court located within the State of Delaware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(i) the personal jurisdiction of the state and federal courts located within the State of Delaware in connection with any action brought in any such court to enforce Section 12.1 (an “</w:t>
      </w:r>
      <w:r>
        <w:rPr>
          <w:rFonts w:ascii="Times New Roman" w:cs="Times New Roman" w:eastAsia="Times New Roman" w:hAnsi="Times New Roman"/>
          <w:sz w:val="18"/>
          <w:szCs w:val="18"/>
          <w:u w:val="single" w:color="auto"/>
          <w:color w:val="auto"/>
        </w:rPr>
        <w:t>Enforcement Action</w:t>
      </w:r>
      <w:r>
        <w:rPr>
          <w:rFonts w:ascii="Times New Roman" w:cs="Times New Roman" w:eastAsia="Times New Roman" w:hAnsi="Times New Roman"/>
          <w:sz w:val="18"/>
          <w:szCs w:val="18"/>
          <w:color w:val="auto"/>
        </w:rPr>
        <w:t>”) and (ii) having service of process made upon such stockholder in any such Enforcement Action by service upon such stockholder’s counsel in the Foreign Action as agent for such stockholder.</w:t>
      </w:r>
    </w:p>
    <w:p>
      <w:pPr>
        <w:spacing w:after="0" w:line="81" w:lineRule="exact"/>
        <w:rPr>
          <w:sz w:val="20"/>
          <w:szCs w:val="20"/>
          <w:color w:val="auto"/>
        </w:rPr>
      </w:pPr>
    </w:p>
    <w:p>
      <w:pPr>
        <w:ind w:left="1020" w:right="319" w:firstLine="360"/>
        <w:spacing w:after="0" w:line="254" w:lineRule="auto"/>
        <w:rPr>
          <w:sz w:val="20"/>
          <w:szCs w:val="20"/>
          <w:color w:val="auto"/>
        </w:rPr>
      </w:pPr>
      <w:r>
        <w:rPr>
          <w:rFonts w:ascii="Times New Roman" w:cs="Times New Roman" w:eastAsia="Times New Roman" w:hAnsi="Times New Roman"/>
          <w:sz w:val="18"/>
          <w:szCs w:val="18"/>
          <w:color w:val="auto"/>
        </w:rPr>
        <w:t>12.3  Notwithstanding the foregoing provisions of this Article 12,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including all causes of action asserted against any defendant to such complaint. For the avoidance of doubt, this provision is intended to benefit and may be enforced by the Corporation (including any successor),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w:t>
      </w:r>
    </w:p>
    <w:p>
      <w:pPr>
        <w:spacing w:after="0" w:line="80" w:lineRule="exact"/>
        <w:rPr>
          <w:sz w:val="20"/>
          <w:szCs w:val="20"/>
          <w:color w:val="auto"/>
        </w:rPr>
      </w:pPr>
    </w:p>
    <w:p>
      <w:pPr>
        <w:jc w:val="both"/>
        <w:ind w:left="1020" w:right="639" w:firstLine="360"/>
        <w:spacing w:after="0" w:line="266" w:lineRule="auto"/>
        <w:rPr>
          <w:sz w:val="20"/>
          <w:szCs w:val="20"/>
          <w:color w:val="auto"/>
        </w:rPr>
      </w:pPr>
      <w:r>
        <w:rPr>
          <w:rFonts w:ascii="Times New Roman" w:cs="Times New Roman" w:eastAsia="Times New Roman" w:hAnsi="Times New Roman"/>
          <w:sz w:val="18"/>
          <w:szCs w:val="18"/>
          <w:color w:val="auto"/>
        </w:rPr>
        <w:t>12.4  To the fullest extent permitted by applicable law, any person or entity purchasing, holding, owning or otherwise acquiring any interest in any security of the Corporation shall be deemed to have notice of and to have consented to the provisions of this Article 12.</w:t>
      </w:r>
    </w:p>
    <w:p>
      <w:pPr>
        <w:spacing w:after="0" w:line="68" w:lineRule="exact"/>
        <w:rPr>
          <w:sz w:val="20"/>
          <w:szCs w:val="20"/>
          <w:color w:val="auto"/>
        </w:rPr>
      </w:pPr>
    </w:p>
    <w:p>
      <w:pPr>
        <w:ind w:left="660" w:right="3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Sole Incorporator</w:t>
      </w:r>
      <w:r>
        <w:rPr>
          <w:rFonts w:ascii="Times New Roman" w:cs="Times New Roman" w:eastAsia="Times New Roman" w:hAnsi="Times New Roman"/>
          <w:sz w:val="18"/>
          <w:szCs w:val="18"/>
          <w:color w:val="auto"/>
        </w:rPr>
        <w:t>. The name and mailing address of the sole incorporator of the Corporation is Todd C. Girolamo, c/o 2000 Frontis Plaza Blvd., Suite 250, Winston-Salem, NC 27103.</w:t>
      </w:r>
    </w:p>
    <w:p>
      <w:pPr>
        <w:spacing w:after="0" w:line="54" w:lineRule="exact"/>
        <w:rPr>
          <w:sz w:val="20"/>
          <w:szCs w:val="20"/>
          <w:color w:val="auto"/>
        </w:rPr>
      </w:pPr>
    </w:p>
    <w:p>
      <w:pPr>
        <w:ind w:left="660" w:right="3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82"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Corporate Opportunity</w:t>
      </w:r>
      <w:r>
        <w:rPr>
          <w:rFonts w:ascii="Times New Roman" w:cs="Times New Roman" w:eastAsia="Times New Roman" w:hAnsi="Times New Roman"/>
          <w:sz w:val="18"/>
          <w:szCs w:val="18"/>
          <w:color w:val="auto"/>
        </w:rPr>
        <w:t>. To the extent allowed by law, the doctrine of corporate opportunity, or any other analogous doctrine, shall not apply with respect to the Corporation or any of its officers or Directors, or any of their respective affiliates,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w:t>
      </w:r>
    </w:p>
    <w:p>
      <w:pPr>
        <w:spacing w:after="0" w:line="86"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Restricted Stock Rights</w:t>
      </w:r>
      <w:r>
        <w:rPr>
          <w:rFonts w:ascii="Times New Roman" w:cs="Times New Roman" w:eastAsia="Times New Roman" w:hAnsi="Times New Roman"/>
          <w:sz w:val="18"/>
          <w:szCs w:val="18"/>
          <w:color w:val="auto"/>
        </w:rPr>
        <w:t>. In connection with the transactions contemplated by the Business Combination Agreement, the Corporation has issued one or more series of restricted stock rights evidencing the right to receive share(s) of Class B Common Stock in the future, the settlement of which is subject to vesting, forfeiture and cancellation for no consideration and other restrictions, in each case, as determined in the Corporation’s sole discretion (“</w:t>
      </w:r>
      <w:r>
        <w:rPr>
          <w:rFonts w:ascii="Times New Roman" w:cs="Times New Roman" w:eastAsia="Times New Roman" w:hAnsi="Times New Roman"/>
          <w:sz w:val="18"/>
          <w:szCs w:val="18"/>
          <w:u w:val="single" w:color="auto"/>
          <w:color w:val="auto"/>
        </w:rPr>
        <w:t>Restricted Stock Rights</w:t>
      </w:r>
      <w:r>
        <w:rPr>
          <w:rFonts w:ascii="Times New Roman" w:cs="Times New Roman" w:eastAsia="Times New Roman" w:hAnsi="Times New Roman"/>
          <w:sz w:val="18"/>
          <w:szCs w:val="18"/>
          <w:color w:val="auto"/>
        </w:rPr>
        <w:t>” and the holder thereof, an “</w:t>
      </w:r>
      <w:r>
        <w:rPr>
          <w:rFonts w:ascii="Times New Roman" w:cs="Times New Roman" w:eastAsia="Times New Roman" w:hAnsi="Times New Roman"/>
          <w:sz w:val="18"/>
          <w:szCs w:val="18"/>
          <w:u w:val="single" w:color="auto"/>
          <w:color w:val="auto"/>
        </w:rPr>
        <w:t>RSR Holder</w:t>
      </w:r>
      <w:r>
        <w:rPr>
          <w:rFonts w:ascii="Times New Roman" w:cs="Times New Roman" w:eastAsia="Times New Roman" w:hAnsi="Times New Roman"/>
          <w:sz w:val="18"/>
          <w:szCs w:val="18"/>
          <w:color w:val="auto"/>
        </w:rPr>
        <w:t>”). Each RSR Holder shall have the economic rights and entitlements in respect of its Restricted Stock Right(s) as determined by the Corporation in its sole discretion; provided that, no RSR Holder shall have any right to receive any dividend, distribution or other payment of any kind with respect its Restricted Stock Right(s) or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spacing w:after="0" w:line="261" w:lineRule="auto"/>
        <w:rPr>
          <w:sz w:val="20"/>
          <w:szCs w:val="20"/>
          <w:color w:val="auto"/>
        </w:rPr>
      </w:pPr>
      <w:r>
        <w:rPr>
          <w:rFonts w:ascii="Times New Roman" w:cs="Times New Roman" w:eastAsia="Times New Roman" w:hAnsi="Times New Roman"/>
          <w:sz w:val="18"/>
          <w:szCs w:val="18"/>
          <w:color w:val="auto"/>
        </w:rPr>
        <w:t>the share(s) of Class B Common Stock issuable in respect of its Restricted Stock Right(s) upon the achievement of applicable vesting events, in each case, unless and until certain applicable vesting events set forth in the Business Combination Agreement have been achieved, in each case, as determined by the Corporation in its sole discretion.</w:t>
      </w:r>
    </w:p>
    <w:p>
      <w:pPr>
        <w:spacing w:after="0" w:line="72" w:lineRule="exact"/>
        <w:rPr>
          <w:sz w:val="20"/>
          <w:szCs w:val="20"/>
          <w:color w:val="auto"/>
        </w:rPr>
      </w:pPr>
    </w:p>
    <w:p>
      <w:pPr>
        <w:ind w:left="66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Facts Ascertainable</w:t>
      </w:r>
      <w:r>
        <w:rPr>
          <w:rFonts w:ascii="Times New Roman" w:cs="Times New Roman" w:eastAsia="Times New Roman" w:hAnsi="Times New Roman"/>
          <w:sz w:val="18"/>
          <w:szCs w:val="18"/>
          <w:color w:val="auto"/>
        </w:rPr>
        <w:t>. When the terms of this Certificate of Incorporation refers to a specific agreement or other document to determine the meaning or operation of a provision hereof, the Secretary of the Corporation shall maintain a copy of such agreement or document at the principal executive offices of the Corporation and a copy thereof shall be provided free of charge to any stockholder of the Corporation upon a request therefor.</w:t>
      </w:r>
    </w:p>
    <w:p>
      <w:pPr>
        <w:spacing w:after="0" w:line="75" w:lineRule="exact"/>
        <w:rPr>
          <w:sz w:val="20"/>
          <w:szCs w:val="20"/>
          <w:color w:val="auto"/>
        </w:rPr>
      </w:pPr>
    </w:p>
    <w:p>
      <w:pPr>
        <w:ind w:left="660" w:right="4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Certificate of Incorporation, unless the context otherwise requires or as set forth in another Article or Section of this Certificate of Incorporation, the term:</w:t>
      </w:r>
    </w:p>
    <w:p>
      <w:pPr>
        <w:spacing w:after="0" w:line="54" w:lineRule="exact"/>
        <w:rPr>
          <w:sz w:val="20"/>
          <w:szCs w:val="20"/>
          <w:color w:val="auto"/>
        </w:rPr>
      </w:pPr>
    </w:p>
    <w:p>
      <w:pPr>
        <w:ind w:left="1020" w:right="299" w:firstLine="360"/>
        <w:spacing w:after="0" w:line="269"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xml:space="preserve">” means, with respect to any Person, any other Person directly or indirectly controlling, controlled by or under common control with such Person, and (a) in the case of a natural person, shall include, without limitation, such person’s spouse,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(b) in the case of an entity, shall include a partnership, a corporation or any natural person or entity which directly, or indirectly through one or more intermediaries, controls, is controlled by, or is under common control with, such entity;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 neither the Corporation nor any of its subsidiaries will be deemed an Affiliate of any stockholder of the Corporation or any of such stockholders’ Affiliates and (ii) no stockholder of the Corporation will be deemed an Affiliate of any other stockholder of the Corporation, in each case, solely by reason of any investment in the Corporation (including any representatives of such stockholder serving on the Board).</w:t>
      </w:r>
    </w:p>
    <w:p>
      <w:pPr>
        <w:spacing w:after="0" w:line="1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is defined in Section ‎5.1(ii)(1).</w:t>
      </w:r>
    </w:p>
    <w:p>
      <w:pPr>
        <w:spacing w:after="0" w:line="117" w:lineRule="exact"/>
        <w:rPr>
          <w:sz w:val="20"/>
          <w:szCs w:val="20"/>
          <w:color w:val="auto"/>
        </w:rPr>
      </w:pPr>
    </w:p>
    <w:p>
      <w:pPr>
        <w:ind w:left="1020" w:right="359" w:firstLine="360"/>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means the Business Combination Agreement dated as of January 18, 2022, by and between Social Capital Suvretta Holdings Corp. III (as predecessor-in-interest to the Corporation) and ProKidney LP (as predecessor-in-interest to ProKidney Holdings, LLC).</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is defined in Section 7‎.1.</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is defined in the recitals.</w:t>
      </w:r>
    </w:p>
    <w:p>
      <w:pPr>
        <w:spacing w:after="0" w:line="17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is defined in Section 4‎.1.</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is defined in Section 4‎.1.</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 defined in Section 4‎.1.</w:t>
      </w:r>
    </w:p>
    <w:p>
      <w:pPr>
        <w:spacing w:after="0" w:line="117" w:lineRule="exact"/>
        <w:rPr>
          <w:sz w:val="20"/>
          <w:szCs w:val="20"/>
          <w:color w:val="auto"/>
        </w:rPr>
      </w:pPr>
    </w:p>
    <w:p>
      <w:pPr>
        <w:ind w:left="1020" w:right="379" w:firstLine="360"/>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Common Unit</w:t>
      </w:r>
      <w:r>
        <w:rPr>
          <w:rFonts w:ascii="Times New Roman" w:cs="Times New Roman" w:eastAsia="Times New Roman" w:hAnsi="Times New Roman"/>
          <w:sz w:val="18"/>
          <w:szCs w:val="18"/>
          <w:color w:val="auto"/>
        </w:rPr>
        <w:t>” means a unit of limited liability company interest in ProKidney Holdings, LLC designated as a Common Unit pursuant to the LLC Agreement.</w:t>
      </w:r>
    </w:p>
    <w:p>
      <w:pPr>
        <w:spacing w:after="0" w:line="54" w:lineRule="exact"/>
        <w:rPr>
          <w:sz w:val="20"/>
          <w:szCs w:val="20"/>
          <w:color w:val="auto"/>
        </w:rPr>
      </w:pPr>
    </w:p>
    <w:p>
      <w:pPr>
        <w:ind w:left="1020" w:right="319" w:firstLine="360"/>
        <w:spacing w:after="0" w:line="261"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11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means ProKidney Corp.</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is defined in Section ‎7.1.</w:t>
      </w:r>
    </w:p>
    <w:p>
      <w:pPr>
        <w:spacing w:after="0" w:line="1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Enforcement Action</w:t>
      </w:r>
      <w:r>
        <w:rPr>
          <w:rFonts w:ascii="Times New Roman" w:cs="Times New Roman" w:eastAsia="Times New Roman" w:hAnsi="Times New Roman"/>
          <w:sz w:val="18"/>
          <w:szCs w:val="18"/>
          <w:color w:val="auto"/>
        </w:rPr>
        <w:t>” is defined in Section 12.2.</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17" w:lineRule="exact"/>
        <w:rPr>
          <w:sz w:val="20"/>
          <w:szCs w:val="20"/>
          <w:color w:val="auto"/>
        </w:rPr>
      </w:pPr>
    </w:p>
    <w:p>
      <w:pPr>
        <w:jc w:val="both"/>
        <w:ind w:left="1020" w:right="479" w:firstLine="360"/>
        <w:spacing w:after="0" w:line="266"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the Exchange Agreement, dated as of [•], 2025, by and among the Corporation, ProKidney Holdings, LLC and certain holders of interests in ProKidney Holdings, LLC party thereto.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is defined in Section 12.2.</w:t>
      </w:r>
    </w:p>
    <w:p>
      <w:pPr>
        <w:spacing w:after="0" w:line="17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General Corporation Law</w:t>
      </w:r>
      <w:r>
        <w:rPr>
          <w:rFonts w:ascii="Times New Roman" w:cs="Times New Roman" w:eastAsia="Times New Roman" w:hAnsi="Times New Roman"/>
          <w:sz w:val="18"/>
          <w:szCs w:val="18"/>
          <w:color w:val="auto"/>
        </w:rPr>
        <w:t>” is defined in Section 3.</w:t>
      </w:r>
    </w:p>
    <w:p>
      <w:pPr>
        <w:spacing w:after="0" w:line="117" w:lineRule="exact"/>
        <w:rPr>
          <w:sz w:val="20"/>
          <w:szCs w:val="20"/>
          <w:color w:val="auto"/>
        </w:rPr>
      </w:pPr>
    </w:p>
    <w:p>
      <w:pPr>
        <w:ind w:left="1020" w:right="479" w:firstLine="360"/>
        <w:spacing w:after="0" w:line="261"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means the Second Amended and Restated Limited Liability Company Agreement of ProKidney Holdings, LLC, dated as of [•], 2025, by and among the Corporation, the Post-Combination LLC Members and the other Persons that may become parties thereto from time to time, as the same may be amended, restated, supplemented and/or otherwise modified, from time to time.</w:t>
      </w:r>
    </w:p>
    <w:p>
      <w:pPr>
        <w:spacing w:after="0" w:line="72" w:lineRule="exact"/>
        <w:rPr>
          <w:sz w:val="20"/>
          <w:szCs w:val="20"/>
          <w:color w:val="auto"/>
        </w:rPr>
      </w:pPr>
    </w:p>
    <w:p>
      <w:pPr>
        <w:ind w:left="1020" w:right="439" w:firstLine="360"/>
        <w:spacing w:after="0" w:line="282"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Paired Interest</w:t>
      </w:r>
      <w:r>
        <w:rPr>
          <w:rFonts w:ascii="Times New Roman" w:cs="Times New Roman" w:eastAsia="Times New Roman" w:hAnsi="Times New Roman"/>
          <w:sz w:val="18"/>
          <w:szCs w:val="18"/>
          <w:color w:val="auto"/>
        </w:rPr>
        <w:t>” means one Common Unit together with one share of Class B Common Stock, subject to adjustment pursuant to the LLC Agreement.</w:t>
      </w:r>
    </w:p>
    <w:p>
      <w:pPr>
        <w:spacing w:after="0" w:line="54" w:lineRule="exact"/>
        <w:rPr>
          <w:sz w:val="20"/>
          <w:szCs w:val="20"/>
          <w:color w:val="auto"/>
        </w:rPr>
      </w:pPr>
    </w:p>
    <w:p>
      <w:pPr>
        <w:ind w:left="1020" w:right="899" w:firstLine="360"/>
        <w:spacing w:after="0" w:line="282"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firm, corporation, limited liability company, association, trust, unincorporated organization or other entity.</w:t>
      </w:r>
    </w:p>
    <w:p>
      <w:pPr>
        <w:spacing w:after="0" w:line="54" w:lineRule="exact"/>
        <w:rPr>
          <w:sz w:val="20"/>
          <w:szCs w:val="20"/>
          <w:color w:val="auto"/>
        </w:rPr>
      </w:pPr>
    </w:p>
    <w:p>
      <w:pPr>
        <w:ind w:left="1020" w:right="419" w:firstLine="360"/>
        <w:spacing w:after="0" w:line="282"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Post-Combination LLC Members</w:t>
      </w:r>
      <w:r>
        <w:rPr>
          <w:rFonts w:ascii="Times New Roman" w:cs="Times New Roman" w:eastAsia="Times New Roman" w:hAnsi="Times New Roman"/>
          <w:sz w:val="18"/>
          <w:szCs w:val="18"/>
          <w:color w:val="auto"/>
        </w:rPr>
        <w:t>” means holders of Common Units that are party to the LLC Agreement from time to time.</w:t>
      </w: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is defined in Section ‎4.1.</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Preferred Stock Directors</w:t>
      </w:r>
      <w:r>
        <w:rPr>
          <w:rFonts w:ascii="Times New Roman" w:cs="Times New Roman" w:eastAsia="Times New Roman" w:hAnsi="Times New Roman"/>
          <w:sz w:val="18"/>
          <w:szCs w:val="18"/>
          <w:color w:val="auto"/>
        </w:rPr>
        <w:t>” is defined in Section ‎7.1.</w:t>
      </w:r>
    </w:p>
    <w:p>
      <w:pPr>
        <w:spacing w:after="0" w:line="117" w:lineRule="exact"/>
        <w:rPr>
          <w:sz w:val="20"/>
          <w:szCs w:val="20"/>
          <w:color w:val="auto"/>
        </w:rPr>
      </w:pPr>
    </w:p>
    <w:p>
      <w:pPr>
        <w:ind w:left="1020" w:right="659" w:firstLine="360"/>
        <w:spacing w:after="0" w:line="282"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ProKidney Holdings, LLC</w:t>
      </w:r>
      <w:r>
        <w:rPr>
          <w:rFonts w:ascii="Times New Roman" w:cs="Times New Roman" w:eastAsia="Times New Roman" w:hAnsi="Times New Roman"/>
          <w:sz w:val="18"/>
          <w:szCs w:val="18"/>
          <w:color w:val="auto"/>
        </w:rPr>
        <w:t>” means ProKidney Holdings, LLC, a Delaware limited liability company or any successor thereto.</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Restricted Stock Rights</w:t>
      </w:r>
      <w:r>
        <w:rPr>
          <w:rFonts w:ascii="Times New Roman" w:cs="Times New Roman" w:eastAsia="Times New Roman" w:hAnsi="Times New Roman"/>
          <w:sz w:val="18"/>
          <w:szCs w:val="18"/>
          <w:color w:val="auto"/>
        </w:rPr>
        <w:t>” is defined in Section 16.</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RSR Holder</w:t>
      </w:r>
      <w:r>
        <w:rPr>
          <w:rFonts w:ascii="Times New Roman" w:cs="Times New Roman" w:eastAsia="Times New Roman" w:hAnsi="Times New Roman"/>
          <w:sz w:val="18"/>
          <w:szCs w:val="18"/>
          <w:color w:val="auto"/>
        </w:rPr>
        <w:t>” is defined in Section 16.</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Stock Adjustment</w:t>
      </w:r>
      <w:r>
        <w:rPr>
          <w:rFonts w:ascii="Times New Roman" w:cs="Times New Roman" w:eastAsia="Times New Roman" w:hAnsi="Times New Roman"/>
          <w:sz w:val="18"/>
          <w:szCs w:val="18"/>
          <w:color w:val="auto"/>
        </w:rPr>
        <w:t>” is defined in Section ‎5.1(ii)(3).</w:t>
      </w:r>
    </w:p>
    <w:p>
      <w:pPr>
        <w:spacing w:after="0" w:line="16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firstLine="360"/>
        <w:spacing w:after="0" w:line="289" w:lineRule="auto"/>
        <w:rPr>
          <w:sz w:val="20"/>
          <w:szCs w:val="20"/>
          <w:color w:val="auto"/>
        </w:rPr>
      </w:pPr>
      <w:r>
        <w:rPr>
          <w:rFonts w:ascii="Times New Roman" w:cs="Times New Roman" w:eastAsia="Times New Roman" w:hAnsi="Times New Roman"/>
          <w:sz w:val="17"/>
          <w:szCs w:val="17"/>
          <w:color w:val="auto"/>
        </w:rPr>
        <w:t>IN WITNESS WHEREOF, the incorporator hereinabove named makes and files this Certificate of Incorporation of ProKidney Corp. and does hereby declare and certify that said instrument is his act and deed and that the facts stated herein are true, and accordingly has executed this Certificate of Incorporation this [-] day of [-].</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34290</wp:posOffset>
            </wp:positionV>
            <wp:extent cx="21513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7"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Name:</w:t>
        <w:tab/>
        <w:t>Todd C. Girolamo</w:t>
      </w:r>
    </w:p>
    <w:p>
      <w:pPr>
        <w:spacing w:after="0" w:line="36"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[Sole Incorporator]</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 Page to Certificate of Incorporation]</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36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age</w:t>
            </w:r>
          </w:p>
        </w:tc>
      </w:tr>
      <w:tr>
        <w:trPr>
          <w:trHeight w:val="23"/>
        </w:trPr>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0"/>
        </w:trPr>
        <w:tc>
          <w:tcPr>
            <w:tcW w:w="1520" w:type="dxa"/>
            <w:vAlign w:val="bottom"/>
            <w:tcBorders>
              <w:bottom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w:t>
            </w:r>
            <w:r>
              <w:rPr>
                <w:rFonts w:ascii="Times New Roman" w:cs="Times New Roman" w:eastAsia="Times New Roman" w:hAnsi="Times New Roman"/>
                <w:sz w:val="12"/>
                <w:szCs w:val="12"/>
                <w:color w:val="0000EE"/>
              </w:rPr>
              <w:t>rticle</w:t>
            </w:r>
            <w:r>
              <w:rPr>
                <w:rFonts w:ascii="Times New Roman" w:cs="Times New Roman" w:eastAsia="Times New Roman" w:hAnsi="Times New Roman"/>
                <w:sz w:val="18"/>
                <w:szCs w:val="18"/>
                <w:color w:val="0000EE"/>
              </w:rPr>
              <w:t xml:space="preserve"> 1 D</w:t>
            </w:r>
            <w:r>
              <w:rPr>
                <w:rFonts w:ascii="Times New Roman" w:cs="Times New Roman" w:eastAsia="Times New Roman" w:hAnsi="Times New Roman"/>
                <w:sz w:val="12"/>
                <w:szCs w:val="12"/>
                <w:color w:val="0000EE"/>
              </w:rPr>
              <w:t>efinitions</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96"/>
              </w:rPr>
              <w:t>C-1</w:t>
            </w:r>
          </w:p>
        </w:tc>
        <w:tc>
          <w:tcPr>
            <w:tcW w:w="60" w:type="dxa"/>
            <w:vAlign w:val="bottom"/>
            <w:tcBorders>
              <w:bottom w:val="single" w:sz="8" w:color="CCEEFF"/>
            </w:tcBorders>
            <w:shd w:val="clear" w:color="auto" w:fill="CCEEFF"/>
          </w:tcPr>
          <w:p>
            <w:pPr>
              <w:spacing w:after="0"/>
              <w:rPr>
                <w:sz w:val="20"/>
                <w:szCs w:val="20"/>
                <w:color w:val="auto"/>
              </w:rPr>
            </w:pPr>
          </w:p>
        </w:tc>
      </w:tr>
      <w:tr>
        <w:trPr>
          <w:trHeight w:val="189"/>
        </w:trPr>
        <w:tc>
          <w:tcPr>
            <w:tcW w:w="79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A</w:t>
            </w:r>
            <w:r>
              <w:rPr>
                <w:rFonts w:ascii="Times New Roman" w:cs="Times New Roman" w:eastAsia="Times New Roman" w:hAnsi="Times New Roman"/>
                <w:sz w:val="12"/>
                <w:szCs w:val="12"/>
                <w:color w:val="0000EE"/>
              </w:rPr>
              <w:t>rticle</w:t>
            </w:r>
            <w:r>
              <w:rPr>
                <w:rFonts w:ascii="Times New Roman" w:cs="Times New Roman" w:eastAsia="Times New Roman" w:hAnsi="Times New Roman"/>
                <w:sz w:val="18"/>
                <w:szCs w:val="18"/>
                <w:color w:val="0000EE"/>
              </w:rPr>
              <w:t xml:space="preserve"> 2 S</w:t>
            </w:r>
            <w:r>
              <w:rPr>
                <w:rFonts w:ascii="Times New Roman" w:cs="Times New Roman" w:eastAsia="Times New Roman" w:hAnsi="Times New Roman"/>
                <w:sz w:val="12"/>
                <w:szCs w:val="12"/>
                <w:color w:val="0000EE"/>
              </w:rPr>
              <w:t>tockholders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6"/>
              </w:rPr>
              <w:t>C-2</w:t>
            </w:r>
          </w:p>
        </w:tc>
      </w:tr>
      <w:tr>
        <w:trPr>
          <w:trHeight w:val="34"/>
        </w:trPr>
        <w:tc>
          <w:tcPr>
            <w:tcW w:w="36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2.01.</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Place of Meetings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6"/>
              </w:rPr>
              <w:t>C-2</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2.02.</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Annual Meetings; Stockholder Proposals</w:t>
            </w:r>
            <w:r>
              <w:rPr>
                <w:rFonts w:ascii="Times New Roman" w:cs="Times New Roman" w:eastAsia="Times New Roman" w:hAnsi="Times New Roman"/>
                <w:sz w:val="18"/>
                <w:szCs w:val="18"/>
                <w:color w:val="0000EE"/>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6"/>
              </w:rPr>
              <w:t>C-2</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2.03.</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Special Meetings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6"/>
              </w:rPr>
              <w:t>C-5</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2.04.</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Record Date</w:t>
            </w:r>
            <w:r>
              <w:rPr>
                <w:rFonts w:ascii="Times New Roman" w:cs="Times New Roman" w:eastAsia="Times New Roman" w:hAnsi="Times New Roman"/>
                <w:sz w:val="18"/>
                <w:szCs w:val="18"/>
                <w:color w:val="0000EE"/>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6"/>
              </w:rPr>
              <w:t>C-5</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2.05.</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Notice of Meetings of Stockholders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6"/>
              </w:rPr>
              <w:t>C-6</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2.06.</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Waivers of Notice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6"/>
              </w:rPr>
              <w:t>C-6</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2.07.</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List of Stockholders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6"/>
              </w:rPr>
              <w:t>C-6</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2.08.</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Quorum of Stockholders; Adjournment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6"/>
              </w:rPr>
              <w:t>C-6</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2.09.</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Voting; Proxies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6"/>
              </w:rPr>
              <w:t>C-7</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2.10.</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Voting Procedures and Inspectors at Meetings of Stockholders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6"/>
              </w:rPr>
              <w:t>C-7</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2.11.</w:t>
            </w:r>
          </w:p>
        </w:tc>
        <w:tc>
          <w:tcPr>
            <w:tcW w:w="280" w:type="dxa"/>
            <w:vAlign w:val="bottom"/>
            <w:gridSpan w:val="4"/>
            <w:shd w:val="clear" w:color="auto" w:fill="CCEEFF"/>
          </w:tcPr>
          <w:p>
            <w:pPr>
              <w:spacing w:after="0"/>
              <w:rPr>
                <w:sz w:val="16"/>
                <w:szCs w:val="16"/>
                <w:color w:val="auto"/>
              </w:rPr>
            </w:pP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Conduct of Meetings; Adjournment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6"/>
              </w:rPr>
              <w:t>C-7</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2.12.</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Order of Business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6"/>
              </w:rPr>
              <w:t>C-8</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2.13.</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Written Consent of Stockholders Without a Meeting</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6"/>
              </w:rPr>
              <w:t>C-0</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5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EE"/>
              </w:rPr>
              <w:t>A</w:t>
            </w:r>
            <w:r>
              <w:rPr>
                <w:rFonts w:ascii="Times New Roman" w:cs="Times New Roman" w:eastAsia="Times New Roman" w:hAnsi="Times New Roman"/>
                <w:sz w:val="12"/>
                <w:szCs w:val="12"/>
                <w:color w:val="0000EE"/>
              </w:rPr>
              <w:t>rticle</w:t>
            </w:r>
            <w:r>
              <w:rPr>
                <w:rFonts w:ascii="Times New Roman" w:cs="Times New Roman" w:eastAsia="Times New Roman" w:hAnsi="Times New Roman"/>
                <w:sz w:val="18"/>
                <w:szCs w:val="18"/>
                <w:color w:val="0000EE"/>
              </w:rPr>
              <w:t xml:space="preserve"> 3 D</w:t>
            </w:r>
            <w:r>
              <w:rPr>
                <w:rFonts w:ascii="Times New Roman" w:cs="Times New Roman" w:eastAsia="Times New Roman" w:hAnsi="Times New Roman"/>
                <w:sz w:val="12"/>
                <w:szCs w:val="12"/>
                <w:color w:val="0000EE"/>
              </w:rPr>
              <w:t>irectors</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6"/>
              </w:rPr>
              <w:t>C-8</w:t>
            </w:r>
          </w:p>
        </w:tc>
      </w:tr>
      <w:tr>
        <w:trPr>
          <w:trHeight w:val="34"/>
        </w:trPr>
        <w:tc>
          <w:tcPr>
            <w:tcW w:w="36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3.01.</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General Powers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6"/>
              </w:rPr>
              <w:t>C-8</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3.02.</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Classes of Directors; Term of Office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6"/>
              </w:rPr>
              <w:t>C-8</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3.03.</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Nominations of Directors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6"/>
              </w:rPr>
              <w:t>C-8</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3.04.</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Nominee and Director Qualifications</w:t>
            </w:r>
          </w:p>
        </w:tc>
        <w:tc>
          <w:tcPr>
            <w:tcW w:w="20" w:type="dxa"/>
            <w:vAlign w:val="bottom"/>
          </w:tcPr>
          <w:p>
            <w:pPr>
              <w:spacing w:after="0"/>
              <w:rPr>
                <w:sz w:val="16"/>
                <w:szCs w:val="16"/>
                <w:color w:val="auto"/>
              </w:rPr>
            </w:pPr>
          </w:p>
        </w:tc>
        <w:tc>
          <w:tcPr>
            <w:tcW w:w="4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C-11</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3.05.</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Resignation</w:t>
            </w:r>
          </w:p>
        </w:tc>
        <w:tc>
          <w:tcPr>
            <w:tcW w:w="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C-11</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3.06.</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Compensation</w:t>
            </w:r>
          </w:p>
        </w:tc>
        <w:tc>
          <w:tcPr>
            <w:tcW w:w="20" w:type="dxa"/>
            <w:vAlign w:val="bottom"/>
          </w:tcPr>
          <w:p>
            <w:pPr>
              <w:spacing w:after="0"/>
              <w:rPr>
                <w:sz w:val="16"/>
                <w:szCs w:val="16"/>
                <w:color w:val="auto"/>
              </w:rPr>
            </w:pPr>
          </w:p>
        </w:tc>
        <w:tc>
          <w:tcPr>
            <w:tcW w:w="4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C-11</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3.07.</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Regular Meetings</w:t>
            </w:r>
          </w:p>
        </w:tc>
        <w:tc>
          <w:tcPr>
            <w:tcW w:w="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C-12</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3.08.</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Special Meetings</w:t>
            </w:r>
          </w:p>
        </w:tc>
        <w:tc>
          <w:tcPr>
            <w:tcW w:w="20" w:type="dxa"/>
            <w:vAlign w:val="bottom"/>
          </w:tcPr>
          <w:p>
            <w:pPr>
              <w:spacing w:after="0"/>
              <w:rPr>
                <w:sz w:val="16"/>
                <w:szCs w:val="16"/>
                <w:color w:val="auto"/>
              </w:rPr>
            </w:pPr>
          </w:p>
        </w:tc>
        <w:tc>
          <w:tcPr>
            <w:tcW w:w="4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C-12</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3.09.</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Telephone Meetings</w:t>
            </w:r>
          </w:p>
        </w:tc>
        <w:tc>
          <w:tcPr>
            <w:tcW w:w="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C-12</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3.10.</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Adjourned Meetings</w:t>
            </w:r>
          </w:p>
        </w:tc>
        <w:tc>
          <w:tcPr>
            <w:tcW w:w="20" w:type="dxa"/>
            <w:vAlign w:val="bottom"/>
          </w:tcPr>
          <w:p>
            <w:pPr>
              <w:spacing w:after="0"/>
              <w:rPr>
                <w:sz w:val="16"/>
                <w:szCs w:val="16"/>
                <w:color w:val="auto"/>
              </w:rPr>
            </w:pPr>
          </w:p>
        </w:tc>
        <w:tc>
          <w:tcPr>
            <w:tcW w:w="4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C-12</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3.11.</w:t>
            </w:r>
          </w:p>
        </w:tc>
        <w:tc>
          <w:tcPr>
            <w:tcW w:w="280" w:type="dxa"/>
            <w:vAlign w:val="bottom"/>
            <w:gridSpan w:val="4"/>
            <w:shd w:val="clear" w:color="auto" w:fill="CCEEFF"/>
          </w:tcPr>
          <w:p>
            <w:pPr>
              <w:spacing w:after="0"/>
              <w:rPr>
                <w:sz w:val="16"/>
                <w:szCs w:val="16"/>
                <w:color w:val="auto"/>
              </w:rPr>
            </w:pP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Notice Procedure</w:t>
            </w:r>
          </w:p>
        </w:tc>
        <w:tc>
          <w:tcPr>
            <w:tcW w:w="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C-12</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3.12.</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Waiver of Notice</w:t>
            </w:r>
          </w:p>
        </w:tc>
        <w:tc>
          <w:tcPr>
            <w:tcW w:w="20" w:type="dxa"/>
            <w:vAlign w:val="bottom"/>
          </w:tcPr>
          <w:p>
            <w:pPr>
              <w:spacing w:after="0"/>
              <w:rPr>
                <w:sz w:val="16"/>
                <w:szCs w:val="16"/>
                <w:color w:val="auto"/>
              </w:rPr>
            </w:pPr>
          </w:p>
        </w:tc>
        <w:tc>
          <w:tcPr>
            <w:tcW w:w="4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C-12</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3.13.</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Organization</w:t>
            </w:r>
          </w:p>
        </w:tc>
        <w:tc>
          <w:tcPr>
            <w:tcW w:w="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C-12</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3.14.</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Quorum of Directors</w:t>
            </w:r>
          </w:p>
        </w:tc>
        <w:tc>
          <w:tcPr>
            <w:tcW w:w="20" w:type="dxa"/>
            <w:vAlign w:val="bottom"/>
          </w:tcPr>
          <w:p>
            <w:pPr>
              <w:spacing w:after="0"/>
              <w:rPr>
                <w:sz w:val="16"/>
                <w:szCs w:val="16"/>
                <w:color w:val="auto"/>
              </w:rPr>
            </w:pPr>
          </w:p>
        </w:tc>
        <w:tc>
          <w:tcPr>
            <w:tcW w:w="4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C-12</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3.15.</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Action by Majority Vote</w:t>
            </w:r>
          </w:p>
        </w:tc>
        <w:tc>
          <w:tcPr>
            <w:tcW w:w="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C-12</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3.16.</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Action Without Meeting</w:t>
            </w:r>
          </w:p>
        </w:tc>
        <w:tc>
          <w:tcPr>
            <w:tcW w:w="20" w:type="dxa"/>
            <w:vAlign w:val="bottom"/>
          </w:tcPr>
          <w:p>
            <w:pPr>
              <w:spacing w:after="0"/>
              <w:rPr>
                <w:sz w:val="16"/>
                <w:szCs w:val="16"/>
                <w:color w:val="auto"/>
              </w:rPr>
            </w:pPr>
          </w:p>
        </w:tc>
        <w:tc>
          <w:tcPr>
            <w:tcW w:w="4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C-12</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3.17.</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Chairman and Lead Independent Director</w:t>
            </w:r>
          </w:p>
        </w:tc>
        <w:tc>
          <w:tcPr>
            <w:tcW w:w="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C-12</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A</w:t>
            </w:r>
            <w:r>
              <w:rPr>
                <w:rFonts w:ascii="Times New Roman" w:cs="Times New Roman" w:eastAsia="Times New Roman" w:hAnsi="Times New Roman"/>
                <w:sz w:val="12"/>
                <w:szCs w:val="12"/>
                <w:color w:val="0000EE"/>
              </w:rPr>
              <w:t>rticle</w:t>
            </w:r>
            <w:r>
              <w:rPr>
                <w:rFonts w:ascii="Times New Roman" w:cs="Times New Roman" w:eastAsia="Times New Roman" w:hAnsi="Times New Roman"/>
                <w:sz w:val="18"/>
                <w:szCs w:val="18"/>
                <w:color w:val="0000EE"/>
              </w:rPr>
              <w:t xml:space="preserve"> 4 C</w:t>
            </w:r>
            <w:r>
              <w:rPr>
                <w:rFonts w:ascii="Times New Roman" w:cs="Times New Roman" w:eastAsia="Times New Roman" w:hAnsi="Times New Roman"/>
                <w:sz w:val="12"/>
                <w:szCs w:val="12"/>
                <w:color w:val="0000EE"/>
              </w:rPr>
              <w:t>ommittees of the</w:t>
            </w:r>
            <w:r>
              <w:rPr>
                <w:rFonts w:ascii="Times New Roman" w:cs="Times New Roman" w:eastAsia="Times New Roman" w:hAnsi="Times New Roman"/>
                <w:sz w:val="18"/>
                <w:szCs w:val="18"/>
                <w:color w:val="0000EE"/>
              </w:rPr>
              <w:t xml:space="preserve"> B</w:t>
            </w:r>
            <w:r>
              <w:rPr>
                <w:rFonts w:ascii="Times New Roman" w:cs="Times New Roman" w:eastAsia="Times New Roman" w:hAnsi="Times New Roman"/>
                <w:sz w:val="12"/>
                <w:szCs w:val="12"/>
                <w:color w:val="0000EE"/>
              </w:rPr>
              <w:t>oard</w:t>
            </w:r>
          </w:p>
        </w:tc>
        <w:tc>
          <w:tcPr>
            <w:tcW w:w="20" w:type="dxa"/>
            <w:vAlign w:val="bottom"/>
          </w:tcPr>
          <w:p>
            <w:pPr>
              <w:spacing w:after="0"/>
              <w:rPr>
                <w:sz w:val="16"/>
                <w:szCs w:val="16"/>
                <w:color w:val="auto"/>
              </w:rPr>
            </w:pPr>
          </w:p>
        </w:tc>
        <w:tc>
          <w:tcPr>
            <w:tcW w:w="4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C-13</w:t>
            </w:r>
          </w:p>
        </w:tc>
      </w:tr>
      <w:tr>
        <w:trPr>
          <w:trHeight w:val="34"/>
        </w:trPr>
        <w:tc>
          <w:tcPr>
            <w:tcW w:w="36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5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w:t>
            </w:r>
            <w:r>
              <w:rPr>
                <w:rFonts w:ascii="Times New Roman" w:cs="Times New Roman" w:eastAsia="Times New Roman" w:hAnsi="Times New Roman"/>
                <w:sz w:val="12"/>
                <w:szCs w:val="12"/>
                <w:color w:val="0000EE"/>
              </w:rPr>
              <w:t>rticle</w:t>
            </w:r>
            <w:r>
              <w:rPr>
                <w:rFonts w:ascii="Times New Roman" w:cs="Times New Roman" w:eastAsia="Times New Roman" w:hAnsi="Times New Roman"/>
                <w:sz w:val="18"/>
                <w:szCs w:val="18"/>
                <w:color w:val="0000EE"/>
              </w:rPr>
              <w:t xml:space="preserve"> 5 O</w:t>
            </w:r>
            <w:r>
              <w:rPr>
                <w:rFonts w:ascii="Times New Roman" w:cs="Times New Roman" w:eastAsia="Times New Roman" w:hAnsi="Times New Roman"/>
                <w:sz w:val="12"/>
                <w:szCs w:val="12"/>
                <w:color w:val="0000EE"/>
              </w:rPr>
              <w:t>fficers</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C-13</w:t>
            </w:r>
          </w:p>
        </w:tc>
      </w:tr>
      <w:tr>
        <w:trPr>
          <w:trHeight w:val="34"/>
        </w:trPr>
        <w:tc>
          <w:tcPr>
            <w:tcW w:w="360" w:type="dxa"/>
            <w:vAlign w:val="bottom"/>
            <w:tcBorders>
              <w:top w:val="single" w:sz="8" w:color="0000EE"/>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9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9"/>
              </w:rPr>
              <w:t>Section 5.01.</w:t>
            </w:r>
          </w:p>
        </w:tc>
        <w:tc>
          <w:tcPr>
            <w:tcW w:w="260" w:type="dxa"/>
            <w:vAlign w:val="bottom"/>
            <w:gridSpan w:val="3"/>
          </w:tcPr>
          <w:p>
            <w:pPr>
              <w:spacing w:after="0"/>
              <w:rPr>
                <w:sz w:val="16"/>
                <w:szCs w:val="16"/>
                <w:color w:val="auto"/>
              </w:rPr>
            </w:pP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Positions; Election</w:t>
            </w:r>
          </w:p>
        </w:tc>
        <w:tc>
          <w:tcPr>
            <w:tcW w:w="20" w:type="dxa"/>
            <w:vAlign w:val="bottom"/>
          </w:tcPr>
          <w:p>
            <w:pPr>
              <w:spacing w:after="0"/>
              <w:rPr>
                <w:sz w:val="16"/>
                <w:szCs w:val="16"/>
                <w:color w:val="auto"/>
              </w:rPr>
            </w:pPr>
          </w:p>
        </w:tc>
        <w:tc>
          <w:tcPr>
            <w:tcW w:w="4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C-13</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5.02.</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Term of Office</w:t>
            </w:r>
          </w:p>
        </w:tc>
        <w:tc>
          <w:tcPr>
            <w:tcW w:w="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C-13</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5.03.</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Chief Executive Officer</w:t>
            </w:r>
          </w:p>
        </w:tc>
        <w:tc>
          <w:tcPr>
            <w:tcW w:w="20" w:type="dxa"/>
            <w:vAlign w:val="bottom"/>
          </w:tcPr>
          <w:p>
            <w:pPr>
              <w:spacing w:after="0"/>
              <w:rPr>
                <w:sz w:val="16"/>
                <w:szCs w:val="16"/>
                <w:color w:val="auto"/>
              </w:rPr>
            </w:pPr>
          </w:p>
        </w:tc>
        <w:tc>
          <w:tcPr>
            <w:tcW w:w="4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C-13</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5.04.</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President</w:t>
            </w:r>
          </w:p>
        </w:tc>
        <w:tc>
          <w:tcPr>
            <w:tcW w:w="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C-14</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5.05.</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Vice Presidents</w:t>
            </w:r>
          </w:p>
        </w:tc>
        <w:tc>
          <w:tcPr>
            <w:tcW w:w="20" w:type="dxa"/>
            <w:vAlign w:val="bottom"/>
          </w:tcPr>
          <w:p>
            <w:pPr>
              <w:spacing w:after="0"/>
              <w:rPr>
                <w:sz w:val="16"/>
                <w:szCs w:val="16"/>
                <w:color w:val="auto"/>
              </w:rPr>
            </w:pPr>
          </w:p>
        </w:tc>
        <w:tc>
          <w:tcPr>
            <w:tcW w:w="4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C-14</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5.06.</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Chief Financial Officer</w:t>
            </w:r>
          </w:p>
        </w:tc>
        <w:tc>
          <w:tcPr>
            <w:tcW w:w="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C-14</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5.07.</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Secretary</w:t>
            </w:r>
          </w:p>
        </w:tc>
        <w:tc>
          <w:tcPr>
            <w:tcW w:w="20" w:type="dxa"/>
            <w:vAlign w:val="bottom"/>
          </w:tcPr>
          <w:p>
            <w:pPr>
              <w:spacing w:after="0"/>
              <w:rPr>
                <w:sz w:val="16"/>
                <w:szCs w:val="16"/>
                <w:color w:val="auto"/>
              </w:rPr>
            </w:pPr>
          </w:p>
        </w:tc>
        <w:tc>
          <w:tcPr>
            <w:tcW w:w="4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C-14</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5.08.</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Treasurer</w:t>
            </w:r>
          </w:p>
        </w:tc>
        <w:tc>
          <w:tcPr>
            <w:tcW w:w="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C-14</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5.09.</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Assistant Secretaries and Assistant Treasurers</w:t>
            </w:r>
          </w:p>
        </w:tc>
        <w:tc>
          <w:tcPr>
            <w:tcW w:w="20" w:type="dxa"/>
            <w:vAlign w:val="bottom"/>
          </w:tcPr>
          <w:p>
            <w:pPr>
              <w:spacing w:after="0"/>
              <w:rPr>
                <w:sz w:val="16"/>
                <w:szCs w:val="16"/>
                <w:color w:val="auto"/>
              </w:rPr>
            </w:pPr>
          </w:p>
        </w:tc>
        <w:tc>
          <w:tcPr>
            <w:tcW w:w="4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C-15</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9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w:t>
            </w:r>
            <w:r>
              <w:rPr>
                <w:rFonts w:ascii="Times New Roman" w:cs="Times New Roman" w:eastAsia="Times New Roman" w:hAnsi="Times New Roman"/>
                <w:sz w:val="12"/>
                <w:szCs w:val="12"/>
                <w:color w:val="0000EE"/>
              </w:rPr>
              <w:t>rticle</w:t>
            </w:r>
            <w:r>
              <w:rPr>
                <w:rFonts w:ascii="Times New Roman" w:cs="Times New Roman" w:eastAsia="Times New Roman" w:hAnsi="Times New Roman"/>
                <w:sz w:val="18"/>
                <w:szCs w:val="18"/>
                <w:color w:val="0000EE"/>
              </w:rPr>
              <w:t xml:space="preserve"> 6 G</w:t>
            </w:r>
            <w:r>
              <w:rPr>
                <w:rFonts w:ascii="Times New Roman" w:cs="Times New Roman" w:eastAsia="Times New Roman" w:hAnsi="Times New Roman"/>
                <w:sz w:val="12"/>
                <w:szCs w:val="12"/>
                <w:color w:val="0000EE"/>
              </w:rPr>
              <w:t>eneral</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rovisions</w:t>
            </w:r>
          </w:p>
        </w:tc>
        <w:tc>
          <w:tcPr>
            <w:tcW w:w="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C-15</w:t>
            </w:r>
          </w:p>
        </w:tc>
      </w:tr>
      <w:tr>
        <w:trPr>
          <w:trHeight w:val="34"/>
        </w:trPr>
        <w:tc>
          <w:tcPr>
            <w:tcW w:w="360" w:type="dxa"/>
            <w:vAlign w:val="bottom"/>
            <w:tcBorders>
              <w:top w:val="single" w:sz="8" w:color="0000EE"/>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6.01.</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Certificates Representing Shares</w:t>
            </w:r>
          </w:p>
        </w:tc>
        <w:tc>
          <w:tcPr>
            <w:tcW w:w="20" w:type="dxa"/>
            <w:vAlign w:val="bottom"/>
          </w:tcPr>
          <w:p>
            <w:pPr>
              <w:spacing w:after="0"/>
              <w:rPr>
                <w:sz w:val="16"/>
                <w:szCs w:val="16"/>
                <w:color w:val="auto"/>
              </w:rPr>
            </w:pPr>
          </w:p>
        </w:tc>
        <w:tc>
          <w:tcPr>
            <w:tcW w:w="4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C-15</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6.02.</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Transfer and Registry Agents</w:t>
            </w:r>
          </w:p>
        </w:tc>
        <w:tc>
          <w:tcPr>
            <w:tcW w:w="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C-15</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Section 6.03.</w:t>
            </w:r>
          </w:p>
        </w:tc>
        <w:tc>
          <w:tcPr>
            <w:tcW w:w="64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Lost, Stolen or Destroyed Certificates</w:t>
            </w:r>
          </w:p>
        </w:tc>
        <w:tc>
          <w:tcPr>
            <w:tcW w:w="20" w:type="dxa"/>
            <w:vAlign w:val="bottom"/>
          </w:tcPr>
          <w:p>
            <w:pPr>
              <w:spacing w:after="0"/>
              <w:rPr>
                <w:sz w:val="16"/>
                <w:szCs w:val="16"/>
                <w:color w:val="auto"/>
              </w:rPr>
            </w:pPr>
          </w:p>
        </w:tc>
        <w:tc>
          <w:tcPr>
            <w:tcW w:w="4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C-15</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6.04.</w:t>
            </w:r>
          </w:p>
        </w:tc>
        <w:tc>
          <w:tcPr>
            <w:tcW w:w="64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Form of Records</w:t>
            </w:r>
          </w:p>
        </w:tc>
        <w:tc>
          <w:tcPr>
            <w:tcW w:w="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4"/>
              </w:rPr>
              <w:t>C-15</w:t>
            </w:r>
          </w:p>
        </w:tc>
      </w:tr>
      <w:tr>
        <w:trPr>
          <w:trHeight w:val="75"/>
        </w:trPr>
        <w:tc>
          <w:tcPr>
            <w:tcW w:w="36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9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age</w:t>
            </w:r>
          </w:p>
        </w:tc>
      </w:tr>
      <w:tr>
        <w:trPr>
          <w:trHeight w:val="23"/>
        </w:trPr>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3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Section 6.05.</w:t>
            </w:r>
          </w:p>
        </w:tc>
        <w:tc>
          <w:tcPr>
            <w:tcW w:w="640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Seal</w:t>
            </w:r>
          </w:p>
        </w:tc>
        <w:tc>
          <w:tcPr>
            <w:tcW w:w="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center"/>
              <w:ind w:right="60"/>
              <w:spacing w:after="0" w:line="196" w:lineRule="exact"/>
              <w:rPr>
                <w:sz w:val="20"/>
                <w:szCs w:val="20"/>
                <w:color w:val="auto"/>
              </w:rPr>
            </w:pPr>
            <w:r>
              <w:rPr>
                <w:rFonts w:ascii="Times New Roman" w:cs="Times New Roman" w:eastAsia="Times New Roman" w:hAnsi="Times New Roman"/>
                <w:sz w:val="18"/>
                <w:szCs w:val="18"/>
                <w:color w:val="0000EE"/>
                <w:w w:val="99"/>
              </w:rPr>
              <w:t>C-15</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Section 6.06.</w:t>
            </w: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Fiscal Year</w:t>
            </w:r>
          </w:p>
        </w:tc>
        <w:tc>
          <w:tcPr>
            <w:tcW w:w="20" w:type="dxa"/>
            <w:vAlign w:val="bottom"/>
          </w:tcPr>
          <w:p>
            <w:pPr>
              <w:spacing w:after="0"/>
              <w:rPr>
                <w:sz w:val="16"/>
                <w:szCs w:val="16"/>
                <w:color w:val="auto"/>
              </w:rPr>
            </w:pPr>
          </w:p>
        </w:tc>
        <w:tc>
          <w:tcPr>
            <w:tcW w:w="42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EE"/>
                <w:w w:val="99"/>
              </w:rPr>
              <w:t>C-15</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6.07.</w:t>
            </w: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Amendments</w:t>
            </w:r>
          </w:p>
        </w:tc>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EE"/>
                <w:w w:val="99"/>
              </w:rPr>
              <w:t>C-15</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Section 6.08.</w:t>
            </w: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Conflict with Applicable Law or Certificate of Incorporation</w:t>
            </w:r>
          </w:p>
        </w:tc>
        <w:tc>
          <w:tcPr>
            <w:tcW w:w="20" w:type="dxa"/>
            <w:vAlign w:val="bottom"/>
          </w:tcPr>
          <w:p>
            <w:pPr>
              <w:spacing w:after="0"/>
              <w:rPr>
                <w:sz w:val="16"/>
                <w:szCs w:val="16"/>
                <w:color w:val="auto"/>
              </w:rPr>
            </w:pPr>
          </w:p>
        </w:tc>
        <w:tc>
          <w:tcPr>
            <w:tcW w:w="42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EE"/>
                <w:w w:val="99"/>
              </w:rPr>
              <w:t>C-16</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w:t>
            </w:r>
            <w:r>
              <w:rPr>
                <w:rFonts w:ascii="Times New Roman" w:cs="Times New Roman" w:eastAsia="Times New Roman" w:hAnsi="Times New Roman"/>
                <w:sz w:val="12"/>
                <w:szCs w:val="12"/>
                <w:color w:val="0000EE"/>
              </w:rPr>
              <w:t>rticle</w:t>
            </w:r>
            <w:r>
              <w:rPr>
                <w:rFonts w:ascii="Times New Roman" w:cs="Times New Roman" w:eastAsia="Times New Roman" w:hAnsi="Times New Roman"/>
                <w:sz w:val="18"/>
                <w:szCs w:val="18"/>
                <w:color w:val="0000EE"/>
              </w:rPr>
              <w:t xml:space="preserve"> 7 I</w:t>
            </w:r>
            <w:r>
              <w:rPr>
                <w:rFonts w:ascii="Times New Roman" w:cs="Times New Roman" w:eastAsia="Times New Roman" w:hAnsi="Times New Roman"/>
                <w:sz w:val="12"/>
                <w:szCs w:val="12"/>
                <w:color w:val="0000EE"/>
              </w:rPr>
              <w:t>ndemnification</w:t>
            </w:r>
          </w:p>
        </w:tc>
        <w:tc>
          <w:tcPr>
            <w:tcW w:w="6160" w:type="dxa"/>
            <w:vAlign w:val="bottom"/>
            <w:gridSpan w:val="13"/>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EE"/>
                <w:w w:val="99"/>
              </w:rPr>
              <w:t>C-16</w:t>
            </w:r>
          </w:p>
        </w:tc>
      </w:tr>
      <w:tr>
        <w:trPr>
          <w:trHeight w:val="34"/>
        </w:trPr>
        <w:tc>
          <w:tcPr>
            <w:tcW w:w="360" w:type="dxa"/>
            <w:vAlign w:val="bottom"/>
            <w:tcBorders>
              <w:top w:val="single" w:sz="8" w:color="0000EE"/>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Section 7.01.</w:t>
            </w: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Directors and Executive Officers</w:t>
            </w:r>
          </w:p>
        </w:tc>
        <w:tc>
          <w:tcPr>
            <w:tcW w:w="20" w:type="dxa"/>
            <w:vAlign w:val="bottom"/>
          </w:tcPr>
          <w:p>
            <w:pPr>
              <w:spacing w:after="0"/>
              <w:rPr>
                <w:sz w:val="16"/>
                <w:szCs w:val="16"/>
                <w:color w:val="auto"/>
              </w:rPr>
            </w:pPr>
          </w:p>
        </w:tc>
        <w:tc>
          <w:tcPr>
            <w:tcW w:w="42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EE"/>
                <w:w w:val="99"/>
              </w:rPr>
              <w:t>C-16</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7.02.</w:t>
            </w: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Other Officers, Employees and Other Agents</w:t>
            </w:r>
          </w:p>
        </w:tc>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EE"/>
                <w:w w:val="99"/>
              </w:rPr>
              <w:t>C-16</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Section 7.03.</w:t>
            </w: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Expenses</w:t>
            </w:r>
          </w:p>
        </w:tc>
        <w:tc>
          <w:tcPr>
            <w:tcW w:w="20" w:type="dxa"/>
            <w:vAlign w:val="bottom"/>
          </w:tcPr>
          <w:p>
            <w:pPr>
              <w:spacing w:after="0"/>
              <w:rPr>
                <w:sz w:val="16"/>
                <w:szCs w:val="16"/>
                <w:color w:val="auto"/>
              </w:rPr>
            </w:pPr>
          </w:p>
        </w:tc>
        <w:tc>
          <w:tcPr>
            <w:tcW w:w="42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EE"/>
                <w:w w:val="99"/>
              </w:rPr>
              <w:t>C-16</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7.04.</w:t>
            </w: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Enforcement</w:t>
            </w:r>
          </w:p>
        </w:tc>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EE"/>
                <w:w w:val="99"/>
              </w:rPr>
              <w:t>C-16</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Section 7.05.</w:t>
            </w: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Non-Exclusivity of Rights</w:t>
            </w:r>
          </w:p>
        </w:tc>
        <w:tc>
          <w:tcPr>
            <w:tcW w:w="20" w:type="dxa"/>
            <w:vAlign w:val="bottom"/>
          </w:tcPr>
          <w:p>
            <w:pPr>
              <w:spacing w:after="0"/>
              <w:rPr>
                <w:sz w:val="16"/>
                <w:szCs w:val="16"/>
                <w:color w:val="auto"/>
              </w:rPr>
            </w:pPr>
          </w:p>
        </w:tc>
        <w:tc>
          <w:tcPr>
            <w:tcW w:w="42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EE"/>
                <w:w w:val="99"/>
              </w:rPr>
              <w:t>C-17</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7.06.</w:t>
            </w: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Survival of Rights</w:t>
            </w:r>
          </w:p>
        </w:tc>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EE"/>
                <w:w w:val="99"/>
              </w:rPr>
              <w:t>C-17</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Section 7.07.</w:t>
            </w: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Insurance</w:t>
            </w:r>
          </w:p>
        </w:tc>
        <w:tc>
          <w:tcPr>
            <w:tcW w:w="20" w:type="dxa"/>
            <w:vAlign w:val="bottom"/>
          </w:tcPr>
          <w:p>
            <w:pPr>
              <w:spacing w:after="0"/>
              <w:rPr>
                <w:sz w:val="16"/>
                <w:szCs w:val="16"/>
                <w:color w:val="auto"/>
              </w:rPr>
            </w:pPr>
          </w:p>
        </w:tc>
        <w:tc>
          <w:tcPr>
            <w:tcW w:w="42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EE"/>
                <w:w w:val="99"/>
              </w:rPr>
              <w:t>C-17</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7.08.</w:t>
            </w: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Amendments</w:t>
            </w:r>
          </w:p>
        </w:tc>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EE"/>
                <w:w w:val="99"/>
              </w:rPr>
              <w:t>C-17</w:t>
            </w:r>
          </w:p>
        </w:tc>
      </w:tr>
      <w:tr>
        <w:trPr>
          <w:trHeight w:val="34"/>
        </w:trPr>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tcPr>
          <w:p>
            <w:pPr>
              <w:spacing w:after="0"/>
              <w:rPr>
                <w:sz w:val="16"/>
                <w:szCs w:val="16"/>
                <w:color w:val="auto"/>
              </w:rPr>
            </w:pPr>
          </w:p>
        </w:tc>
        <w:tc>
          <w:tcPr>
            <w:tcW w:w="1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Section 7.09.</w:t>
            </w: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Saving Clause</w:t>
            </w:r>
          </w:p>
        </w:tc>
        <w:tc>
          <w:tcPr>
            <w:tcW w:w="20" w:type="dxa"/>
            <w:vAlign w:val="bottom"/>
          </w:tcPr>
          <w:p>
            <w:pPr>
              <w:spacing w:after="0"/>
              <w:rPr>
                <w:sz w:val="16"/>
                <w:szCs w:val="16"/>
                <w:color w:val="auto"/>
              </w:rPr>
            </w:pPr>
          </w:p>
        </w:tc>
        <w:tc>
          <w:tcPr>
            <w:tcW w:w="42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EE"/>
                <w:w w:val="99"/>
              </w:rPr>
              <w:t>C-17</w:t>
            </w:r>
          </w:p>
        </w:tc>
      </w:tr>
      <w:tr>
        <w:trPr>
          <w:trHeight w:val="34"/>
        </w:trPr>
        <w:tc>
          <w:tcPr>
            <w:tcW w:w="36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7.10.</w:t>
            </w: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EE"/>
              </w:rPr>
              <w:t>Certain Definitions</w:t>
            </w:r>
          </w:p>
        </w:tc>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EE"/>
                <w:w w:val="99"/>
              </w:rPr>
              <w:t>C-17</w:t>
            </w:r>
          </w:p>
        </w:tc>
      </w:tr>
      <w:tr>
        <w:trPr>
          <w:trHeight w:val="74"/>
        </w:trPr>
        <w:tc>
          <w:tcPr>
            <w:tcW w:w="36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20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these By-laws, unless the context otherwise requires, the term:</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Assistant Secretary</w:t>
      </w:r>
      <w:r>
        <w:rPr>
          <w:rFonts w:ascii="Times New Roman" w:cs="Times New Roman" w:eastAsia="Times New Roman" w:hAnsi="Times New Roman"/>
          <w:sz w:val="18"/>
          <w:szCs w:val="18"/>
          <w:color w:val="auto"/>
        </w:rPr>
        <w:t>” means an Assistant Secretary of the Corporation.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Assistant Treasurer</w:t>
      </w:r>
      <w:r>
        <w:rPr>
          <w:rFonts w:ascii="Times New Roman" w:cs="Times New Roman" w:eastAsia="Times New Roman" w:hAnsi="Times New Roman"/>
          <w:sz w:val="18"/>
          <w:szCs w:val="18"/>
          <w:color w:val="auto"/>
        </w:rPr>
        <w:t>” means an Assistant Treasurer of the Corporation.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Corporation.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means the By-laws of the Corporation, as amended and restated.</w:t>
      </w:r>
    </w:p>
    <w:p>
      <w:pPr>
        <w:spacing w:after="0" w:line="117" w:lineRule="exact"/>
        <w:rPr>
          <w:sz w:val="20"/>
          <w:szCs w:val="20"/>
          <w:color w:val="auto"/>
        </w:rPr>
      </w:pPr>
    </w:p>
    <w:p>
      <w:pPr>
        <w:ind w:left="300" w:right="6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means the Certificate of Incorporation of the Corporation, as amended and restated.</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Chairman</w:t>
      </w:r>
      <w:r>
        <w:rPr>
          <w:rFonts w:ascii="Times New Roman" w:cs="Times New Roman" w:eastAsia="Times New Roman" w:hAnsi="Times New Roman"/>
          <w:sz w:val="18"/>
          <w:szCs w:val="18"/>
          <w:color w:val="auto"/>
        </w:rPr>
        <w:t>” means the Chairman of the Board and includes any Executive Chairman.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Chief Executive Officer</w:t>
      </w:r>
      <w:r>
        <w:rPr>
          <w:rFonts w:ascii="Times New Roman" w:cs="Times New Roman" w:eastAsia="Times New Roman" w:hAnsi="Times New Roman"/>
          <w:sz w:val="18"/>
          <w:szCs w:val="18"/>
          <w:color w:val="auto"/>
        </w:rPr>
        <w:t>” means the Chief Executive Officer of the Corporation.</w:t>
      </w:r>
    </w:p>
    <w:p>
      <w:pPr>
        <w:spacing w:after="0" w:line="117" w:lineRule="exact"/>
        <w:rPr>
          <w:sz w:val="20"/>
          <w:szCs w:val="20"/>
          <w:color w:val="auto"/>
        </w:rPr>
      </w:pPr>
    </w:p>
    <w:p>
      <w:pPr>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the terms “controlling” and “controlled”),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means ProKidney Corp.</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w:t>
      </w:r>
      <w:r>
        <w:rPr>
          <w:rFonts w:ascii="Times New Roman" w:cs="Times New Roman" w:eastAsia="Times New Roman" w:hAnsi="Times New Roman"/>
          <w:sz w:val="18"/>
          <w:szCs w:val="18"/>
          <w:color w:val="auto"/>
        </w:rPr>
        <w:t>” is defined in Section‎ 2.02(d)(iii).</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means the directors of the Corporation.</w:t>
      </w:r>
    </w:p>
    <w:p>
      <w:pPr>
        <w:spacing w:after="0" w:line="117" w:lineRule="exact"/>
        <w:rPr>
          <w:sz w:val="20"/>
          <w:szCs w:val="20"/>
          <w:color w:val="auto"/>
        </w:rPr>
      </w:pPr>
    </w:p>
    <w:p>
      <w:pPr>
        <w:ind w:left="300" w:right="35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recipient through an automated process.</w:t>
      </w:r>
    </w:p>
    <w:p>
      <w:pPr>
        <w:spacing w:after="0" w:line="71" w:lineRule="exact"/>
        <w:rPr>
          <w:sz w:val="20"/>
          <w:szCs w:val="20"/>
          <w:color w:val="auto"/>
        </w:rPr>
      </w:pPr>
    </w:p>
    <w:p>
      <w:pPr>
        <w:ind w:left="300" w:right="37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mail</w:t>
      </w:r>
      <w:r>
        <w:rPr>
          <w:rFonts w:ascii="Times New Roman" w:cs="Times New Roman" w:eastAsia="Times New Roman" w:hAnsi="Times New Roman"/>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68" w:lineRule="exact"/>
        <w:rPr>
          <w:sz w:val="20"/>
          <w:szCs w:val="20"/>
          <w:color w:val="auto"/>
        </w:rPr>
      </w:pPr>
    </w:p>
    <w:p>
      <w:pPr>
        <w:ind w:left="300" w:right="37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mail address</w:t>
      </w:r>
      <w:r>
        <w:rPr>
          <w:rFonts w:ascii="Times New Roman" w:cs="Times New Roman" w:eastAsia="Times New Roman" w:hAnsi="Times New Roman"/>
          <w:sz w:val="18"/>
          <w:szCs w:val="18"/>
          <w:color w:val="auto"/>
        </w:rPr>
        <w:t>” means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68" w:lineRule="exact"/>
        <w:rPr>
          <w:sz w:val="20"/>
          <w:szCs w:val="20"/>
          <w:color w:val="auto"/>
        </w:rPr>
      </w:pPr>
    </w:p>
    <w:p>
      <w:pPr>
        <w:ind w:left="300" w:right="57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any successor law or statute, and the rules and regulations promulgated thereunder.</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Chairman</w:t>
      </w:r>
      <w:r>
        <w:rPr>
          <w:rFonts w:ascii="Times New Roman" w:cs="Times New Roman" w:eastAsia="Times New Roman" w:hAnsi="Times New Roman"/>
          <w:sz w:val="18"/>
          <w:szCs w:val="18"/>
          <w:color w:val="auto"/>
        </w:rPr>
        <w:t>” means the Executive Chairman of the Board.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 means the General Corporation Law of the State of Delaware, as amended.</w:t>
      </w:r>
    </w:p>
    <w:p>
      <w:pPr>
        <w:spacing w:after="0" w:line="117" w:lineRule="exact"/>
        <w:rPr>
          <w:sz w:val="20"/>
          <w:szCs w:val="20"/>
          <w:color w:val="auto"/>
        </w:rPr>
      </w:pPr>
    </w:p>
    <w:p>
      <w:pPr>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U.S. or non-U.S. federal, state or local law (statutory, common or otherwise), constitution, treaty, convention, ordinance, code, rule, regulation, order, injunction, judgment, decree, ruling or other similar requirement enacted, adopted, promulgated or applied by a governmental authority (including any department, court, agency or official, or non-governmental self-regulatory organization, agency or authority and any political subdivision or instrumentality thereof).</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Nominating Stockholder</w:t>
      </w:r>
      <w:r>
        <w:rPr>
          <w:rFonts w:ascii="Times New Roman" w:cs="Times New Roman" w:eastAsia="Times New Roman" w:hAnsi="Times New Roman"/>
          <w:sz w:val="18"/>
          <w:szCs w:val="18"/>
          <w:color w:val="auto"/>
        </w:rPr>
        <w:t>” is defined in Section‎ 3.03(b).</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Business</w:t>
      </w:r>
      <w:r>
        <w:rPr>
          <w:rFonts w:ascii="Times New Roman" w:cs="Times New Roman" w:eastAsia="Times New Roman" w:hAnsi="Times New Roman"/>
          <w:sz w:val="18"/>
          <w:szCs w:val="18"/>
          <w:color w:val="auto"/>
        </w:rPr>
        <w:t>” is defined in Section‎ 2.02(c).</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Nomination</w:t>
      </w:r>
      <w:r>
        <w:rPr>
          <w:rFonts w:ascii="Times New Roman" w:cs="Times New Roman" w:eastAsia="Times New Roman" w:hAnsi="Times New Roman"/>
          <w:sz w:val="18"/>
          <w:szCs w:val="18"/>
          <w:color w:val="auto"/>
        </w:rPr>
        <w:t>” is defined in Section‎ 3.03(c).</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Record Date</w:t>
      </w:r>
      <w:r>
        <w:rPr>
          <w:rFonts w:ascii="Times New Roman" w:cs="Times New Roman" w:eastAsia="Times New Roman" w:hAnsi="Times New Roman"/>
          <w:sz w:val="18"/>
          <w:szCs w:val="18"/>
          <w:color w:val="auto"/>
        </w:rPr>
        <w:t>” is defined in Section‎ 2.04(a).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6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 of the Corporation</w:t>
      </w:r>
      <w:r>
        <w:rPr>
          <w:rFonts w:ascii="Times New Roman" w:cs="Times New Roman" w:eastAsia="Times New Roman" w:hAnsi="Times New Roman"/>
          <w:sz w:val="18"/>
          <w:szCs w:val="18"/>
          <w:color w:val="auto"/>
        </w:rPr>
        <w:t>” means the executive office of the Corporation, anything in Section 131 of the General Corporation Law to the contrary notwithstanding.</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President</w:t>
      </w:r>
      <w:r>
        <w:rPr>
          <w:rFonts w:ascii="Times New Roman" w:cs="Times New Roman" w:eastAsia="Times New Roman" w:hAnsi="Times New Roman"/>
          <w:sz w:val="18"/>
          <w:szCs w:val="18"/>
          <w:color w:val="auto"/>
        </w:rPr>
        <w:t>” means the President of the Corporation.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Proponent</w:t>
      </w:r>
      <w:r>
        <w:rPr>
          <w:rFonts w:ascii="Times New Roman" w:cs="Times New Roman" w:eastAsia="Times New Roman" w:hAnsi="Times New Roman"/>
          <w:sz w:val="18"/>
          <w:szCs w:val="18"/>
          <w:color w:val="auto"/>
        </w:rPr>
        <w:t>” is defined in Section‎ 2.02(d)(i).</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Disclosure</w:t>
      </w:r>
      <w:r>
        <w:rPr>
          <w:rFonts w:ascii="Times New Roman" w:cs="Times New Roman" w:eastAsia="Times New Roman" w:hAnsi="Times New Roman"/>
          <w:sz w:val="18"/>
          <w:szCs w:val="18"/>
          <w:color w:val="auto"/>
        </w:rPr>
        <w:t>” is defined in Section‎ 2.02(i).</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Secretary</w:t>
      </w:r>
      <w:r>
        <w:rPr>
          <w:rFonts w:ascii="Times New Roman" w:cs="Times New Roman" w:eastAsia="Times New Roman" w:hAnsi="Times New Roman"/>
          <w:sz w:val="18"/>
          <w:szCs w:val="18"/>
          <w:color w:val="auto"/>
        </w:rPr>
        <w:t>” means the Secretary of the Corporation.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Associated Person</w:t>
      </w:r>
      <w:r>
        <w:rPr>
          <w:rFonts w:ascii="Times New Roman" w:cs="Times New Roman" w:eastAsia="Times New Roman" w:hAnsi="Times New Roman"/>
          <w:sz w:val="18"/>
          <w:szCs w:val="18"/>
          <w:color w:val="auto"/>
        </w:rPr>
        <w:t>” is defined in Section‎ 2.02(j).</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Business</w:t>
      </w:r>
      <w:r>
        <w:rPr>
          <w:rFonts w:ascii="Times New Roman" w:cs="Times New Roman" w:eastAsia="Times New Roman" w:hAnsi="Times New Roman"/>
          <w:sz w:val="18"/>
          <w:szCs w:val="18"/>
          <w:color w:val="auto"/>
        </w:rPr>
        <w:t>” is defined in Section‎ 2.02(b).</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Information</w:t>
      </w:r>
      <w:r>
        <w:rPr>
          <w:rFonts w:ascii="Times New Roman" w:cs="Times New Roman" w:eastAsia="Times New Roman" w:hAnsi="Times New Roman"/>
          <w:sz w:val="18"/>
          <w:szCs w:val="18"/>
          <w:color w:val="auto"/>
        </w:rPr>
        <w:t>” is defined in Section‎ 2.02(d)(iii).</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Nominees</w:t>
      </w:r>
      <w:r>
        <w:rPr>
          <w:rFonts w:ascii="Times New Roman" w:cs="Times New Roman" w:eastAsia="Times New Roman" w:hAnsi="Times New Roman"/>
          <w:sz w:val="18"/>
          <w:szCs w:val="18"/>
          <w:color w:val="auto"/>
        </w:rPr>
        <w:t>” is defined in Section‎ 3.03(b).</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 means the stockholders of the Corporation.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Treasurer</w:t>
      </w:r>
      <w:r>
        <w:rPr>
          <w:rFonts w:ascii="Times New Roman" w:cs="Times New Roman" w:eastAsia="Times New Roman" w:hAnsi="Times New Roman"/>
          <w:sz w:val="18"/>
          <w:szCs w:val="18"/>
          <w:color w:val="auto"/>
        </w:rPr>
        <w:t>” means the Treasurer of the Corporation.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Vice President</w:t>
      </w:r>
      <w:r>
        <w:rPr>
          <w:rFonts w:ascii="Times New Roman" w:cs="Times New Roman" w:eastAsia="Times New Roman" w:hAnsi="Times New Roman"/>
          <w:sz w:val="18"/>
          <w:szCs w:val="18"/>
          <w:color w:val="auto"/>
        </w:rPr>
        <w:t>” means a Vice President of the Corporation.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Commitment</w:t>
      </w:r>
      <w:r>
        <w:rPr>
          <w:rFonts w:ascii="Times New Roman" w:cs="Times New Roman" w:eastAsia="Times New Roman" w:hAnsi="Times New Roman"/>
          <w:sz w:val="18"/>
          <w:szCs w:val="18"/>
          <w:color w:val="auto"/>
        </w:rPr>
        <w:t>” is defined in Section‎ 3.04.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Record Date</w:t>
      </w:r>
      <w:r>
        <w:rPr>
          <w:rFonts w:ascii="Times New Roman" w:cs="Times New Roman" w:eastAsia="Times New Roman" w:hAnsi="Times New Roman"/>
          <w:sz w:val="18"/>
          <w:szCs w:val="18"/>
          <w:color w:val="auto"/>
        </w:rPr>
        <w:t>” is defined in Section‎ 2.04(a).</w:t>
      </w:r>
    </w:p>
    <w:p>
      <w:pPr>
        <w:spacing w:after="0" w:line="22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tockholders</w:t>
      </w:r>
    </w:p>
    <w:p>
      <w:pPr>
        <w:spacing w:after="0" w:line="9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Place of Meetings</w:t>
      </w:r>
      <w:r>
        <w:rPr>
          <w:rFonts w:ascii="Times New Roman" w:cs="Times New Roman" w:eastAsia="Times New Roman" w:hAnsi="Times New Roman"/>
          <w:sz w:val="18"/>
          <w:szCs w:val="18"/>
          <w:color w:val="auto"/>
        </w:rPr>
        <w:t>. Meetings of Stockholders may be held within or without the State of Delaware, at such place or solely by means of remote communication or otherwise, as may be designated by the Board from time to time. The Board may, in its sole discretion, determine that the meeting shall not be held at any place, but may instead be held solely by means of remote communication as provided under the General Corporation Law.</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Annual Meetings; Stockholder Proposals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59" w:firstLine="360"/>
        <w:spacing w:after="0" w:line="261" w:lineRule="auto"/>
        <w:rPr>
          <w:sz w:val="20"/>
          <w:szCs w:val="20"/>
          <w:color w:val="auto"/>
        </w:rPr>
      </w:pPr>
      <w:r>
        <w:rPr>
          <w:rFonts w:ascii="Times New Roman" w:cs="Times New Roman" w:eastAsia="Times New Roman" w:hAnsi="Times New Roman"/>
          <w:sz w:val="18"/>
          <w:szCs w:val="18"/>
          <w:color w:val="auto"/>
        </w:rPr>
        <w:t>(a)  A meeting of Stockholders for the election of Directors and other business properly brought before the meeting pursuant to these By-laws shall be held annually at such date and time as may be designated by the Board from time to time. To the fullest extent permitted by applicable law, the Board may postpone, reschedule or cancel any annual meeting of stockholders previously scheduled by the Board. </w:t>
      </w:r>
    </w:p>
    <w:p>
      <w:pPr>
        <w:spacing w:after="0" w:line="72" w:lineRule="exact"/>
        <w:rPr>
          <w:sz w:val="20"/>
          <w:szCs w:val="20"/>
          <w:color w:val="auto"/>
        </w:rPr>
      </w:pPr>
    </w:p>
    <w:p>
      <w:pPr>
        <w:ind w:left="660" w:right="439" w:firstLine="360"/>
        <w:spacing w:after="0" w:line="276" w:lineRule="auto"/>
        <w:rPr>
          <w:sz w:val="20"/>
          <w:szCs w:val="20"/>
          <w:color w:val="auto"/>
        </w:rPr>
      </w:pPr>
      <w:r>
        <w:rPr>
          <w:rFonts w:ascii="Times New Roman" w:cs="Times New Roman" w:eastAsia="Times New Roman" w:hAnsi="Times New Roman"/>
          <w:sz w:val="17"/>
          <w:szCs w:val="17"/>
          <w:color w:val="auto"/>
        </w:rPr>
        <w:t>(b)  At an annual meeting of the Stockholders, only business (other than business relating to the nomination or election of Directors, which is governed by ‎Section 3.03) that has been properly brought before</w:t>
      </w:r>
    </w:p>
    <w:p>
      <w:pPr>
        <w:spacing w:after="0" w:line="1" w:lineRule="exact"/>
        <w:rPr>
          <w:sz w:val="20"/>
          <w:szCs w:val="20"/>
          <w:color w:val="auto"/>
        </w:rPr>
      </w:pPr>
    </w:p>
    <w:p>
      <w:pPr>
        <w:jc w:val="both"/>
        <w:ind w:left="660" w:right="359"/>
        <w:spacing w:after="0" w:line="265" w:lineRule="auto"/>
        <w:rPr>
          <w:sz w:val="20"/>
          <w:szCs w:val="20"/>
          <w:color w:val="auto"/>
        </w:rPr>
      </w:pPr>
      <w:r>
        <w:rPr>
          <w:rFonts w:ascii="Times New Roman" w:cs="Times New Roman" w:eastAsia="Times New Roman" w:hAnsi="Times New Roman"/>
          <w:sz w:val="17"/>
          <w:szCs w:val="17"/>
          <w:color w:val="auto"/>
        </w:rPr>
        <w:t>the Stockholder meeting in accordance with the procedures set forth in this Section‎ 2.02 shall be conducted. To be properly brought before a meeting of Stockholders, such business must be brought before the meeting (i) by or at the direction of the Board or any committee thereof or (ii) by a Stockholder who (A) was a Stockholder of record of the Corporation when the notice required by this Section 2.02 is delivered to the Secretary and at the time of the meeting, (B) is entitled to vote at the meeting and (C) complies with the notice and other provisions of this ‎Section 2.02. Subject to ‎Section 2.02(k), and except with respect to nominations or elections of</w:t>
      </w:r>
    </w:p>
    <w:p>
      <w:pPr>
        <w:spacing w:after="0" w:line="1" w:lineRule="exact"/>
        <w:rPr>
          <w:sz w:val="20"/>
          <w:szCs w:val="20"/>
          <w:color w:val="auto"/>
        </w:rPr>
      </w:pPr>
    </w:p>
    <w:p>
      <w:pPr>
        <w:ind w:left="660" w:right="379"/>
        <w:spacing w:after="0" w:line="253" w:lineRule="auto"/>
        <w:rPr>
          <w:sz w:val="20"/>
          <w:szCs w:val="20"/>
          <w:color w:val="auto"/>
        </w:rPr>
      </w:pPr>
      <w:r>
        <w:rPr>
          <w:rFonts w:ascii="Times New Roman" w:cs="Times New Roman" w:eastAsia="Times New Roman" w:hAnsi="Times New Roman"/>
          <w:sz w:val="18"/>
          <w:szCs w:val="18"/>
          <w:color w:val="auto"/>
        </w:rPr>
        <w:t xml:space="preserve">Directors, which are governed by Section‎ 3.03, Section‎ 2.02(b)(ii) is the exclusive means by which a Stockholder may bring business before a meeting of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Rule 14a-8 of the Exchange Act (or any successor rule) is applicable, a Stockholder may not bring business before any meeting if the Stockholder fails to meet the requirements of such rule. Any business brought before a meeting in accordance with ‎Section 2.02(b)(ii) is referred to as “</w:t>
      </w:r>
      <w:r>
        <w:rPr>
          <w:rFonts w:ascii="Times New Roman" w:cs="Times New Roman" w:eastAsia="Times New Roman" w:hAnsi="Times New Roman"/>
          <w:sz w:val="18"/>
          <w:szCs w:val="18"/>
          <w:b w:val="1"/>
          <w:bCs w:val="1"/>
          <w:color w:val="auto"/>
        </w:rPr>
        <w:t>Stockholder Business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660" w:right="579" w:firstLine="360"/>
        <w:spacing w:after="0" w:line="261" w:lineRule="auto"/>
        <w:rPr>
          <w:sz w:val="20"/>
          <w:szCs w:val="20"/>
          <w:color w:val="auto"/>
        </w:rPr>
      </w:pPr>
      <w:r>
        <w:rPr>
          <w:rFonts w:ascii="Times New Roman" w:cs="Times New Roman" w:eastAsia="Times New Roman" w:hAnsi="Times New Roman"/>
          <w:sz w:val="18"/>
          <w:szCs w:val="18"/>
          <w:color w:val="auto"/>
        </w:rPr>
        <w:t>(c)  Subject to Section‎ 2.02(k), at any annual meeting of Stockholders, all proposals of Stockholder Business must be made by timely written notice given by or on behalf of a Stockholder of record of the Corporation (the “</w:t>
      </w:r>
      <w:r>
        <w:rPr>
          <w:rFonts w:ascii="Times New Roman" w:cs="Times New Roman" w:eastAsia="Times New Roman" w:hAnsi="Times New Roman"/>
          <w:sz w:val="18"/>
          <w:szCs w:val="18"/>
          <w:b w:val="1"/>
          <w:bCs w:val="1"/>
          <w:color w:val="auto"/>
        </w:rPr>
        <w:t>Notice of Business</w:t>
      </w:r>
      <w:r>
        <w:rPr>
          <w:rFonts w:ascii="Times New Roman" w:cs="Times New Roman" w:eastAsia="Times New Roman" w:hAnsi="Times New Roman"/>
          <w:sz w:val="18"/>
          <w:szCs w:val="18"/>
          <w:color w:val="auto"/>
        </w:rPr>
        <w:t>”) and must otherwise be a proper matter for Stockholder action. To be timely, the Notice of Business must be delivered personally or mailed to, and received at, the Office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68" w:lineRule="auto"/>
        <w:rPr>
          <w:sz w:val="20"/>
          <w:szCs w:val="20"/>
          <w:color w:val="auto"/>
        </w:rPr>
      </w:pPr>
      <w:r>
        <w:rPr>
          <w:rFonts w:ascii="Times New Roman" w:cs="Times New Roman" w:eastAsia="Times New Roman" w:hAnsi="Times New Roman"/>
          <w:sz w:val="17"/>
          <w:szCs w:val="17"/>
          <w:color w:val="auto"/>
        </w:rPr>
        <w:t xml:space="preserve">the Corporation, addressed to the Secretary, by no earlier than one hundred and twenty (120) days and no later than ninety (90) days before the first anniversary of the date of the prior year’s annual meeting of Stockholders;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if (i) the annual meeting of Stockholders is advanced by more than thirty (30) days,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delayed by more than sixty (60) days, from the first anniversary of the prior year’s annual meeting of Stockholders or (ii) no annual meeting was held during the prior year, the notice by the Stockholder to be timely must be received (A) no earlier than one hundred and twenty (120) days before such annual meeting and</w:t>
      </w:r>
    </w:p>
    <w:p>
      <w:pPr>
        <w:spacing w:after="0" w:line="5" w:lineRule="exact"/>
        <w:rPr>
          <w:sz w:val="20"/>
          <w:szCs w:val="20"/>
          <w:color w:val="auto"/>
        </w:rPr>
      </w:pPr>
    </w:p>
    <w:p>
      <w:pPr>
        <w:ind w:left="660" w:right="379" w:hanging="8"/>
        <w:spacing w:after="0" w:line="253" w:lineRule="auto"/>
        <w:tabs>
          <w:tab w:leader="none" w:pos="94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later of ninety (90) days before such annual meeting and the tenth day after the day on which the notice of such annual meeting was made by mail or Public Disclosure. In no event shall an adjournment, postponement or deferral, or Public Disclosure of an adjournment, postponement or deferral, of a Stockholder meeting commence a new time period (or extend any time period) for the giving of the Notice of Business.</w:t>
      </w:r>
    </w:p>
    <w:p>
      <w:pPr>
        <w:spacing w:after="0" w:line="1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   The Notice of Business must set forth:</w:t>
      </w:r>
    </w:p>
    <w:p>
      <w:pPr>
        <w:spacing w:after="0" w:line="117" w:lineRule="exact"/>
        <w:rPr>
          <w:sz w:val="20"/>
          <w:szCs w:val="20"/>
          <w:color w:val="auto"/>
        </w:rPr>
      </w:pPr>
    </w:p>
    <w:p>
      <w:pPr>
        <w:ind w:left="1020" w:right="1079" w:firstLine="360"/>
        <w:spacing w:after="0" w:line="282" w:lineRule="auto"/>
        <w:rPr>
          <w:sz w:val="20"/>
          <w:szCs w:val="20"/>
          <w:color w:val="auto"/>
        </w:rPr>
      </w:pPr>
      <w:r>
        <w:rPr>
          <w:rFonts w:ascii="Times New Roman" w:cs="Times New Roman" w:eastAsia="Times New Roman" w:hAnsi="Times New Roman"/>
          <w:sz w:val="18"/>
          <w:szCs w:val="18"/>
          <w:color w:val="auto"/>
        </w:rPr>
        <w:t>(i)  the name and record address of each Stockholder proposing Stockholder Business (the “</w:t>
      </w:r>
      <w:r>
        <w:rPr>
          <w:rFonts w:ascii="Times New Roman" w:cs="Times New Roman" w:eastAsia="Times New Roman" w:hAnsi="Times New Roman"/>
          <w:sz w:val="18"/>
          <w:szCs w:val="18"/>
          <w:b w:val="1"/>
          <w:bCs w:val="1"/>
          <w:color w:val="auto"/>
        </w:rPr>
        <w:t>Proponent</w:t>
      </w:r>
      <w:r>
        <w:rPr>
          <w:rFonts w:ascii="Times New Roman" w:cs="Times New Roman" w:eastAsia="Times New Roman" w:hAnsi="Times New Roman"/>
          <w:sz w:val="18"/>
          <w:szCs w:val="18"/>
          <w:color w:val="auto"/>
        </w:rPr>
        <w:t>”), as they appear on the Corporation’s books;</w:t>
      </w: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the name and address of any Stockholder Associated Person;</w:t>
      </w:r>
    </w:p>
    <w:p>
      <w:pPr>
        <w:spacing w:after="0" w:line="117" w:lineRule="exact"/>
        <w:rPr>
          <w:sz w:val="20"/>
          <w:szCs w:val="20"/>
          <w:color w:val="auto"/>
        </w:rPr>
      </w:pPr>
    </w:p>
    <w:p>
      <w:pPr>
        <w:ind w:left="1020" w:right="299" w:firstLine="360"/>
        <w:spacing w:after="0" w:line="251" w:lineRule="auto"/>
        <w:rPr>
          <w:sz w:val="20"/>
          <w:szCs w:val="20"/>
          <w:color w:val="auto"/>
        </w:rPr>
      </w:pPr>
      <w:r>
        <w:rPr>
          <w:rFonts w:ascii="Times New Roman" w:cs="Times New Roman" w:eastAsia="Times New Roman" w:hAnsi="Times New Roman"/>
          <w:sz w:val="18"/>
          <w:szCs w:val="18"/>
          <w:color w:val="auto"/>
        </w:rPr>
        <w:t>(iii)  as to each Proponent and any Stockholder Associated Person, (A) the class or series and number of shares of stock directly or indirectly held of record and beneficially by the Proponent or Stockholder Associated Person, (B) the date such shares of stock were acquired, (C) a description of any agreement, arrangement or understanding, relating to or in connection with such Stockholder Business between or among the Proponent, on the one hand, and any Stockholder Associated Person or any other person or entity (including their names), (D) a description of any agreement, arrangement or understanding (including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 that has been entered into or is held, directly or indirectly, as of the date of the Proponent’s notice by, or on behalf of, the Proponent or any Stockholder Associated Person, the effect or intent of which is to mitigate loss to, manage risk or benefit of share price changes for, or increase or decrease the voting power of the Proponent or any Stockholder Associated Person with respect to shares of stock of the Corporation or with a value derived in whole or in part from the value or decrease in value of any class or series of stock of the Corporation, whether or not such instrument or right shall be subject to settlement in the underlying class or series of stock of the Corporation or otherwise (a “</w:t>
      </w:r>
      <w:r>
        <w:rPr>
          <w:rFonts w:ascii="Times New Roman" w:cs="Times New Roman" w:eastAsia="Times New Roman" w:hAnsi="Times New Roman"/>
          <w:sz w:val="18"/>
          <w:szCs w:val="18"/>
          <w:b w:val="1"/>
          <w:bCs w:val="1"/>
          <w:color w:val="auto"/>
        </w:rPr>
        <w:t>Derivative</w:t>
      </w:r>
      <w:r>
        <w:rPr>
          <w:rFonts w:ascii="Times New Roman" w:cs="Times New Roman" w:eastAsia="Times New Roman" w:hAnsi="Times New Roman"/>
          <w:sz w:val="18"/>
          <w:szCs w:val="18"/>
          <w:color w:val="auto"/>
        </w:rPr>
        <w:t xml:space="preserve">”), (E) a description in reasonable detail of any proxy (including revocable proxies), contract, arrangement, understanding or other relationship pursuant to which the Proponent or Stockholder Associated Person has a right to vote any shares of stock of the Corporation, (F) any rights to dividends on the stock of the Corporation owned beneficially by the Proponent or Stockholder Associated Person that are separated or separable from the underlying stock of the Corporation, (G) any proportionate interest in stock of the Corporation or Derivatives held, directly or indirectly, by a general or limited partnership in which the Proponent or Stockholder Associated Person is a general partner or, directly or indirectly, beneficially owns an interest in a general partner and (H) any performance-related fees (other than an asset-based fee) that the Proponent or Stockholder Associated Person is entitled to based on any increase or decrease in the value of stock of the Corporation or Derivatives thereof, if any, as of the date of such notice;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for the avoidance of doubt, this Section 2.02(d)(iii) requires a Proponent to disclose any such agreement or understanding only to the extent known to, or to the extent such matters should be known after the exercise of reasonable diligence by, any Proponent. The information specified in ‎Section 2.02(d)(i) to ‎(iii) is referred to herein as “</w:t>
      </w:r>
      <w:r>
        <w:rPr>
          <w:rFonts w:ascii="Times New Roman" w:cs="Times New Roman" w:eastAsia="Times New Roman" w:hAnsi="Times New Roman"/>
          <w:sz w:val="18"/>
          <w:szCs w:val="18"/>
          <w:b w:val="1"/>
          <w:bCs w:val="1"/>
          <w:color w:val="auto"/>
        </w:rPr>
        <w:t>Stockholder Information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020" w:right="3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(iv)  Stockholder Information with respect to any stock or other interests of the Corporation held by the spouse, children (including stepchildren), siblings, parents-in-law, sons- and daughters-in-law, and brothers- and sisters-in-law (collectively, </w:t>
      </w:r>
      <w:r>
        <w:rPr>
          <w:rFonts w:ascii="Times New Roman" w:cs="Times New Roman" w:eastAsia="Times New Roman" w:hAnsi="Times New Roman"/>
          <w:sz w:val="18"/>
          <w:szCs w:val="18"/>
          <w:b w:val="1"/>
          <w:bCs w:val="1"/>
          <w:color w:val="auto"/>
        </w:rPr>
        <w:t>immediate family members</w:t>
      </w:r>
      <w:r>
        <w:rPr>
          <w:rFonts w:ascii="Times New Roman" w:cs="Times New Roman" w:eastAsia="Times New Roman" w:hAnsi="Times New Roman"/>
          <w:sz w:val="18"/>
          <w:szCs w:val="18"/>
          <w:color w:val="auto"/>
        </w:rPr>
        <w:t>”) of the Proponent;</w:t>
      </w:r>
    </w:p>
    <w:p>
      <w:pPr>
        <w:spacing w:after="0" w:line="68" w:lineRule="exact"/>
        <w:rPr>
          <w:sz w:val="20"/>
          <w:szCs w:val="20"/>
          <w:color w:val="auto"/>
        </w:rPr>
      </w:pPr>
    </w:p>
    <w:p>
      <w:pPr>
        <w:ind w:left="1020" w:right="519" w:firstLine="360"/>
        <w:spacing w:after="0" w:line="266" w:lineRule="auto"/>
        <w:rPr>
          <w:sz w:val="20"/>
          <w:szCs w:val="20"/>
          <w:color w:val="auto"/>
        </w:rPr>
      </w:pPr>
      <w:r>
        <w:rPr>
          <w:rFonts w:ascii="Times New Roman" w:cs="Times New Roman" w:eastAsia="Times New Roman" w:hAnsi="Times New Roman"/>
          <w:sz w:val="18"/>
          <w:szCs w:val="18"/>
          <w:color w:val="auto"/>
        </w:rPr>
        <w:t>(v)  a representation to the Corporation that each Proponent is a holder of record of stock of the Corporation entitled to vote at the meeting and intends to appear in person or by proxy at the meeting to propose such Stockholder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(vi)  a brief description of the Stockholder Business desired to be brought before the annual meeting, the text of the proposal (including the text of any resolutions proposed for consideration and, if such business includes a proposal to amend the By-laws, the language of the proposed amendment) and the reasons for conducting such Stockholder Business at the meeting;</w:t>
      </w:r>
    </w:p>
    <w:p>
      <w:pPr>
        <w:spacing w:after="0" w:line="72" w:lineRule="exact"/>
        <w:rPr>
          <w:sz w:val="20"/>
          <w:szCs w:val="20"/>
          <w:color w:val="auto"/>
        </w:rPr>
      </w:pPr>
    </w:p>
    <w:p>
      <w:pPr>
        <w:ind w:left="1020" w:right="879" w:firstLine="360"/>
        <w:spacing w:after="0" w:line="282" w:lineRule="auto"/>
        <w:rPr>
          <w:sz w:val="20"/>
          <w:szCs w:val="20"/>
          <w:color w:val="auto"/>
        </w:rPr>
      </w:pPr>
      <w:r>
        <w:rPr>
          <w:rFonts w:ascii="Times New Roman" w:cs="Times New Roman" w:eastAsia="Times New Roman" w:hAnsi="Times New Roman"/>
          <w:sz w:val="18"/>
          <w:szCs w:val="18"/>
          <w:color w:val="auto"/>
        </w:rPr>
        <w:t>(vii)  any material interest of each Proponent and any Stockholder Associated Person in such Stockholder Business;</w:t>
      </w:r>
    </w:p>
    <w:p>
      <w:pPr>
        <w:spacing w:after="0" w:line="54" w:lineRule="exact"/>
        <w:rPr>
          <w:sz w:val="20"/>
          <w:szCs w:val="20"/>
          <w:color w:val="auto"/>
        </w:rPr>
      </w:pPr>
    </w:p>
    <w:p>
      <w:pPr>
        <w:ind w:left="1020" w:right="359" w:firstLine="360"/>
        <w:spacing w:after="0" w:line="261" w:lineRule="auto"/>
        <w:rPr>
          <w:sz w:val="20"/>
          <w:szCs w:val="20"/>
          <w:color w:val="auto"/>
        </w:rPr>
      </w:pPr>
      <w:r>
        <w:rPr>
          <w:rFonts w:ascii="Times New Roman" w:cs="Times New Roman" w:eastAsia="Times New Roman" w:hAnsi="Times New Roman"/>
          <w:sz w:val="18"/>
          <w:szCs w:val="18"/>
          <w:color w:val="auto"/>
        </w:rPr>
        <w:t>(viii)  a representation to the Corporation as to whether the Proponent intends (A) to deliver a proxy statement and form of proxy to holders of at least the percentage of the Corporation’s outstanding capital stock required to approve or adopt such Stockholder Business or (B) otherwise to solicit proxies from the Stockholders in support of such Stockholder Business;</w:t>
      </w:r>
    </w:p>
    <w:p>
      <w:pPr>
        <w:spacing w:after="0" w:line="72" w:lineRule="exact"/>
        <w:rPr>
          <w:sz w:val="20"/>
          <w:szCs w:val="20"/>
          <w:color w:val="auto"/>
        </w:rPr>
      </w:pPr>
    </w:p>
    <w:p>
      <w:pPr>
        <w:ind w:left="1020" w:right="499" w:firstLine="360"/>
        <w:spacing w:after="0" w:line="266" w:lineRule="auto"/>
        <w:rPr>
          <w:sz w:val="20"/>
          <w:szCs w:val="20"/>
          <w:color w:val="auto"/>
        </w:rPr>
      </w:pPr>
      <w:r>
        <w:rPr>
          <w:rFonts w:ascii="Times New Roman" w:cs="Times New Roman" w:eastAsia="Times New Roman" w:hAnsi="Times New Roman"/>
          <w:sz w:val="18"/>
          <w:szCs w:val="18"/>
          <w:color w:val="auto"/>
        </w:rPr>
        <w:t>(ix)  all other information that would be required to be filed with the SEC if the Proponents or Stockholder Associated Persons were participants in a solicitation subject to Section 14 of the Exchange Act; and</w:t>
      </w:r>
    </w:p>
    <w:p>
      <w:pPr>
        <w:spacing w:after="0" w:line="68" w:lineRule="exact"/>
        <w:rPr>
          <w:sz w:val="20"/>
          <w:szCs w:val="20"/>
          <w:color w:val="auto"/>
        </w:rPr>
      </w:pPr>
    </w:p>
    <w:p>
      <w:pPr>
        <w:ind w:left="1020" w:right="859" w:firstLine="360"/>
        <w:spacing w:after="0" w:line="282" w:lineRule="auto"/>
        <w:rPr>
          <w:sz w:val="20"/>
          <w:szCs w:val="20"/>
          <w:color w:val="auto"/>
        </w:rPr>
      </w:pPr>
      <w:r>
        <w:rPr>
          <w:rFonts w:ascii="Times New Roman" w:cs="Times New Roman" w:eastAsia="Times New Roman" w:hAnsi="Times New Roman"/>
          <w:sz w:val="18"/>
          <w:szCs w:val="18"/>
          <w:color w:val="auto"/>
        </w:rPr>
        <w:t>(x)  a representation and covenant for the benefit of the Corporation that the Proponents shall provide any other information reasonably requested by the Corporation.</w:t>
      </w:r>
    </w:p>
    <w:p>
      <w:pPr>
        <w:spacing w:after="0" w:line="54" w:lineRule="exact"/>
        <w:rPr>
          <w:sz w:val="20"/>
          <w:szCs w:val="20"/>
          <w:color w:val="auto"/>
        </w:rPr>
      </w:pPr>
    </w:p>
    <w:p>
      <w:pPr>
        <w:ind w:left="660" w:right="599" w:firstLine="360"/>
        <w:spacing w:after="0" w:line="282" w:lineRule="auto"/>
        <w:rPr>
          <w:sz w:val="20"/>
          <w:szCs w:val="20"/>
          <w:color w:val="auto"/>
        </w:rPr>
      </w:pPr>
      <w:r>
        <w:rPr>
          <w:rFonts w:ascii="Times New Roman" w:cs="Times New Roman" w:eastAsia="Times New Roman" w:hAnsi="Times New Roman"/>
          <w:sz w:val="18"/>
          <w:szCs w:val="18"/>
          <w:color w:val="auto"/>
        </w:rPr>
        <w:t>(e)  The Proponents shall also provide any other information reasonably requested by the Corporation within ten (10) business days after such request.</w:t>
      </w:r>
    </w:p>
    <w:p>
      <w:pPr>
        <w:spacing w:after="0" w:line="54" w:lineRule="exact"/>
        <w:rPr>
          <w:sz w:val="20"/>
          <w:szCs w:val="20"/>
          <w:color w:val="auto"/>
        </w:rPr>
      </w:pPr>
    </w:p>
    <w:p>
      <w:pPr>
        <w:ind w:left="660" w:right="359" w:firstLine="360"/>
        <w:spacing w:after="0" w:line="254" w:lineRule="auto"/>
        <w:rPr>
          <w:sz w:val="20"/>
          <w:szCs w:val="20"/>
          <w:color w:val="auto"/>
        </w:rPr>
      </w:pPr>
      <w:r>
        <w:rPr>
          <w:rFonts w:ascii="Times New Roman" w:cs="Times New Roman" w:eastAsia="Times New Roman" w:hAnsi="Times New Roman"/>
          <w:sz w:val="18"/>
          <w:szCs w:val="18"/>
          <w:color w:val="auto"/>
        </w:rPr>
        <w:t>(f)  In addition, the Proponent shall further update and supplement the information provided to the Corporation in the Notice of Business or upon the Corporation’s request pursuant to ‎Section 2.02(e) as needed, so that such information shall be true and correct as of the record date for the meeting and as of the date that is the later of five (5) business days before the meeting or any adjournment or postponement thereof. Such update and supplement must be delivered personally or mailed to, and received at, the Office of the Corporation, addressed to the Secretary, by no later than five (5) business days after the record date for the meeting (in the case of the update and supplement required to be made as of the record date), and not later than two (2) business days before the date for the meeting (in the case of the update and supplement required to be made as of five (5) business days before the meeting or any adjournment or postponement thereof).</w:t>
      </w:r>
    </w:p>
    <w:p>
      <w:pPr>
        <w:spacing w:after="0" w:line="80" w:lineRule="exact"/>
        <w:rPr>
          <w:sz w:val="20"/>
          <w:szCs w:val="20"/>
          <w:color w:val="auto"/>
        </w:rPr>
      </w:pPr>
    </w:p>
    <w:p>
      <w:pPr>
        <w:ind w:left="660" w:right="339" w:firstLine="360"/>
        <w:spacing w:after="0" w:line="261" w:lineRule="auto"/>
        <w:rPr>
          <w:sz w:val="20"/>
          <w:szCs w:val="20"/>
          <w:color w:val="auto"/>
        </w:rPr>
      </w:pPr>
      <w:r>
        <w:rPr>
          <w:rFonts w:ascii="Times New Roman" w:cs="Times New Roman" w:eastAsia="Times New Roman" w:hAnsi="Times New Roman"/>
          <w:sz w:val="18"/>
          <w:szCs w:val="18"/>
          <w:color w:val="auto"/>
        </w:rPr>
        <w:t>(g)  The person presiding over the meeting shall, if the facts warrant, determine and declare to the meeting that business was not properly brought before the meeting in accordance with the procedures set forth in this ‎Section 2.02, and if he or she should so determine, he or she shall so declare to the meeting and any such business not properly brought before the meeting shall not be transacted.</w:t>
      </w:r>
    </w:p>
    <w:p>
      <w:pPr>
        <w:spacing w:after="0" w:line="72" w:lineRule="exact"/>
        <w:rPr>
          <w:sz w:val="20"/>
          <w:szCs w:val="20"/>
          <w:color w:val="auto"/>
        </w:rPr>
      </w:pPr>
    </w:p>
    <w:p>
      <w:pPr>
        <w:ind w:left="660" w:right="379" w:firstLine="360"/>
        <w:spacing w:after="0" w:line="254" w:lineRule="auto"/>
        <w:rPr>
          <w:sz w:val="20"/>
          <w:szCs w:val="20"/>
          <w:color w:val="auto"/>
        </w:rPr>
      </w:pPr>
      <w:r>
        <w:rPr>
          <w:rFonts w:ascii="Times New Roman" w:cs="Times New Roman" w:eastAsia="Times New Roman" w:hAnsi="Times New Roman"/>
          <w:sz w:val="18"/>
          <w:szCs w:val="18"/>
          <w:color w:val="auto"/>
        </w:rPr>
        <w:t>(h)  If the Proponent (or a qualified representative of the Proponent) does not appear at the meeting of Stockholders to present the Stockholder Business, such business shall not be transacted, notwithstanding that proxies in respect of such vote may have been received by the Corporation. For purposes of this ‎Section 2.02,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80" w:lineRule="exact"/>
        <w:rPr>
          <w:sz w:val="20"/>
          <w:szCs w:val="20"/>
          <w:color w:val="auto"/>
        </w:rPr>
      </w:pPr>
    </w:p>
    <w:p>
      <w:pPr>
        <w:ind w:left="660" w:right="399" w:firstLine="360"/>
        <w:spacing w:after="0" w:line="26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Public Disclosure</w:t>
      </w:r>
      <w:r>
        <w:rPr>
          <w:rFonts w:ascii="Times New Roman" w:cs="Times New Roman" w:eastAsia="Times New Roman" w:hAnsi="Times New Roman"/>
          <w:sz w:val="18"/>
          <w:szCs w:val="18"/>
          <w:color w:val="auto"/>
        </w:rPr>
        <w:t>” of any date or other information means disclosure thereof by a press release reported by the Dow Jones News Services, Associated Press or comparable U.S. national news service or in a document publicly filed by the Corporation with the SEC pursuant to Sections 13, 14 or 15(d) of the Exchange Act (or any successor provision).</w:t>
      </w:r>
    </w:p>
    <w:p>
      <w:pPr>
        <w:spacing w:after="0" w:line="68" w:lineRule="exact"/>
        <w:rPr>
          <w:sz w:val="20"/>
          <w:szCs w:val="20"/>
          <w:color w:val="auto"/>
        </w:rPr>
      </w:pPr>
    </w:p>
    <w:p>
      <w:pPr>
        <w:ind w:left="660" w:right="499" w:firstLine="360"/>
        <w:spacing w:after="0" w:line="262"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Stockholder Associated Person</w:t>
      </w:r>
      <w:r>
        <w:rPr>
          <w:rFonts w:ascii="Times New Roman" w:cs="Times New Roman" w:eastAsia="Times New Roman" w:hAnsi="Times New Roman"/>
          <w:sz w:val="18"/>
          <w:szCs w:val="18"/>
          <w:color w:val="auto"/>
        </w:rPr>
        <w:t>” means, with respect to any Stockholder, (i) any other beneficial owner of stock of the Corporation that is owned by such Stockholder, (ii) any immediate family member of such Stockholder, and (iii) any affiliate or associate (as such terms are defined in Rule 12b-2 of the Exchange Act) of such Stockholder.</w:t>
      </w:r>
    </w:p>
    <w:p>
      <w:pPr>
        <w:spacing w:after="0" w:line="72" w:lineRule="exact"/>
        <w:rPr>
          <w:sz w:val="20"/>
          <w:szCs w:val="20"/>
          <w:color w:val="auto"/>
        </w:rPr>
      </w:pPr>
    </w:p>
    <w:p>
      <w:pPr>
        <w:ind w:left="660" w:right="559" w:firstLine="360"/>
        <w:spacing w:after="0" w:line="282" w:lineRule="auto"/>
        <w:rPr>
          <w:sz w:val="20"/>
          <w:szCs w:val="20"/>
          <w:color w:val="auto"/>
        </w:rPr>
      </w:pPr>
      <w:r>
        <w:rPr>
          <w:rFonts w:ascii="Times New Roman" w:cs="Times New Roman" w:eastAsia="Times New Roman" w:hAnsi="Times New Roman"/>
          <w:sz w:val="18"/>
          <w:szCs w:val="18"/>
          <w:color w:val="auto"/>
        </w:rPr>
        <w:t>(k)  The notice requirements of this Section‎ 2.02 shall be deemed satisfied with respect to Stockholder proposals that have been properly brought under Rule 14a-8 of the Exchange Act (or any successor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spacing w:after="0" w:line="261" w:lineRule="auto"/>
        <w:rPr>
          <w:sz w:val="20"/>
          <w:szCs w:val="20"/>
          <w:color w:val="auto"/>
        </w:rPr>
      </w:pPr>
      <w:r>
        <w:rPr>
          <w:rFonts w:ascii="Times New Roman" w:cs="Times New Roman" w:eastAsia="Times New Roman" w:hAnsi="Times New Roman"/>
          <w:sz w:val="18"/>
          <w:szCs w:val="18"/>
          <w:color w:val="auto"/>
        </w:rPr>
        <w:t>provision) and that are included in a proxy statement that has been prepared by the Corporation to solicit proxies for such annual meeting. Further, nothing in this ‎Section 2.02 shall be deemed to affect any rights of the holders of any series of preferred stock of the Corporation pursuant to any applicable provision of the Certificate of Incorporation.</w:t>
      </w:r>
    </w:p>
    <w:p>
      <w:pPr>
        <w:spacing w:after="0" w:line="70"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 Special meetings of the Stockholders may be called only in the manner set forth in the Certificate of Incorporation. Notice of every special meeting of the Stockholders shall state the purpose or purposes of such meeting. Except as otherwise required by law, the business conducted at a special meeting of Stockholders shall be limited exclusively to the business set forth in the Corporation’s notice of meeting, and the Board shall have exclusive authority to determine the business included in such notice. To the fullest extent permitted by law, the Chairman, the Chief Executive Officer or the Board may postpone, reschedule or cancel any special meeting of stockholders previously called by any of them.</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299" w:firstLine="360"/>
        <w:spacing w:after="0" w:line="268" w:lineRule="auto"/>
        <w:rPr>
          <w:sz w:val="20"/>
          <w:szCs w:val="20"/>
          <w:color w:val="auto"/>
        </w:rPr>
      </w:pPr>
      <w:r>
        <w:rPr>
          <w:rFonts w:ascii="Times New Roman" w:cs="Times New Roman" w:eastAsia="Times New Roman" w:hAnsi="Times New Roman"/>
          <w:sz w:val="17"/>
          <w:szCs w:val="17"/>
          <w:color w:val="auto"/>
        </w:rPr>
        <w:t>(a)  For the purpose of determining the Stockholders entitled to notice of any meeting of Stockholders or any adjournment thereof, unless otherwise required by the Certificate of Incorporation or applicable law, the Board may fix a record date (the “</w:t>
      </w:r>
      <w:r>
        <w:rPr>
          <w:rFonts w:ascii="Times New Roman" w:cs="Times New Roman" w:eastAsia="Times New Roman" w:hAnsi="Times New Roman"/>
          <w:sz w:val="17"/>
          <w:szCs w:val="17"/>
          <w:b w:val="1"/>
          <w:bCs w:val="1"/>
          <w:color w:val="auto"/>
        </w:rPr>
        <w:t>Notice Record Date</w:t>
      </w:r>
      <w:r>
        <w:rPr>
          <w:rFonts w:ascii="Times New Roman" w:cs="Times New Roman" w:eastAsia="Times New Roman" w:hAnsi="Times New Roman"/>
          <w:sz w:val="17"/>
          <w:szCs w:val="17"/>
          <w:color w:val="auto"/>
        </w:rPr>
        <w:t>”), which record date shall not precede the date on which the resolution fixing the record date was adopted by the Board and shall not be more than sixty (60) or less than ten (10) days before the date of such meeting. The Notice Record Date shall also be the record date for determining the Stockholders entitled to vote at such meeting unless the Board determines, at the time it fixes such Notice Record Date, that a later date on or before the date of the meeting shall be the date for making such determination (the “</w:t>
      </w:r>
      <w:r>
        <w:rPr>
          <w:rFonts w:ascii="Times New Roman" w:cs="Times New Roman" w:eastAsia="Times New Roman" w:hAnsi="Times New Roman"/>
          <w:sz w:val="17"/>
          <w:szCs w:val="17"/>
          <w:b w:val="1"/>
          <w:bCs w:val="1"/>
          <w:color w:val="auto"/>
        </w:rPr>
        <w:t>Voting Record Date</w:t>
      </w:r>
      <w:r>
        <w:rPr>
          <w:rFonts w:ascii="Times New Roman" w:cs="Times New Roman" w:eastAsia="Times New Roman" w:hAnsi="Times New Roman"/>
          <w:sz w:val="17"/>
          <w:szCs w:val="17"/>
          <w:color w:val="auto"/>
        </w:rPr>
        <w:t>”). For the purposes of determining the Stockholders entitled to express consent to corporate action in writing without a meeting, unless otherwise required by the Certificate of Incorporation or applicable law, the Board may fix a record date, which record date shall not precede the date on which the resolution fixing the record date was adopted by the Board and shall not be more than ten (10) days after the date on which the resolution fixing the record date was adopted by the Board. For the purposes of determining the Stockholders entitled to (i) receive payment of any dividend or other distribution or allotment of any rights, (ii) exercise any rights in respect of any change, conversion or exchange of stock or (iii) take any other lawful action, unless otherwise required by the Certificate of Incorporation or applicable law, the Board may fix a record date, which record date shall not precede the date on which the resolution fixing the record date was adopted by the Board and shall not be more than sixty (60) days prior to such action.</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   If no such record date is fixed:</w:t>
      </w:r>
    </w:p>
    <w:p>
      <w:pPr>
        <w:spacing w:after="0" w:line="117" w:lineRule="exact"/>
        <w:rPr>
          <w:sz w:val="20"/>
          <w:szCs w:val="20"/>
          <w:color w:val="auto"/>
        </w:rPr>
      </w:pPr>
    </w:p>
    <w:p>
      <w:pPr>
        <w:jc w:val="both"/>
        <w:ind w:left="1020" w:right="459" w:firstLine="360"/>
        <w:spacing w:after="0" w:line="261" w:lineRule="auto"/>
        <w:rPr>
          <w:sz w:val="20"/>
          <w:szCs w:val="20"/>
          <w:color w:val="auto"/>
        </w:rPr>
      </w:pPr>
      <w:r>
        <w:rPr>
          <w:rFonts w:ascii="Times New Roman" w:cs="Times New Roman" w:eastAsia="Times New Roman" w:hAnsi="Times New Roman"/>
          <w:sz w:val="18"/>
          <w:szCs w:val="18"/>
          <w:color w:val="auto"/>
        </w:rPr>
        <w:t>(i)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72" w:lineRule="exact"/>
        <w:rPr>
          <w:sz w:val="20"/>
          <w:szCs w:val="20"/>
          <w:color w:val="auto"/>
        </w:rPr>
      </w:pPr>
    </w:p>
    <w:p>
      <w:pPr>
        <w:ind w:left="1020" w:right="339" w:firstLine="360"/>
        <w:spacing w:after="0" w:line="273" w:lineRule="auto"/>
        <w:rPr>
          <w:sz w:val="20"/>
          <w:szCs w:val="20"/>
          <w:color w:val="auto"/>
        </w:rPr>
      </w:pPr>
      <w:r>
        <w:rPr>
          <w:rFonts w:ascii="Times New Roman" w:cs="Times New Roman" w:eastAsia="Times New Roman" w:hAnsi="Times New Roman"/>
          <w:sz w:val="17"/>
          <w:szCs w:val="17"/>
          <w:color w:val="auto"/>
        </w:rPr>
        <w:t>(ii)  the record date for determining Stockholders entitled to express consent to corporate action in writing without a meeting (unless otherwise provided in the Certificate of Incorporation), when no prior action by the Board is required by applicable law, shall be the first day on which a signed written consent setting forth the action taken or proposed to be taken is delivered to the Corporation in accordance with applicable law; and when prior action by the Board is required by applicable law, the record date for determining Stockholders entitled to express consent to corporate action in writing without a meeting shall be at the close of business on the date on which the Board adopts the resolution taking such prior action;</w:t>
      </w:r>
    </w:p>
    <w:p>
      <w:pPr>
        <w:spacing w:after="0" w:line="63" w:lineRule="exact"/>
        <w:rPr>
          <w:sz w:val="20"/>
          <w:szCs w:val="20"/>
          <w:color w:val="auto"/>
        </w:rPr>
      </w:pPr>
    </w:p>
    <w:p>
      <w:pPr>
        <w:ind w:left="1020" w:right="359" w:firstLine="360"/>
        <w:spacing w:after="0" w:line="261" w:lineRule="auto"/>
        <w:rPr>
          <w:sz w:val="20"/>
          <w:szCs w:val="20"/>
          <w:color w:val="auto"/>
        </w:rPr>
      </w:pPr>
      <w:r>
        <w:rPr>
          <w:rFonts w:ascii="Times New Roman" w:cs="Times New Roman" w:eastAsia="Times New Roman" w:hAnsi="Times New Roman"/>
          <w:sz w:val="18"/>
          <w:szCs w:val="18"/>
          <w:color w:val="auto"/>
        </w:rPr>
        <w:t>(iii)  the record date for determining the Stockholders entitled to (A) receive payment of any dividend or other distribution or allotment of any rights, (B) exercise any rights in respect of any change, conversion or exchange of stock or (C) take any other lawful action shall be at the close of business on the day on which the Board adopts the resolution relating thereto; and</w:t>
      </w:r>
    </w:p>
    <w:p>
      <w:pPr>
        <w:spacing w:after="0" w:line="72" w:lineRule="exact"/>
        <w:rPr>
          <w:sz w:val="20"/>
          <w:szCs w:val="20"/>
          <w:color w:val="auto"/>
        </w:rPr>
      </w:pPr>
    </w:p>
    <w:p>
      <w:pPr>
        <w:ind w:left="1020" w:right="399" w:firstLine="360"/>
        <w:spacing w:after="0" w:line="282" w:lineRule="auto"/>
        <w:rPr>
          <w:sz w:val="20"/>
          <w:szCs w:val="20"/>
          <w:color w:val="auto"/>
        </w:rPr>
      </w:pPr>
      <w:r>
        <w:rPr>
          <w:rFonts w:ascii="Times New Roman" w:cs="Times New Roman" w:eastAsia="Times New Roman" w:hAnsi="Times New Roman"/>
          <w:sz w:val="18"/>
          <w:szCs w:val="18"/>
          <w:color w:val="auto"/>
        </w:rPr>
        <w:t>(iv)  when a determination of Stockholders of record entitled to notice of, or to vote at, any meeting of Stockholders has been made as provided in this ‎Section 2.04, such determination shall apply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419"/>
        <w:spacing w:after="0" w:line="266" w:lineRule="auto"/>
        <w:rPr>
          <w:sz w:val="20"/>
          <w:szCs w:val="20"/>
          <w:color w:val="auto"/>
        </w:rPr>
      </w:pPr>
      <w:r>
        <w:rPr>
          <w:rFonts w:ascii="Times New Roman" w:cs="Times New Roman" w:eastAsia="Times New Roman" w:hAnsi="Times New Roman"/>
          <w:sz w:val="18"/>
          <w:szCs w:val="18"/>
          <w:color w:val="auto"/>
        </w:rPr>
        <w:t>to any adjournment thereof, unless the Board fixes a new Voting Record Date for the adjourned meeting, in which case the Board shall also fix such Voting Record Date or a date earlier than such date as the new Notice Record Date for the adjourned meeting.</w:t>
      </w:r>
    </w:p>
    <w:p>
      <w:pPr>
        <w:spacing w:after="0" w:line="66"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Notice of Meetings of Stockholders</w:t>
      </w:r>
      <w:r>
        <w:rPr>
          <w:rFonts w:ascii="Times New Roman" w:cs="Times New Roman" w:eastAsia="Times New Roman" w:hAnsi="Times New Roman"/>
          <w:sz w:val="18"/>
          <w:szCs w:val="18"/>
          <w:color w:val="auto"/>
        </w:rPr>
        <w:t>. Whenever, under the provisions of applicable law, the Certificate of Incorporation or these By-laws, Stockholders are required or permitted to take any action at a meeting, notice shall be given stating the place, if any, date and hour of the meeting; the means of remote communication, if any, by which Stockholders and proxy holders may be deemed to be present in person and vote at such meeting; the Voting Record Date, if such date is different from the Notice Record Date; and, in the case of a special meeting, the purposes for which the meeting is called. Unless otherwise provided by these By-laws or applicable law, notice of any meeting shall be given, not less than ten (10) nor more than sixty (60) days before the date of the meeting, to each Stockholder entitled to vote at such meeting as of the Notice Record Date. Such notice may be given in any manner permitted by applicable law An affidavit of the Secretary, an Assistant Secretary or the transfer agent of the Corporation that the notice required by this ‎Section 2.05 has been given shall, in the absence of fraud, be prima facie evidence of the facts stated therein.</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Waivers of Notice</w:t>
      </w:r>
      <w:r>
        <w:rPr>
          <w:rFonts w:ascii="Times New Roman" w:cs="Times New Roman" w:eastAsia="Times New Roman" w:hAnsi="Times New Roman"/>
          <w:sz w:val="18"/>
          <w:szCs w:val="18"/>
          <w:color w:val="auto"/>
        </w:rPr>
        <w:t>. Whenever the giving of any notice to Stockholders is required by applicable law, the Certificate of Incorporation or these By-laws, a waiver thereof, given by the person entitled to said notice, in writing signed by the person, or by electronic transmission, whether before or after the event as to which such notice is required, shall be deemed equivalent to notice to the full extent permitted by law. If such waiver is given by electronic transmission, the electronic transmission must either set forth or be submitted with information from which it can be determined that the electronic transmission was authorized by the person waiving notice. Attendance by a Stockholder at a meeting shall constitute a waiver of notice of such meeting except when the Stockholder attends a meeting for the express purpose of objecting, at the beginning of the meeting, to the transaction of any business on the ground that the meeting has not been lawfully called or convened. Neither the business to be transacted at, nor the purposes of, any regular or special meeting of the Stockholders need be specified in any waiver of notice.</w:t>
      </w:r>
    </w:p>
    <w:p>
      <w:pPr>
        <w:spacing w:after="0" w:line="8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List of Stockholders</w:t>
      </w:r>
      <w:r>
        <w:rPr>
          <w:rFonts w:ascii="Times New Roman" w:cs="Times New Roman" w:eastAsia="Times New Roman" w:hAnsi="Times New Roman"/>
          <w:sz w:val="18"/>
          <w:szCs w:val="18"/>
          <w:color w:val="auto"/>
        </w:rPr>
        <w:t>. The Corporation shall prepare at least ten (10) days before every meeting of Stockholders, a complete, alphabetical list of the Stockholders entitled to vote at the meeting, and showing the address of each Stockholder and the number of shares registered in the name of each Stockholder. Such list may be examined by any Stockholder for any purpose germane to the meeting, for a period of at least ten (10) days prior to the meeting, during ordinary business hours at the principal place of business of the Corporation or on a reasonably accessible electronic network as provided by applicable law, provided that the information required to gain access to such list is provided with the notice of the meeting. In the event the Corporation determines to make the list available on an electronic network, the Corporation may take reasonable steps to ensure that such information is available only to Stockholders. Except as provided by applicable law, the stock ledger shall be the only evidence as to who are the Stockholders entitled to examine the list of Stockholders or to vote in person or by proxy at any meeting of Stockholders.</w:t>
      </w:r>
    </w:p>
    <w:p>
      <w:pPr>
        <w:spacing w:after="0" w:line="84"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Quorum of Stockholders; Adjournment</w:t>
      </w:r>
      <w:r>
        <w:rPr>
          <w:rFonts w:ascii="Times New Roman" w:cs="Times New Roman" w:eastAsia="Times New Roman" w:hAnsi="Times New Roman"/>
          <w:sz w:val="18"/>
          <w:szCs w:val="18"/>
          <w:color w:val="auto"/>
        </w:rPr>
        <w:t>. Except as otherwise provided by these By-laws, and subject to the rights of the holders of any series of Preferred Stock of the Corporation or as otherwise provided by law, at each meeting of Stockholders, annual or special, the presence in person or by proxy of the holders of a majority of the voting power of all outstanding shares of stock entitled to vote at the meeting of Stockholders shall constitute a quorum for the transaction of any business at such meeting, except that, where a separate vote by a class or series of classes of shares is required, a quorum shall consist of no less than a majority of the voting power of all outstanding shares of stock of such class or series of classes, as applicable. In the absence of a quorum or for any other reason (including to address technical failures to convene or continue a meeting using remote communication), either the person presiding at the meeting pursuant to Section 2.11 or the holders of a majority in voting power of the shares of stock present in person or represented by proxy at any meeting of Stockholders, including an adjourned meeting, may adjourn such meeting to another time and place or to take place by remote communication. Notice need not be given of any such adjourned meeting if the time, date and place, if any, and the means of remote communications, if any, thereof are (i) announced at the meeting at which the adjournment is taken, (ii) displayed, during the time scheduled for the meeting, on the same electronic network used to enable Stockholders and proxyholders to participate in the meeting by means of remote communication, or (iii) set forth in the notice of the meeting. If the time, date and place, if any, thereof, and the means of remote communication, if any, by which the Stockholders and the proxy holders may be deemed to be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present in person and vote at such adjourned meeting are announced at the meeting at which the adjournment is taken, displayed, during the time scheduled for the meeting, on the same electronic network used to enable Stockholders and proxyholders to participate in the meeting by means of remote communication, or set forth in the notice of the meeting, and the adjournment is for less than thirty (30) calendar days, no notice need be given of any such adjourned meeting. If the adjournment is for more than thirty (30) calendar days or if after the adjournment a new record date for determining Stockholders entitled to vote at the adjourned meeting is fixed for the adjourned meeting, then notice shall be given to each Stockholder entitled to vote at the meeting. At the adjourned meeting, the Stockholders may transact any business that might have been transacted at the original meeting.</w:t>
      </w:r>
    </w:p>
    <w:p>
      <w:pPr>
        <w:spacing w:after="0" w:line="82"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Voting; Proxies</w:t>
      </w:r>
      <w:r>
        <w:rPr>
          <w:rFonts w:ascii="Times New Roman" w:cs="Times New Roman" w:eastAsia="Times New Roman" w:hAnsi="Times New Roman"/>
          <w:sz w:val="18"/>
          <w:szCs w:val="18"/>
          <w:color w:val="auto"/>
        </w:rPr>
        <w:t>. Unless otherwise provided by the General Corporation Law or in the Certificate of Incorporation, every Stockholder entitled to vote at any meeting of Stockholders shall be entitled to one vote for each share of stock held by such Stockholder which has voting power upon the matter in question. At any meeting of Stockholders, all matters other than the election of Directors, except as otherwise provided by the Certificate of Incorporation, these By-laws or any applicable law, shall be decided by the affirmative vote of a majority in voting power of shares of stock present in person or represented by proxy and entitled to vote thereon. Subject to the rights of the holders of any series of Preferred Stock of the Corporation and except as otherwise provided by the General Corporation Law or in the Certificate of Incorporation, at all meetings of Stockholders for the election of Directors, Directors shall be elected by a plurality of voting power of the outstanding shares present in person or represented by proxy at the meeting and entitled to vote on the election of Directors.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expressly provides for a longer period. A proxy shall be irrevocable if it states that it is irrevocable and if, and only so long as, it is coupled with an interest sufficient in law to support an irrevocable power. A Stockholder may revoke any proxy that is not irrevocable by attending the meeting and voting in person or by delivering to the Secretary a revocation of the proxy or by delivering a new proxy bearing a later date.</w:t>
      </w:r>
    </w:p>
    <w:p>
      <w:pPr>
        <w:spacing w:after="0" w:line="85"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Voting Procedures and Inspectors at Meetings of Stockholders</w:t>
      </w:r>
      <w:r>
        <w:rPr>
          <w:rFonts w:ascii="Times New Roman" w:cs="Times New Roman" w:eastAsia="Times New Roman" w:hAnsi="Times New Roman"/>
          <w:sz w:val="18"/>
          <w:szCs w:val="18"/>
          <w:color w:val="auto"/>
        </w:rPr>
        <w:t>. The Board, in advance of any meeting of Stockholders, shall appoint one or more inspectors, who may be employees of the Corporation, to act at the meeting and make a written report thereof. The Board may designate one or more persons as alternate inspectors to replace any inspector who fails to act. If no inspector or alternate is able to act at a meeting, the person presiding at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 (b) determine the shares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their duties. Unless otherwise provided by the Board, the date and time of the opening and the closing of the polls for each matter upon which the Stockholders will vote at a meeting shall be determined by the person presiding at the meeting and shall be announced at the meeting. No ballot, proxies,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83"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Conduct of Meetings</w:t>
      </w:r>
      <w:r>
        <w:rPr>
          <w:rFonts w:ascii="Times New Roman" w:cs="Times New Roman" w:eastAsia="Times New Roman" w:hAnsi="Times New Roman"/>
          <w:sz w:val="18"/>
          <w:szCs w:val="18"/>
          <w:color w:val="auto"/>
        </w:rPr>
        <w:t>. The Board may adopt such rules and procedures for the conduct of Stockholder meetings as it deems appropriate. At each meeting of Stockholders, the Chairman or, in the absence of the Chairman, the Chief Executive Officer or, in the absence of the Chairman and the Chief Executive Officer, the President or, if there is no Chairman, Chief Executive Officer or President, or if they are absent, a Vice President and, in the case that more than one Vice President shall be present, that Vice President designated by the Board (or in the absence of any such designation, the most senior Vice President present), shall preside over the meeting. Except to the extent inconsistent with the rules and procedures as adopted by the Board, the person presiding over the meeting of Stockholders shall have the right and authority to convene, adjourn (pursuant 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59"/>
        <w:spacing w:after="0" w:line="272" w:lineRule="auto"/>
        <w:rPr>
          <w:sz w:val="20"/>
          <w:szCs w:val="20"/>
          <w:color w:val="auto"/>
        </w:rPr>
      </w:pPr>
      <w:r>
        <w:rPr>
          <w:rFonts w:ascii="Times New Roman" w:cs="Times New Roman" w:eastAsia="Times New Roman" w:hAnsi="Times New Roman"/>
          <w:sz w:val="17"/>
          <w:szCs w:val="17"/>
          <w:color w:val="auto"/>
        </w:rPr>
        <w:t>Section 2.08) and reconvene the meeting from time to time, to prescribe such additional rules and procedures and to do all such acts as, in the judgment of such person, are appropriate for the proper conduct of the meeting. Such rules and procedures, whether adopted by the Board or prescribed by the person presiding over the meeting, may include</w:t>
      </w:r>
    </w:p>
    <w:p>
      <w:pPr>
        <w:spacing w:after="0" w:line="2" w:lineRule="exact"/>
        <w:rPr>
          <w:sz w:val="20"/>
          <w:szCs w:val="20"/>
          <w:color w:val="auto"/>
        </w:rPr>
      </w:pPr>
    </w:p>
    <w:p>
      <w:pPr>
        <w:ind w:left="300" w:right="319" w:hanging="8"/>
        <w:spacing w:after="0" w:line="251" w:lineRule="auto"/>
        <w:tabs>
          <w:tab w:leader="none" w:pos="54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person presiding over the meeting shall determine, (d) restrictions on entry to the meeting after the time fixed for the commencement thereof and (e) limitations on the time allotted to questions or comments by participants. The person presiding over any meeting of Stockholders, in addition to making any other determinations that may be appropriate to the conduct of the meeting, may determine and declare to the meeting that a matter or business was not properly brought before the meeting and if such presiding person should so determine, he or she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The Secretary or, in his or her absence, one of the Assistant Secretaries, shall act as secretary of the meeting. If none of the officers above designated to act as the person presiding over the meeting or as secretary of the meeting shall be present, a person presiding over the meeting or a secretary of the meeting, as the case may be, shall be designated by the Board and, if the Board has not so acted, in the case of the designation of a person to act as secretary of the meeting, designated by the person presiding over the meeting. To the extent permitted by applicable law, meetings of Stockholders may be conducted by remote communications, including by webcast.</w:t>
      </w:r>
    </w:p>
    <w:p>
      <w:pPr>
        <w:spacing w:after="0" w:line="80" w:lineRule="exact"/>
        <w:rPr>
          <w:sz w:val="20"/>
          <w:szCs w:val="20"/>
          <w:color w:val="auto"/>
        </w:rPr>
      </w:pPr>
    </w:p>
    <w:p>
      <w:pPr>
        <w:ind w:left="300" w:right="379" w:firstLine="360"/>
        <w:spacing w:after="0" w:line="284"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Order of Business</w:t>
      </w:r>
      <w:r>
        <w:rPr>
          <w:rFonts w:ascii="Times New Roman" w:cs="Times New Roman" w:eastAsia="Times New Roman" w:hAnsi="Times New Roman"/>
          <w:sz w:val="18"/>
          <w:szCs w:val="18"/>
          <w:color w:val="auto"/>
        </w:rPr>
        <w:t>. The order of business at all meetings of Stockholders shall be as determined by the person presiding over the meeting.</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irectors</w:t>
      </w:r>
    </w:p>
    <w:p>
      <w:pPr>
        <w:spacing w:after="0" w:line="97"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General Powers</w:t>
      </w:r>
      <w:r>
        <w:rPr>
          <w:rFonts w:ascii="Times New Roman" w:cs="Times New Roman" w:eastAsia="Times New Roman" w:hAnsi="Times New Roman"/>
          <w:sz w:val="18"/>
          <w:szCs w:val="18"/>
          <w:color w:val="auto"/>
        </w:rPr>
        <w:t>. The business and affairs of the Corporation shall be managed by, or under the direction of, the Board. The Board may adopt such rules and procedures, not inconsistent with the Certificate of Incorporation, these By-laws or applicable law, as it may deem proper for the conduct of its meetings and the management of the Corporation.</w:t>
      </w:r>
    </w:p>
    <w:p>
      <w:pPr>
        <w:spacing w:after="0" w:line="72"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Classes of Directors; Term of Office</w:t>
      </w:r>
      <w:r>
        <w:rPr>
          <w:rFonts w:ascii="Times New Roman" w:cs="Times New Roman" w:eastAsia="Times New Roman" w:hAnsi="Times New Roman"/>
          <w:sz w:val="18"/>
          <w:szCs w:val="18"/>
          <w:color w:val="auto"/>
        </w:rPr>
        <w:t>. Subject to the rights of the holders of any series of Preferred Stock to elect additional Directors under specified circumstances, following the adoption of these By-laws, the Directors shall be divided into three classes designated as Class I, Class II and Class III, respectively. The Board is authorized to assign members of the Board already in office to such classes at the time the classification becomes effective. At the first annual meeting of Stockholders following the effectiveness of the Certificate of Incorporation, the term of office of the Class I Directors shall expire and Class I Directors shall be elected for a full term of three years. At the second annual meeting of Stockholders following the effectiveness of the Certificate of Incorporation, the term of office of the Class II Directors shall expire and Class II Directors shall be elected for a full term of three years. At the third annual meeting of Stockholders following the effectiveness of the Certificate of Incorporation,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Notwithstanding the foregoing provisions of this Section 3.02, each Director shall serve until his or her successor is duly elected and qualified or until his or her earlier death, resignation or removal. No decrease in the number of Directors constituting the Board shall shorten the term of any incumbent Director.</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Nominations of Directors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579" w:firstLine="360"/>
        <w:spacing w:after="0" w:line="282" w:lineRule="auto"/>
        <w:rPr>
          <w:sz w:val="20"/>
          <w:szCs w:val="20"/>
          <w:color w:val="auto"/>
        </w:rPr>
      </w:pPr>
      <w:r>
        <w:rPr>
          <w:rFonts w:ascii="Times New Roman" w:cs="Times New Roman" w:eastAsia="Times New Roman" w:hAnsi="Times New Roman"/>
          <w:sz w:val="18"/>
          <w:szCs w:val="18"/>
          <w:color w:val="auto"/>
        </w:rPr>
        <w:t>(a)  Subject to ‎Section 3.03(k), only persons who are nominated in accordance with the procedures set forth in this ‎Section 3.03 are eligible for election as Directors.</w:t>
      </w:r>
    </w:p>
    <w:p>
      <w:pPr>
        <w:spacing w:after="0" w:line="54" w:lineRule="exact"/>
        <w:rPr>
          <w:sz w:val="20"/>
          <w:szCs w:val="20"/>
          <w:color w:val="auto"/>
        </w:rPr>
      </w:pPr>
    </w:p>
    <w:p>
      <w:pPr>
        <w:ind w:left="660" w:right="419" w:firstLine="360"/>
        <w:spacing w:after="0" w:line="261" w:lineRule="auto"/>
        <w:rPr>
          <w:sz w:val="20"/>
          <w:szCs w:val="20"/>
          <w:color w:val="auto"/>
        </w:rPr>
      </w:pPr>
      <w:r>
        <w:rPr>
          <w:rFonts w:ascii="Times New Roman" w:cs="Times New Roman" w:eastAsia="Times New Roman" w:hAnsi="Times New Roman"/>
          <w:sz w:val="18"/>
          <w:szCs w:val="18"/>
          <w:color w:val="auto"/>
        </w:rPr>
        <w:t>(b)  Nominations of persons for election to the Board may only be made at a meeting properly called for the election of Directors and only (i) by or at the direction of the Board or any committee thereof or (ii) by a Stockholder who (A) was a Stockholder of record of the Corporation when the notice required by this ‎Section 3.03 is delivered to the Secretary and at the time of the meeting, (B) is entitled to vote for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election of Directors at the meeting and (C) complies with the notice and other provisions of this Section‎ 3.03.</w:t>
      </w:r>
    </w:p>
    <w:p>
      <w:pPr>
        <w:spacing w:after="0" w:line="27" w:lineRule="exact"/>
        <w:rPr>
          <w:sz w:val="20"/>
          <w:szCs w:val="20"/>
          <w:color w:val="auto"/>
        </w:rPr>
      </w:pPr>
    </w:p>
    <w:p>
      <w:pPr>
        <w:ind w:left="660" w:right="459"/>
        <w:spacing w:after="0" w:line="253" w:lineRule="auto"/>
        <w:rPr>
          <w:sz w:val="20"/>
          <w:szCs w:val="20"/>
          <w:color w:val="auto"/>
        </w:rPr>
      </w:pPr>
      <w:r>
        <w:rPr>
          <w:rFonts w:ascii="Times New Roman" w:cs="Times New Roman" w:eastAsia="Times New Roman" w:hAnsi="Times New Roman"/>
          <w:sz w:val="18"/>
          <w:szCs w:val="18"/>
          <w:color w:val="auto"/>
        </w:rPr>
        <w:t>Subject to Section‎ 3.03(k), Section‎ 3.03(b)(ii) is the exclusive means by which a Stockholder may nominate a person for election to the Board. Persons nominated in accordance with ‎Section 3.03(b)(ii) are referred to as “</w:t>
      </w:r>
      <w:r>
        <w:rPr>
          <w:rFonts w:ascii="Times New Roman" w:cs="Times New Roman" w:eastAsia="Times New Roman" w:hAnsi="Times New Roman"/>
          <w:sz w:val="18"/>
          <w:szCs w:val="18"/>
          <w:b w:val="1"/>
          <w:bCs w:val="1"/>
          <w:color w:val="auto"/>
        </w:rPr>
        <w:t>Stockholder Nominees</w:t>
      </w:r>
      <w:r>
        <w:rPr>
          <w:rFonts w:ascii="Times New Roman" w:cs="Times New Roman" w:eastAsia="Times New Roman" w:hAnsi="Times New Roman"/>
          <w:sz w:val="18"/>
          <w:szCs w:val="18"/>
          <w:color w:val="auto"/>
        </w:rPr>
        <w:t>.” A Stockholder nominating persons for election to the Board is referred to as the “</w:t>
      </w:r>
      <w:r>
        <w:rPr>
          <w:rFonts w:ascii="Times New Roman" w:cs="Times New Roman" w:eastAsia="Times New Roman" w:hAnsi="Times New Roman"/>
          <w:sz w:val="18"/>
          <w:szCs w:val="18"/>
          <w:b w:val="1"/>
          <w:bCs w:val="1"/>
          <w:color w:val="auto"/>
        </w:rPr>
        <w:t>Nominating Stockholder</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(c)  Subject to Section‎ 3.03(k), all nominations of Stockholder Nominees must be made by timely written notice given by or on behalf of a Stockholder of record of the Corporation (the “</w:t>
      </w:r>
      <w:r>
        <w:rPr>
          <w:rFonts w:ascii="Times New Roman" w:cs="Times New Roman" w:eastAsia="Times New Roman" w:hAnsi="Times New Roman"/>
          <w:sz w:val="18"/>
          <w:szCs w:val="18"/>
          <w:b w:val="1"/>
          <w:bCs w:val="1"/>
          <w:color w:val="auto"/>
        </w:rPr>
        <w:t>Notice of Nomination</w:t>
      </w:r>
      <w:r>
        <w:rPr>
          <w:rFonts w:ascii="Times New Roman" w:cs="Times New Roman" w:eastAsia="Times New Roman" w:hAnsi="Times New Roman"/>
          <w:sz w:val="18"/>
          <w:szCs w:val="18"/>
          <w:color w:val="auto"/>
        </w:rPr>
        <w:t>”). To be timely, the Notice of Nomination must be delivered personally or mailed to and received at the Office of the Corporation, addressed to the attention of the Secretary, by the following dates:</w:t>
      </w:r>
    </w:p>
    <w:p>
      <w:pPr>
        <w:spacing w:after="0" w:line="72" w:lineRule="exact"/>
        <w:rPr>
          <w:sz w:val="20"/>
          <w:szCs w:val="20"/>
          <w:color w:val="auto"/>
        </w:rPr>
      </w:pPr>
    </w:p>
    <w:p>
      <w:pPr>
        <w:ind w:left="102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  in the case of the nomination of a Stockholder Nominee for election to the Board at an annual meeting of Stockholders, no earlier than one hundred and twenty (120) days and no later than ninety (90) days before the first anniversary of the date of the prior year’s annual meeting of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 the annual meeting of Stockholders is advanced by more than thirty (30) days,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delayed by more than sixty (60) days, from the first anniversary of the prior year’s annual meeting of Stockholders or (B) no annual meeting was held during the prior year, the notice by the Stockholder to be timely must be received (1) no earlier than one hundred and twenty (120) days before such annual meeting and (2) no later than the later of ninety (90) days before such annual meeting and the tenth day after the day on which the notice of such annual meeting was made by mail or Public Disclosure; and</w:t>
      </w:r>
    </w:p>
    <w:p>
      <w:pPr>
        <w:spacing w:after="0" w:line="80" w:lineRule="exact"/>
        <w:rPr>
          <w:sz w:val="20"/>
          <w:szCs w:val="20"/>
          <w:color w:val="auto"/>
        </w:rPr>
      </w:pPr>
    </w:p>
    <w:p>
      <w:pPr>
        <w:ind w:left="1020" w:right="359" w:firstLine="360"/>
        <w:spacing w:after="0" w:line="261" w:lineRule="auto"/>
        <w:rPr>
          <w:sz w:val="20"/>
          <w:szCs w:val="20"/>
          <w:color w:val="auto"/>
        </w:rPr>
      </w:pPr>
      <w:r>
        <w:rPr>
          <w:rFonts w:ascii="Times New Roman" w:cs="Times New Roman" w:eastAsia="Times New Roman" w:hAnsi="Times New Roman"/>
          <w:sz w:val="18"/>
          <w:szCs w:val="18"/>
          <w:color w:val="auto"/>
        </w:rPr>
        <w:t>(ii)  in the case of the nomination of a Stockholder Nominee for election to the Board at a special meeting of Stockholders, no earlier than one hundred and twenty (120) days before and no later than the later of ninety (90) days before such special meeting and the tenth day after the day on which the notice of such special meeting was made by mail or Public Disclosure.</w:t>
      </w:r>
    </w:p>
    <w:p>
      <w:pPr>
        <w:spacing w:after="0" w:line="72" w:lineRule="exact"/>
        <w:rPr>
          <w:sz w:val="20"/>
          <w:szCs w:val="20"/>
          <w:color w:val="auto"/>
        </w:rPr>
      </w:pPr>
    </w:p>
    <w:p>
      <w:pPr>
        <w:ind w:left="660" w:right="319" w:firstLine="360"/>
        <w:spacing w:after="0" w:line="255" w:lineRule="auto"/>
        <w:rPr>
          <w:sz w:val="20"/>
          <w:szCs w:val="20"/>
          <w:color w:val="auto"/>
        </w:rPr>
      </w:pPr>
      <w:r>
        <w:rPr>
          <w:rFonts w:ascii="Times New Roman" w:cs="Times New Roman" w:eastAsia="Times New Roman" w:hAnsi="Times New Roman"/>
          <w:sz w:val="18"/>
          <w:szCs w:val="18"/>
          <w:color w:val="auto"/>
        </w:rPr>
        <w:t>(d)  Notwithstanding anything to the contrary, if the number of Directors to be elected to the Board at a meeting of Stockholders is increased and there is no Public Disclosure by the Corporation naming the nominees for the additional directorships at least one hundred (100) days before the first anniversary of the preceding year’s annual meeting, a Notice of Nomination shall also be considered timely, but only with respect to nominees for the additional directorships, if it shall be delivered personally and received at the Office of the Corporation, addressed to the attention of the Secretary, no later than the close of business on the tenth day following the day on which such Public Disclosure is first made by the Corporation.</w:t>
      </w:r>
    </w:p>
    <w:p>
      <w:pPr>
        <w:spacing w:after="0" w:line="81" w:lineRule="exact"/>
        <w:rPr>
          <w:sz w:val="20"/>
          <w:szCs w:val="20"/>
          <w:color w:val="auto"/>
        </w:rPr>
      </w:pPr>
    </w:p>
    <w:p>
      <w:pPr>
        <w:ind w:left="660" w:right="399" w:firstLine="360"/>
        <w:spacing w:after="0" w:line="266" w:lineRule="auto"/>
        <w:rPr>
          <w:sz w:val="20"/>
          <w:szCs w:val="20"/>
          <w:color w:val="auto"/>
        </w:rPr>
      </w:pPr>
      <w:r>
        <w:rPr>
          <w:rFonts w:ascii="Times New Roman" w:cs="Times New Roman" w:eastAsia="Times New Roman" w:hAnsi="Times New Roman"/>
          <w:sz w:val="18"/>
          <w:szCs w:val="18"/>
          <w:color w:val="auto"/>
        </w:rPr>
        <w:t>(e)  In no event shall an adjournment, postponement or deferral, or Public Disclosure of an adjournment, postponement or deferral, of an annual or special meeting commence a new time period (or extend any time period) for the giving of the Notice of Nomination.</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   The Notice of Nomination shall set forth:</w:t>
      </w:r>
    </w:p>
    <w:p>
      <w:pPr>
        <w:spacing w:after="0" w:line="117" w:lineRule="exact"/>
        <w:rPr>
          <w:sz w:val="20"/>
          <w:szCs w:val="20"/>
          <w:color w:val="auto"/>
        </w:rPr>
      </w:pPr>
    </w:p>
    <w:p>
      <w:pPr>
        <w:ind w:left="1020" w:right="739" w:firstLine="360"/>
        <w:spacing w:after="0" w:line="282" w:lineRule="auto"/>
        <w:rPr>
          <w:sz w:val="20"/>
          <w:szCs w:val="20"/>
          <w:color w:val="auto"/>
        </w:rPr>
      </w:pPr>
      <w:r>
        <w:rPr>
          <w:rFonts w:ascii="Times New Roman" w:cs="Times New Roman" w:eastAsia="Times New Roman" w:hAnsi="Times New Roman"/>
          <w:sz w:val="18"/>
          <w:szCs w:val="18"/>
          <w:color w:val="auto"/>
        </w:rPr>
        <w:t>(i)  the Stockholder Information with respect to each Nominating Stockholder and Stockholder Associated Person;</w:t>
      </w:r>
    </w:p>
    <w:p>
      <w:pPr>
        <w:spacing w:after="0" w:line="54" w:lineRule="exact"/>
        <w:rPr>
          <w:sz w:val="20"/>
          <w:szCs w:val="20"/>
          <w:color w:val="auto"/>
        </w:rPr>
      </w:pPr>
    </w:p>
    <w:p>
      <w:pPr>
        <w:jc w:val="both"/>
        <w:ind w:left="1020" w:right="459" w:firstLine="360"/>
        <w:spacing w:after="0" w:line="266" w:lineRule="auto"/>
        <w:rPr>
          <w:sz w:val="20"/>
          <w:szCs w:val="20"/>
          <w:color w:val="auto"/>
        </w:rPr>
      </w:pPr>
      <w:r>
        <w:rPr>
          <w:rFonts w:ascii="Times New Roman" w:cs="Times New Roman" w:eastAsia="Times New Roman" w:hAnsi="Times New Roman"/>
          <w:sz w:val="18"/>
          <w:szCs w:val="18"/>
          <w:color w:val="auto"/>
        </w:rPr>
        <w:t>(ii)  a representation to the Corporation that each Nominating Stockholder is a holder of record of stock of the Corporation entitled to vote at the meeting and intends to appear in person or by proxy at the meeting to propose such nomination;</w:t>
      </w:r>
    </w:p>
    <w:p>
      <w:pPr>
        <w:spacing w:after="0" w:line="68" w:lineRule="exact"/>
        <w:rPr>
          <w:sz w:val="20"/>
          <w:szCs w:val="20"/>
          <w:color w:val="auto"/>
        </w:rPr>
      </w:pPr>
    </w:p>
    <w:p>
      <w:pPr>
        <w:ind w:left="1020" w:right="339" w:firstLine="360"/>
        <w:spacing w:after="0" w:line="258" w:lineRule="auto"/>
        <w:rPr>
          <w:sz w:val="20"/>
          <w:szCs w:val="20"/>
          <w:color w:val="auto"/>
        </w:rPr>
      </w:pPr>
      <w:r>
        <w:rPr>
          <w:rFonts w:ascii="Times New Roman" w:cs="Times New Roman" w:eastAsia="Times New Roman" w:hAnsi="Times New Roman"/>
          <w:sz w:val="18"/>
          <w:szCs w:val="18"/>
          <w:color w:val="auto"/>
        </w:rPr>
        <w:t>(iii)  all information regarding each Stockholder Nominee and Stockholder Associated Person that would be required to be disclosed in a solicitation of proxies subject to Section 14 of the Exchange Act (or any successor provision), and the rules and regulations promulgated thereunder, including without limitation, Rule 14a-19 under the Exchange Act (including a corresponding provision or successor rule, “Rule 14a-19”);</w:t>
      </w:r>
    </w:p>
    <w:p>
      <w:pPr>
        <w:spacing w:after="0" w:line="75" w:lineRule="exact"/>
        <w:rPr>
          <w:sz w:val="20"/>
          <w:szCs w:val="20"/>
          <w:color w:val="auto"/>
        </w:rPr>
      </w:pPr>
    </w:p>
    <w:p>
      <w:pPr>
        <w:ind w:left="1020" w:right="659" w:firstLine="360"/>
        <w:spacing w:after="0" w:line="266" w:lineRule="auto"/>
        <w:rPr>
          <w:sz w:val="20"/>
          <w:szCs w:val="20"/>
          <w:color w:val="auto"/>
        </w:rPr>
      </w:pPr>
      <w:r>
        <w:rPr>
          <w:rFonts w:ascii="Times New Roman" w:cs="Times New Roman" w:eastAsia="Times New Roman" w:hAnsi="Times New Roman"/>
          <w:sz w:val="18"/>
          <w:szCs w:val="18"/>
          <w:color w:val="auto"/>
        </w:rPr>
        <w:t>(iv)  the written consent of each Stockholder Nominee to being named in a proxy statement as a nominee and to serve if elected and a completed signed questionnaire, representation and agreement required by ‎Section 3.04;</w:t>
      </w:r>
    </w:p>
    <w:p>
      <w:pPr>
        <w:spacing w:after="0" w:line="68" w:lineRule="exact"/>
        <w:rPr>
          <w:sz w:val="20"/>
          <w:szCs w:val="20"/>
          <w:color w:val="auto"/>
        </w:rPr>
      </w:pPr>
    </w:p>
    <w:p>
      <w:pPr>
        <w:ind w:left="1020" w:right="379" w:firstLine="360"/>
        <w:spacing w:after="0" w:line="282" w:lineRule="auto"/>
        <w:rPr>
          <w:sz w:val="20"/>
          <w:szCs w:val="20"/>
          <w:color w:val="auto"/>
        </w:rPr>
      </w:pPr>
      <w:r>
        <w:rPr>
          <w:rFonts w:ascii="Times New Roman" w:cs="Times New Roman" w:eastAsia="Times New Roman" w:hAnsi="Times New Roman"/>
          <w:sz w:val="18"/>
          <w:szCs w:val="18"/>
          <w:color w:val="auto"/>
        </w:rPr>
        <w:t>(v)  a description of all related party transactions and other information that would be required to be disclosed pursuant to federal securities law, including Rule 404 promulgated under Regulation S-K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899"/>
        <w:spacing w:after="0" w:line="266" w:lineRule="auto"/>
        <w:rPr>
          <w:sz w:val="20"/>
          <w:szCs w:val="20"/>
          <w:color w:val="auto"/>
        </w:rPr>
      </w:pPr>
      <w:r>
        <w:rPr>
          <w:rFonts w:ascii="Times New Roman" w:cs="Times New Roman" w:eastAsia="Times New Roman" w:hAnsi="Times New Roman"/>
          <w:sz w:val="18"/>
          <w:szCs w:val="18"/>
          <w:color w:val="auto"/>
        </w:rPr>
        <w:t>under the Securities Act of 1933 (or any successor provision) if the Nominating Stockholder or the Stockholder Associated Person were the “registrant” for purposes of such rule and the Stockholder Nominee were a director or executive of such registrant;</w:t>
      </w:r>
    </w:p>
    <w:p>
      <w:pPr>
        <w:spacing w:after="0" w:line="68" w:lineRule="exact"/>
        <w:rPr>
          <w:sz w:val="20"/>
          <w:szCs w:val="20"/>
          <w:color w:val="auto"/>
        </w:rPr>
      </w:pPr>
    </w:p>
    <w:p>
      <w:pPr>
        <w:ind w:left="1020" w:right="399" w:firstLine="360"/>
        <w:spacing w:after="0" w:line="282" w:lineRule="auto"/>
        <w:rPr>
          <w:sz w:val="20"/>
          <w:szCs w:val="20"/>
          <w:color w:val="auto"/>
        </w:rPr>
      </w:pPr>
      <w:r>
        <w:rPr>
          <w:rFonts w:ascii="Times New Roman" w:cs="Times New Roman" w:eastAsia="Times New Roman" w:hAnsi="Times New Roman"/>
          <w:sz w:val="18"/>
          <w:szCs w:val="18"/>
          <w:color w:val="auto"/>
        </w:rPr>
        <w:t>(vi)  Stockholder Information with respect to any stock or other interests of the Corporation held by the Nominating Stockholder’s immediate family members;</w:t>
      </w:r>
    </w:p>
    <w:p>
      <w:pPr>
        <w:spacing w:after="0" w:line="54" w:lineRule="exact"/>
        <w:rPr>
          <w:sz w:val="20"/>
          <w:szCs w:val="20"/>
          <w:color w:val="auto"/>
        </w:rPr>
      </w:pPr>
    </w:p>
    <w:p>
      <w:pPr>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(vii)  all information that would be required to be set forth in a Schedule 13D filed pursuant to Rule 13d-1(a) or an amendment pursuant to Rule 13d-2(a) if such a statement were required to be filed under the Exchange Act and the rules and regulations promulgated thereunder by each Nominating Stockholder and each Stockholder Associated Person, if any; provided, however, that if a Schedule 13D or amendment has been filed under the Exchange Act and the rules and regulations promulgated thereunder by any such Nominating Stockholder or Stockholder Associated Person containing all such information, then a statement in the Nominating Stockholder’s notice incorporating such Schedule 13D, as amended, by reference shall be sufficient for purposes of the disclosure required by this Section 3.03(f)(vi).</w:t>
      </w:r>
    </w:p>
    <w:p>
      <w:pPr>
        <w:spacing w:after="0" w:line="84" w:lineRule="exact"/>
        <w:rPr>
          <w:sz w:val="20"/>
          <w:szCs w:val="20"/>
          <w:color w:val="auto"/>
        </w:rPr>
      </w:pPr>
    </w:p>
    <w:p>
      <w:pPr>
        <w:ind w:left="1020" w:right="359" w:firstLine="360"/>
        <w:spacing w:after="0" w:line="261" w:lineRule="auto"/>
        <w:rPr>
          <w:sz w:val="20"/>
          <w:szCs w:val="20"/>
          <w:color w:val="auto"/>
        </w:rPr>
      </w:pPr>
      <w:r>
        <w:rPr>
          <w:rFonts w:ascii="Times New Roman" w:cs="Times New Roman" w:eastAsia="Times New Roman" w:hAnsi="Times New Roman"/>
          <w:sz w:val="18"/>
          <w:szCs w:val="18"/>
          <w:color w:val="auto"/>
        </w:rPr>
        <w:t>(viii)  a representation to the Corporation as to whether each Nominating Stockholder intends (A) to deliver a proxy statement and form of proxy to holders of at least the percentage of the Corporation’s outstanding capital stock required to approve the nomination or (B) otherwise to solicit proxies from Stockholders in support of such nomination;</w:t>
      </w:r>
    </w:p>
    <w:p>
      <w:pPr>
        <w:spacing w:after="0" w:line="72" w:lineRule="exact"/>
        <w:rPr>
          <w:sz w:val="20"/>
          <w:szCs w:val="20"/>
          <w:color w:val="auto"/>
        </w:rPr>
      </w:pPr>
    </w:p>
    <w:p>
      <w:pPr>
        <w:ind w:left="1020" w:right="419" w:firstLine="360"/>
        <w:spacing w:after="0" w:line="266" w:lineRule="auto"/>
        <w:rPr>
          <w:sz w:val="20"/>
          <w:szCs w:val="20"/>
          <w:color w:val="auto"/>
        </w:rPr>
      </w:pPr>
      <w:r>
        <w:rPr>
          <w:rFonts w:ascii="Times New Roman" w:cs="Times New Roman" w:eastAsia="Times New Roman" w:hAnsi="Times New Roman"/>
          <w:sz w:val="18"/>
          <w:szCs w:val="18"/>
          <w:color w:val="auto"/>
        </w:rPr>
        <w:t>(ix)  all other information that would be required to be filed with the SEC if the Nominating Stockholders and Stockholder Associated Persons were participants in a solicitation subject to Section 14 of the Exchange Act; and</w:t>
      </w:r>
    </w:p>
    <w:p>
      <w:pPr>
        <w:spacing w:after="0" w:line="68" w:lineRule="exact"/>
        <w:rPr>
          <w:sz w:val="20"/>
          <w:szCs w:val="20"/>
          <w:color w:val="auto"/>
        </w:rPr>
      </w:pPr>
    </w:p>
    <w:p>
      <w:pPr>
        <w:ind w:left="1020" w:right="479" w:firstLine="360"/>
        <w:spacing w:after="0" w:line="282" w:lineRule="auto"/>
        <w:rPr>
          <w:sz w:val="20"/>
          <w:szCs w:val="20"/>
          <w:color w:val="auto"/>
        </w:rPr>
      </w:pPr>
      <w:r>
        <w:rPr>
          <w:rFonts w:ascii="Times New Roman" w:cs="Times New Roman" w:eastAsia="Times New Roman" w:hAnsi="Times New Roman"/>
          <w:sz w:val="18"/>
          <w:szCs w:val="18"/>
          <w:color w:val="auto"/>
        </w:rPr>
        <w:t>(x)  a representation by the Nominating Stockholder as to the accuracy of the information set forth in the Notice of Nomination.</w:t>
      </w:r>
    </w:p>
    <w:p>
      <w:pPr>
        <w:spacing w:after="0" w:line="54" w:lineRule="exact"/>
        <w:rPr>
          <w:sz w:val="20"/>
          <w:szCs w:val="20"/>
          <w:color w:val="auto"/>
        </w:rPr>
      </w:pPr>
    </w:p>
    <w:p>
      <w:pPr>
        <w:ind w:left="660" w:right="319" w:firstLine="360"/>
        <w:spacing w:after="0" w:line="269" w:lineRule="auto"/>
        <w:rPr>
          <w:sz w:val="20"/>
          <w:szCs w:val="20"/>
          <w:color w:val="auto"/>
        </w:rPr>
      </w:pPr>
      <w:r>
        <w:rPr>
          <w:rFonts w:ascii="Times New Roman" w:cs="Times New Roman" w:eastAsia="Times New Roman" w:hAnsi="Times New Roman"/>
          <w:sz w:val="17"/>
          <w:szCs w:val="17"/>
          <w:color w:val="auto"/>
        </w:rPr>
        <w:t>(g)  The Corporation may also, as a condition to any such nomination being deemed properly brought before a meeting of stockholders, require any Nominating Stockholder or any Stockholder Nominee to deliver to the Secretary, within five (5) business days of any such request, such other information as may reasonably be requested by the Corporation, including (1) such other information as may be reasonably required by the Board, in its sole discretion, to determine (A) the eligibility of such Stockholder Nominee to serve as a Director, and</w:t>
      </w:r>
    </w:p>
    <w:p>
      <w:pPr>
        <w:spacing w:after="0" w:line="3" w:lineRule="exact"/>
        <w:rPr>
          <w:sz w:val="20"/>
          <w:szCs w:val="20"/>
          <w:color w:val="auto"/>
        </w:rPr>
      </w:pPr>
    </w:p>
    <w:p>
      <w:pPr>
        <w:ind w:left="660" w:right="379" w:hanging="8"/>
        <w:spacing w:after="0" w:line="252" w:lineRule="auto"/>
        <w:tabs>
          <w:tab w:leader="none" w:pos="94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proposed Stockholder Nominee qualifies as an “independent director” or “audit committee financial expert,” or otherwise meets heightened standards of independence, under applicable law, securities exchange rule or regulation or any publicly disclosed corporate governance guideline or committee charter of the Corporation and (2) such other information that the Board determines, in its sole discretion, could be material to a reasonable stockholder’s understanding of the qualifications and independence, or lack thereof, of such proposed Stockholder Nominee.</w:t>
      </w:r>
    </w:p>
    <w:p>
      <w:pPr>
        <w:spacing w:after="0" w:line="82"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color w:val="auto"/>
        </w:rPr>
        <w:t>(h)  In addition, the Nominating Stockholders shall further update and supplement the information provided to the Corporation in the Notice of Nomination or upon the Corporation’s request pursuant to ‎Section 3.03(g) as needed, so that such information shall be true and correct as of the record date for the meeting. Such update and supplement must be delivered personally or mailed to, and received at, the Office of the Corporation, addressed to the Secretary, by no later than ten (10) business days after the record date for the meeting. In addition, the Nominating Stockholder shall deliver to the Corporation not later than six (6) business days prior to the date of the meeting or any adjournment, recess, rescheduling or postponement thereof reasonable evidence that it has complied with the requirements of Rule 14a-19.</w:t>
      </w:r>
    </w:p>
    <w:p>
      <w:pPr>
        <w:spacing w:after="0" w:line="84" w:lineRule="exact"/>
        <w:rPr>
          <w:sz w:val="20"/>
          <w:szCs w:val="20"/>
          <w:color w:val="auto"/>
        </w:rPr>
      </w:pPr>
    </w:p>
    <w:p>
      <w:pPr>
        <w:ind w:left="660" w:right="339" w:firstLine="360"/>
        <w:spacing w:after="0" w:line="256" w:lineRule="auto"/>
        <w:rPr>
          <w:sz w:val="20"/>
          <w:szCs w:val="20"/>
          <w:color w:val="auto"/>
        </w:rPr>
      </w:pPr>
      <w:r>
        <w:rPr>
          <w:rFonts w:ascii="Times New Roman" w:cs="Times New Roman" w:eastAsia="Times New Roman" w:hAnsi="Times New Roman"/>
          <w:sz w:val="18"/>
          <w:szCs w:val="18"/>
          <w:color w:val="auto"/>
        </w:rPr>
        <w:t>(i)  In addition, any Nominating Stockholder that provides notice pursuant to Rule 14a-19(b) shall notify the Secretary within two (2) business days of any change in such shareholder’s intent to solicit proxies from the holders of shares representing at least 67% of the voting power of shares entitled to vote on the election of directors in support of director nominees other than the Company’s nominees. Any shareholder directly or indirectly soliciting proxies from other shareholders must use a proxy card color other than white, which shall be reserved for the exclusive use by the Board.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619" w:firstLine="360"/>
        <w:spacing w:after="0" w:line="261" w:lineRule="auto"/>
        <w:rPr>
          <w:sz w:val="20"/>
          <w:szCs w:val="20"/>
          <w:color w:val="auto"/>
        </w:rPr>
      </w:pPr>
      <w:r>
        <w:rPr>
          <w:rFonts w:ascii="Times New Roman" w:cs="Times New Roman" w:eastAsia="Times New Roman" w:hAnsi="Times New Roman"/>
          <w:sz w:val="18"/>
          <w:szCs w:val="18"/>
          <w:color w:val="auto"/>
        </w:rPr>
        <w:t>(j)  The person presiding over the meeting shall, if the facts warrant, determine and declare to the meeting, that the nomination was not made in accordance with the procedures set forth in this ‎Section 3.03, and, if he or she should so determine, he or she shall so declare to the meeting and the defective nomination shall be disregarded.</w:t>
      </w:r>
    </w:p>
    <w:p>
      <w:pPr>
        <w:spacing w:after="0" w:line="72" w:lineRule="exact"/>
        <w:rPr>
          <w:sz w:val="20"/>
          <w:szCs w:val="20"/>
          <w:color w:val="auto"/>
        </w:rPr>
      </w:pPr>
    </w:p>
    <w:p>
      <w:pPr>
        <w:ind w:left="660" w:right="359" w:firstLine="360"/>
        <w:spacing w:after="0" w:line="254" w:lineRule="auto"/>
        <w:rPr>
          <w:sz w:val="20"/>
          <w:szCs w:val="20"/>
          <w:color w:val="auto"/>
        </w:rPr>
      </w:pPr>
      <w:r>
        <w:rPr>
          <w:rFonts w:ascii="Times New Roman" w:cs="Times New Roman" w:eastAsia="Times New Roman" w:hAnsi="Times New Roman"/>
          <w:sz w:val="18"/>
          <w:szCs w:val="18"/>
          <w:color w:val="auto"/>
        </w:rPr>
        <w:t>(k)  If the Stockholder (or a qualified representative of the Stockholder) does not appear at the applicable Stockholder meeting to nominate the Stockholder Nominees, such nomination shall be disregarded and such business shall not be transacted, notwithstanding that proxies in respect of such vote may have been received by the Corporation. For purposes of this ‎Section 3.03,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80" w:lineRule="exact"/>
        <w:rPr>
          <w:sz w:val="20"/>
          <w:szCs w:val="20"/>
          <w:color w:val="auto"/>
        </w:rPr>
      </w:pPr>
    </w:p>
    <w:p>
      <w:pPr>
        <w:ind w:left="660" w:right="719" w:firstLine="360"/>
        <w:spacing w:after="0" w:line="312" w:lineRule="auto"/>
        <w:rPr>
          <w:sz w:val="20"/>
          <w:szCs w:val="20"/>
          <w:color w:val="auto"/>
        </w:rPr>
      </w:pPr>
      <w:r>
        <w:rPr>
          <w:rFonts w:ascii="Times New Roman" w:cs="Times New Roman" w:eastAsia="Times New Roman" w:hAnsi="Times New Roman"/>
          <w:sz w:val="17"/>
          <w:szCs w:val="17"/>
          <w:color w:val="auto"/>
        </w:rPr>
        <w:t>(l)  Nothing in this Section‎ 3.03 shall be deemed to affect any rights of the holders of any series of preferred stock of the Corporation pursuant to any applicable provision of the Certificate of Incorporation.</w:t>
      </w:r>
    </w:p>
    <w:p>
      <w:pPr>
        <w:spacing w:after="0" w:line="30"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Nominee and Director Qualifications</w:t>
      </w:r>
      <w:r>
        <w:rPr>
          <w:rFonts w:ascii="Times New Roman" w:cs="Times New Roman" w:eastAsia="Times New Roman" w:hAnsi="Times New Roman"/>
          <w:sz w:val="18"/>
          <w:szCs w:val="18"/>
          <w:color w:val="auto"/>
        </w:rPr>
        <w:t>. Unless the Board determines otherwise, to be eligible to be a nominee for election or reelection as a Director, a person must deliver (in accordance with the time periods prescribed for delivery of notice by the Board) to the Secretary at the Office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(i) any agreement, arrangement or understanding with, and has not given any commitment or assurance to, any person or entity as to how such person will act or vote as a Director on any issue or question (a “</w:t>
      </w:r>
      <w:r>
        <w:rPr>
          <w:rFonts w:ascii="Times New Roman" w:cs="Times New Roman" w:eastAsia="Times New Roman" w:hAnsi="Times New Roman"/>
          <w:sz w:val="18"/>
          <w:szCs w:val="18"/>
          <w:b w:val="1"/>
          <w:bCs w:val="1"/>
          <w:color w:val="auto"/>
        </w:rPr>
        <w:t>Voting Commitment</w:t>
      </w:r>
      <w:r>
        <w:rPr>
          <w:rFonts w:ascii="Times New Roman" w:cs="Times New Roman" w:eastAsia="Times New Roman" w:hAnsi="Times New Roman"/>
          <w:sz w:val="18"/>
          <w:szCs w:val="18"/>
          <w:color w:val="auto"/>
        </w:rPr>
        <w:t>”) that has not been disclosed to the Corporation or (ii) any Voting Commitment that could limit or interfere with such person’s ability to comply with such person’s fiduciary duties as a Director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the Corporation that are applicable to Directors.</w:t>
      </w:r>
    </w:p>
    <w:p>
      <w:pPr>
        <w:spacing w:after="0" w:line="8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Resignation</w:t>
      </w:r>
      <w:r>
        <w:rPr>
          <w:rFonts w:ascii="Times New Roman" w:cs="Times New Roman" w:eastAsia="Times New Roman" w:hAnsi="Times New Roman"/>
          <w:sz w:val="18"/>
          <w:szCs w:val="18"/>
          <w:color w:val="auto"/>
        </w:rPr>
        <w:t>. Any Director may resign at any time by notice given in writing or by electronic transmission to the Corporation. Such resignation shall take effect at the date of receipt of such notice or at such later time as is therein specified, and, unless otherwise specified in such resignation, the acceptance of such resignation shall not be necessary to make it effective. If no such specification is made, the resignation shall be deemed effective at the time of delivery of the resignation to the Corporation. When one or more Directors shall resign from the Board,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Section 3.06. 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 Each Director, in consideration of his or her service as such, shall be entitled to</w:t>
      </w:r>
    </w:p>
    <w:p>
      <w:pPr>
        <w:spacing w:after="0" w:line="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receive from the Corporation such amount per annum or such fees (payable in cash or equity) for attendance at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Directors’ meetings, or both, as the Board may from time to time determine, together with reimbursement for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reasonable out-of-pocket expenses, if any, incurred by such Director in connection with the performance of his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her duties. Each Director who shall serve as a member of any committee of Directors in consideration of serving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such shall be entitled to such additional amount per annum or such fees for attendance at committee meetings,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both, as the Board may from time to time determine, together with reimbursement for the reasonable out-of-pocket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expenses, if any, incurred by such Director in the performance of his or her duties. Nothing contained in this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‎Section 3.06 shall preclude any Director from serving the Corporation or its subsidiaries in any other capacity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receiving proper compensation therefor.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35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Regular Meetings</w:t>
      </w:r>
      <w:r>
        <w:rPr>
          <w:rFonts w:ascii="Times New Roman" w:cs="Times New Roman" w:eastAsia="Times New Roman" w:hAnsi="Times New Roman"/>
          <w:sz w:val="18"/>
          <w:szCs w:val="18"/>
          <w:color w:val="auto"/>
        </w:rPr>
        <w:t>. Regular meetings of the Board may be held without notice at such times and at such places within or without the State of Delaware as may be determined from time to time by the Board or its Chairman.</w:t>
      </w:r>
    </w:p>
    <w:p>
      <w:pPr>
        <w:spacing w:after="0" w:line="65"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 Special meetings of the Board may be held at such times and at such places within or without the State of Delaware as may be determined by the Chairman, or the Chief Executive Officer on at least twenty-four (24) hours’ notice to each Director given by one of the means specified in ‎Section 3.11 hereof other than by mail, or on at least three (3) days’ notice if given by mail.</w:t>
      </w:r>
    </w:p>
    <w:p>
      <w:pPr>
        <w:spacing w:after="0" w:line="72"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Telephone/Electronic Meetings</w:t>
      </w:r>
      <w:r>
        <w:rPr>
          <w:rFonts w:ascii="Times New Roman" w:cs="Times New Roman" w:eastAsia="Times New Roman" w:hAnsi="Times New Roman"/>
          <w:sz w:val="18"/>
          <w:szCs w:val="18"/>
          <w:color w:val="auto"/>
        </w:rPr>
        <w:t>. Board or Board committee meetings may be held by means of telephone conference or other communications equipment by means of which all persons participating in the meeting can hear each other. Participation by a Director in a meeting pursuant to this ‎Section 3.09 shall constitute presence in person at such meeting.</w:t>
      </w:r>
    </w:p>
    <w:p>
      <w:pPr>
        <w:spacing w:after="0" w:line="72" w:lineRule="exact"/>
        <w:rPr>
          <w:sz w:val="20"/>
          <w:szCs w:val="20"/>
          <w:color w:val="auto"/>
        </w:rPr>
      </w:pPr>
    </w:p>
    <w:p>
      <w:pPr>
        <w:ind w:left="300" w:right="339" w:firstLine="360"/>
        <w:spacing w:after="0" w:line="275" w:lineRule="auto"/>
        <w:rPr>
          <w:sz w:val="20"/>
          <w:szCs w:val="20"/>
          <w:color w:val="auto"/>
        </w:rPr>
      </w:pPr>
      <w:r>
        <w:rPr>
          <w:rFonts w:ascii="Times New Roman" w:cs="Times New Roman" w:eastAsia="Times New Roman" w:hAnsi="Times New Roman"/>
          <w:sz w:val="17"/>
          <w:szCs w:val="17"/>
          <w:color w:val="auto"/>
        </w:rPr>
        <w:t xml:space="preserve">Section 3.10.  </w:t>
      </w:r>
      <w:r>
        <w:rPr>
          <w:rFonts w:ascii="Times New Roman" w:cs="Times New Roman" w:eastAsia="Times New Roman" w:hAnsi="Times New Roman"/>
          <w:sz w:val="17"/>
          <w:szCs w:val="17"/>
          <w:i w:val="1"/>
          <w:iCs w:val="1"/>
          <w:color w:val="auto"/>
        </w:rPr>
        <w:t>Adjourned Meetings</w:t>
      </w:r>
      <w:r>
        <w:rPr>
          <w:rFonts w:ascii="Times New Roman" w:cs="Times New Roman" w:eastAsia="Times New Roman" w:hAnsi="Times New Roman"/>
          <w:sz w:val="17"/>
          <w:szCs w:val="17"/>
          <w:color w:val="auto"/>
        </w:rPr>
        <w:t>. A majority of the Directors present at any meeting of the Board, including an adjourned meeting, whether or not a quorum is present, may adjourn and reconvene such meeting to another time and place. At least twenty-four (24) hours’ notice of any adjourned meeting of the Board shall be given to each Director whether or not present at the time of the adjournment, if such notice shall be given by one of the means specified in ‎Section 3.11 hereof other than by mail, or at least three (3) days’ notice if by mail. Any business may be transacted at an adjourned meeting that might have been transacted at the meeting as originally called.</w:t>
      </w:r>
    </w:p>
    <w:p>
      <w:pPr>
        <w:spacing w:after="0" w:line="60" w:lineRule="exact"/>
        <w:rPr>
          <w:sz w:val="20"/>
          <w:szCs w:val="20"/>
          <w:color w:val="auto"/>
        </w:rPr>
      </w:pPr>
    </w:p>
    <w:p>
      <w:pPr>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i w:val="1"/>
          <w:iCs w:val="1"/>
          <w:color w:val="auto"/>
        </w:rPr>
        <w:t>Notice Procedure</w:t>
      </w:r>
      <w:r>
        <w:rPr>
          <w:rFonts w:ascii="Times New Roman" w:cs="Times New Roman" w:eastAsia="Times New Roman" w:hAnsi="Times New Roman"/>
          <w:sz w:val="18"/>
          <w:szCs w:val="18"/>
          <w:color w:val="auto"/>
        </w:rPr>
        <w:t>. Subject to Section‎ 3.08 and 3‎.12 hereof, whenever notice is required to be given to any Director by applicable law, the Certificate of Incorporation or these By-laws, such notice shall be deemed given effectively if given in person or by telephone, mail or electronic mail addressed to such Director at such Director’s address or electronic mail address, as applicable, as it appears on the records of the Corporation, facsimile or by other means of electronic transmission.</w:t>
      </w:r>
    </w:p>
    <w:p>
      <w:pPr>
        <w:spacing w:after="0" w:line="75"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i w:val="1"/>
          <w:iCs w:val="1"/>
          <w:color w:val="auto"/>
        </w:rPr>
        <w:t>Waiver of Notice</w:t>
      </w:r>
      <w:r>
        <w:rPr>
          <w:rFonts w:ascii="Times New Roman" w:cs="Times New Roman" w:eastAsia="Times New Roman" w:hAnsi="Times New Roman"/>
          <w:sz w:val="18"/>
          <w:szCs w:val="18"/>
          <w:color w:val="auto"/>
        </w:rPr>
        <w:t>. Whenever the giving of any notice to Directors is required by applicable law, the Certificate of Incorporation or these By-laws, a waiver thereof, in writing signed by the Director entitled to the notice, whether before or after such notice is required, shall be deemed equivalent to notice. Attendance by a Director at a meeting shall constitute a waiver of notice of such meeting except when the Director attends a meeting for the express purpose of objecting, at the beginning of the meeting, to the transaction of any business on the ground that the meeting was not lawfully called or convened. Neither the business to be transacted at, nor the purpose of, any regular or special Board or committee meeting need be specified in any waiver of notice.</w:t>
      </w:r>
    </w:p>
    <w:p>
      <w:pPr>
        <w:spacing w:after="0" w:line="75"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At each meeting of the Board, the Chairman or, in the absence of the Chairman, the Chief Executive Officer or, in the absence of the Chief Executive Officer, another Director selected by the Board, shall preside. The Secretary shall act as secretary at each meeting of the Board. If the Secretary is absent from any meeting of the Board, an Assistant Secretary shall perform the duties of secretary at such meeting; and in the absence from any such meeting of the Secretary and all Assistant Secretaries, the person presiding at the meeting may appoint any person to act as secretary of the meeting.</w:t>
      </w:r>
    </w:p>
    <w:p>
      <w:pPr>
        <w:spacing w:after="0" w:line="74" w:lineRule="exact"/>
        <w:rPr>
          <w:sz w:val="20"/>
          <w:szCs w:val="20"/>
          <w:color w:val="auto"/>
        </w:rPr>
      </w:pPr>
    </w:p>
    <w:p>
      <w:pPr>
        <w:ind w:left="300" w:right="439" w:firstLine="360"/>
        <w:spacing w:after="0" w:line="315" w:lineRule="auto"/>
        <w:rPr>
          <w:sz w:val="20"/>
          <w:szCs w:val="20"/>
          <w:color w:val="auto"/>
        </w:rPr>
      </w:pPr>
      <w:r>
        <w:rPr>
          <w:rFonts w:ascii="Times New Roman" w:cs="Times New Roman" w:eastAsia="Times New Roman" w:hAnsi="Times New Roman"/>
          <w:sz w:val="17"/>
          <w:szCs w:val="17"/>
          <w:color w:val="auto"/>
        </w:rPr>
        <w:t xml:space="preserve">Section 3.14.  </w:t>
      </w:r>
      <w:r>
        <w:rPr>
          <w:rFonts w:ascii="Times New Roman" w:cs="Times New Roman" w:eastAsia="Times New Roman" w:hAnsi="Times New Roman"/>
          <w:sz w:val="17"/>
          <w:szCs w:val="17"/>
          <w:i w:val="1"/>
          <w:iCs w:val="1"/>
          <w:color w:val="auto"/>
        </w:rPr>
        <w:t>Quorum of Directors</w:t>
      </w:r>
      <w:r>
        <w:rPr>
          <w:rFonts w:ascii="Times New Roman" w:cs="Times New Roman" w:eastAsia="Times New Roman" w:hAnsi="Times New Roman"/>
          <w:sz w:val="17"/>
          <w:szCs w:val="17"/>
          <w:color w:val="auto"/>
        </w:rPr>
        <w:t>. The presence in person of a majority of the total members of the Board shall be necessary and sufficient to constitute a quorum for the transaction of business at any meeting of the Board.</w:t>
      </w:r>
    </w:p>
    <w:p>
      <w:pPr>
        <w:spacing w:after="0" w:line="27"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i w:val="1"/>
          <w:iCs w:val="1"/>
          <w:color w:val="auto"/>
        </w:rPr>
        <w:t>Action by Majority Vote</w:t>
      </w:r>
      <w:r>
        <w:rPr>
          <w:rFonts w:ascii="Times New Roman" w:cs="Times New Roman" w:eastAsia="Times New Roman" w:hAnsi="Times New Roman"/>
          <w:sz w:val="18"/>
          <w:szCs w:val="18"/>
          <w:color w:val="auto"/>
        </w:rPr>
        <w:t>. Except as otherwise expressly required by these By-laws, or the Certificate of Incorporation, the vote of a majority of the Directors present at a meeting at which a quorum is present shall be the act of the Board.</w:t>
      </w:r>
    </w:p>
    <w:p>
      <w:pPr>
        <w:spacing w:after="0" w:line="65"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i w:val="1"/>
          <w:iCs w:val="1"/>
          <w:color w:val="auto"/>
        </w:rPr>
        <w:t>Action Without Meeting</w:t>
      </w:r>
      <w:r>
        <w:rPr>
          <w:rFonts w:ascii="Times New Roman" w:cs="Times New Roman" w:eastAsia="Times New Roman" w:hAnsi="Times New Roman"/>
          <w:sz w:val="18"/>
          <w:szCs w:val="18"/>
          <w:color w:val="auto"/>
        </w:rPr>
        <w:t>. Unless otherwise restricted by these By-laws, any action required or permitted to be taken at any meeting of the Board or of any committee thereof may be taken without a meeting if all Directors or members of such committee, as the case may be, unanimously consent thereto in writing or by electronic transmission. After such action is taken, the consent or consents shall be filed with the minutes of proceedings of the Board or committee.</w:t>
      </w:r>
    </w:p>
    <w:p>
      <w:pPr>
        <w:spacing w:after="0" w:line="75" w:lineRule="exact"/>
        <w:rPr>
          <w:sz w:val="20"/>
          <w:szCs w:val="20"/>
          <w:color w:val="auto"/>
        </w:rPr>
      </w:pPr>
    </w:p>
    <w:p>
      <w:pPr>
        <w:ind w:left="300" w:right="33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i w:val="1"/>
          <w:iCs w:val="1"/>
          <w:color w:val="auto"/>
        </w:rPr>
        <w:t>Chairman</w:t>
      </w:r>
      <w:r>
        <w:rPr>
          <w:rFonts w:ascii="Times New Roman" w:cs="Times New Roman" w:eastAsia="Times New Roman" w:hAnsi="Times New Roman"/>
          <w:sz w:val="18"/>
          <w:szCs w:val="18"/>
          <w:color w:val="auto"/>
        </w:rPr>
        <w:t>. The Chairman, if appointed and when present, shall preside at all meetings of the Stockholders and the Board. The Chairman shall perform other duties commonly incident to the office and shall also perform such other duties and have such other powers, as the Board shall designate from time to time.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ommittees of the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oard</w:t>
      </w:r>
    </w:p>
    <w:p>
      <w:pPr>
        <w:spacing w:after="0" w:line="9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Board may, by resolution, designate one or more committees, including, without limitation, an Audit Committee, a Compensation Committee, and a Nominating and Corporate Governance Committee, and each committee shall consist of one or more of the Directors of the Corporation. The Board may, by resolution, adopt charters for one or more of such committees. The Board may designate one or more Directors as alternate members of any committee, who may replace any absent or disqualified member at any meeting of such committee. If a member of a committee shall be absent from any meeting, or disqualified from voting thereat, the remaining member or members present at the meeting and not disqualified from voting, whether or not such member or members constitute a quorum, may, by a unanimous vote, appoint another member of the Board to act at the meeting in the place of any such absent or disqualified member. Any such committee, to the extent permitted by applicable law, and to the extent provided in the resolution of the Board designating such committee or the charter for such committee, shall have and may exercise all the powers and authority of the Board in the management of the business and affairs of the Corporation and may authorize the seal of the Corporation to be affixed to all papers that may require it to the extent so authorized by the Board. The Board may remove any Director from any committee at any time, with or without cause. Unless the Board provides otherwise, at all meetings of such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Unless the Board provides otherwise, each committee designated by the Board may make, alter and repeal rules and procedures for the conduct of its business. In the absence of such rules and procedures, each committee shall conduct its business in the same manner as the Board conducts its business pursuant to ‎Article 3.</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fficers</w:t>
      </w:r>
    </w:p>
    <w:p>
      <w:pPr>
        <w:spacing w:after="0" w:line="97"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Positions; Election</w:t>
      </w:r>
      <w:r>
        <w:rPr>
          <w:rFonts w:ascii="Times New Roman" w:cs="Times New Roman" w:eastAsia="Times New Roman" w:hAnsi="Times New Roman"/>
          <w:sz w:val="18"/>
          <w:szCs w:val="18"/>
          <w:color w:val="auto"/>
        </w:rPr>
        <w:t>. The Board may from time to time elect officers of the Corporation, which may include a Chief Executive Officer, President, Chief Financial Officer, Vice Presidents, Secretary, Treasurer and any other officers as it may deem proper or may delegate to any elected officer of the Corporation the power to appoint and remove any such officers and to prescribe their respective terms of office, authorities and duties. Any number of offices may be held by the same person. Should the Corporation or any of its subsidiaries enter into any management services or similar agreement with another entity (each as may be amended, supplemented, restated or replaced from time to time), the officers of the Corporation may be the officers or employees of such entity to the extent permitted by applicable law.</w:t>
      </w:r>
    </w:p>
    <w:p>
      <w:pPr>
        <w:spacing w:after="0" w:line="77"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Term of Office</w:t>
      </w:r>
      <w:r>
        <w:rPr>
          <w:rFonts w:ascii="Times New Roman" w:cs="Times New Roman" w:eastAsia="Times New Roman" w:hAnsi="Times New Roman"/>
          <w:sz w:val="18"/>
          <w:szCs w:val="18"/>
          <w:color w:val="auto"/>
        </w:rPr>
        <w:t>. Each officer of the Corporation shall hold office for such terms as may be determined by the Board or, except with respect to his or her own office, the Chief Executive Officer, or until such officer’s successor is elected and qualified or until such officer’s earlier death, resignation or removal. Any officer may resign at any time upon written notice to the Corporation. Such resignation shall take effect at the date of receipt of such notice or at such later time as is therein specified, and, unless otherwise specified, the acceptance of such resignation shall not be necessary to make it effective. The resignation of an officer shall be without prejudice to the contract rights of the Corporation, if any. Any officer may be removed at any time with or without cause by the Board or, in the case of appointed officers, by any elected officer upon whom such power of removal shall have been conferred by the Board. Any vacancy occurring in any office of the Corporation may be filled by the Board or, in the case of appointed officers, by any elected officer upon whom such power of appointment shall have been conferred by the Board. The election or appointment of an officer shall not of itself create contract rights.</w:t>
      </w:r>
    </w:p>
    <w:p>
      <w:pPr>
        <w:spacing w:after="0" w:line="84" w:lineRule="exact"/>
        <w:rPr>
          <w:sz w:val="20"/>
          <w:szCs w:val="20"/>
          <w:color w:val="auto"/>
        </w:rPr>
      </w:pPr>
    </w:p>
    <w:p>
      <w:pPr>
        <w:ind w:left="300" w:right="479" w:firstLine="360"/>
        <w:spacing w:after="0" w:line="257"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Chief Executive Officer</w:t>
      </w:r>
      <w:r>
        <w:rPr>
          <w:rFonts w:ascii="Times New Roman" w:cs="Times New Roman" w:eastAsia="Times New Roman" w:hAnsi="Times New Roman"/>
          <w:sz w:val="18"/>
          <w:szCs w:val="18"/>
          <w:color w:val="auto"/>
        </w:rPr>
        <w:t>. The Chief Executive Officer shall have general supervision over, and direction of, the business and affairs of the Corporation, subject, however, to the control of the Board and of any duly authorized committee of the Board. The Chief Executive Officer shall preside at all meetings of the Stockholders and at all meetings of the Board at which the Chairman is not present. The Chief Executive Officer may sign and execute in the name of the Corporation deeds, mortgages, bonds, contracts and other instruments, except in cases in which the signing and execution thereof shall be expressly delegated by resolution of the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Board or by these By-laws to some other officer or agent of the Corporation, or shall be required by applicable law otherwise to be signed or executed and, in general, the Chief Executive Officer shall perform all duties incident to the office of Chief Executive Officer of a corporation and such other duties as may be determined from time to time by the Board.</w:t>
      </w:r>
    </w:p>
    <w:p>
      <w:pPr>
        <w:spacing w:after="0" w:line="70"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President</w:t>
      </w:r>
      <w:r>
        <w:rPr>
          <w:rFonts w:ascii="Times New Roman" w:cs="Times New Roman" w:eastAsia="Times New Roman" w:hAnsi="Times New Roman"/>
          <w:sz w:val="18"/>
          <w:szCs w:val="18"/>
          <w:color w:val="auto"/>
        </w:rPr>
        <w:t>. The President shall have duties incident to the office of President, and any other duties as may from time to time be assigned to the President by the Chief Executive Officer (if the President and Chief Executive Officer are not the same person) or the Board and subject to the control of the Chief Executive Officer (if the President and Chief Executive Officer are not the same person) and the Board in each case. The President shall preside at all meetings of the Stockholders at which the Chairman, and the Chief Executive Officer are not present. The President may sign and execute in the name of the Corporation deeds, mortgages, bonds, contracts and other instruments, except in cases in which the signing and execution thereof shall be expressly delegated by the Board or by these By-laws to some other officer or agent of the Corporation, or shall be required by applicable law otherwise to be signed or executed.</w:t>
      </w:r>
    </w:p>
    <w:p>
      <w:pPr>
        <w:spacing w:after="0" w:line="80"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Vice Presidents</w:t>
      </w:r>
      <w:r>
        <w:rPr>
          <w:rFonts w:ascii="Times New Roman" w:cs="Times New Roman" w:eastAsia="Times New Roman" w:hAnsi="Times New Roman"/>
          <w:sz w:val="18"/>
          <w:szCs w:val="18"/>
          <w:color w:val="auto"/>
        </w:rPr>
        <w:t>. Vice Presidents shall have the duties incident to the office of Vice President and any other duties that may from time to time be assigned to the Vice President by the Chief Executive Officer, the President or the Board. A Vice President shall preside at all meetings of the Stockholders at which the Chairman, the Chief Executive Officer and the President are not present. Any Vice President may sign and execute in the name of the Corporation deeds, mortgages, bonds, contracts or other instruments, except in cases in which the signing and execution thereof shall be expressly delegated by the Board or by these By-laws to some other officer or agent of the Corporation, or shall be required by applicable law otherwise to be signed or executed.</w:t>
      </w:r>
    </w:p>
    <w:p>
      <w:pPr>
        <w:spacing w:after="0" w:line="75"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Chief Financial Officer</w:t>
      </w:r>
      <w:r>
        <w:rPr>
          <w:rFonts w:ascii="Times New Roman" w:cs="Times New Roman" w:eastAsia="Times New Roman" w:hAnsi="Times New Roman"/>
          <w:sz w:val="18"/>
          <w:szCs w:val="18"/>
          <w:color w:val="auto"/>
        </w:rPr>
        <w:t>. The Chief Financial Officer shall keep or cause to be kept the books of account of the Corporation in a thorough and proper manner and shall render statements of the financial affairs of the Corporation in such form and as often as required by the Board or the Chief Executive Officer, or if no Chief Executive officer is then serving, the President. The Chief Financial Officer, subject to the order of the Board, shall have the custody of all funds and securities of the Corporation. The Chief Financial Officer shall perform other duties commonly incident to the office and shall also perform such other duties and have such other powers as the Board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or the Chief Executive Officer, or if no Chief Executive Officer is then serving, the President shall designate from time to time.</w:t>
      </w:r>
    </w:p>
    <w:p>
      <w:pPr>
        <w:spacing w:after="0" w:line="88"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color w:val="auto"/>
        </w:rPr>
        <w:t>Secretary</w:t>
      </w:r>
      <w:r>
        <w:rPr>
          <w:rFonts w:ascii="Times New Roman" w:cs="Times New Roman" w:eastAsia="Times New Roman" w:hAnsi="Times New Roman"/>
          <w:sz w:val="18"/>
          <w:szCs w:val="18"/>
          <w:color w:val="auto"/>
        </w:rPr>
        <w:t>. The Secretary shall attend all meetings of the Board and of the Stockholders, record all the proceedings of the meetings of the Board and of the Stockholders in a book to be kept for that purpose and perform like duties for committees of the Board, when required. The Secretary shall give, or cause to be given, notice of all special meetings of the Board and of the Stockholders and perform such other duties as may be prescribed by the Board, the Chief Executive Officer or the President. The Secretary shall have custody of the corporate seal of the Corporation and the Secretary or an Assistant Secretary shall have authority to affix the same on any instrument that may require it, and when so affixed, the seal may be attested by the signature of the Secretary or by the signature of such Assistant Secretary. The Board may give general authority to any other officer to affix the seal of the Corporation and to attest the same by such officer’s signature. The Secretary or an Assistant Secretary may also attest all instruments signed by the Executive Chairman, Chief Executive Officer, President or any Vice President. The Secretary shall have charge of all the books, records and papers of the Corporation relating to its organization and management, see that the reports, statements and other documents required by applicable law are properly kept and filed and, in general, perform all duties incident to the office of secretary of a corporation and such other duties as may from time to time be assigned to the Secretary by the Board, the Chief Executive Officer or the President.</w:t>
      </w:r>
    </w:p>
    <w:p>
      <w:pPr>
        <w:spacing w:after="0" w:line="88" w:lineRule="exact"/>
        <w:rPr>
          <w:sz w:val="20"/>
          <w:szCs w:val="20"/>
          <w:color w:val="auto"/>
        </w:rPr>
      </w:pPr>
    </w:p>
    <w:p>
      <w:pPr>
        <w:ind w:left="300" w:right="619" w:firstLine="360"/>
        <w:spacing w:after="0" w:line="315" w:lineRule="auto"/>
        <w:rPr>
          <w:sz w:val="20"/>
          <w:szCs w:val="20"/>
          <w:color w:val="auto"/>
        </w:rPr>
      </w:pPr>
      <w:r>
        <w:rPr>
          <w:rFonts w:ascii="Times New Roman" w:cs="Times New Roman" w:eastAsia="Times New Roman" w:hAnsi="Times New Roman"/>
          <w:sz w:val="17"/>
          <w:szCs w:val="17"/>
          <w:color w:val="auto"/>
        </w:rPr>
        <w:t xml:space="preserve">Section 5.08.  </w:t>
      </w:r>
      <w:r>
        <w:rPr>
          <w:rFonts w:ascii="Times New Roman" w:cs="Times New Roman" w:eastAsia="Times New Roman" w:hAnsi="Times New Roman"/>
          <w:sz w:val="17"/>
          <w:szCs w:val="17"/>
          <w:i w:val="1"/>
          <w:iCs w:val="1"/>
          <w:color w:val="auto"/>
        </w:rPr>
        <w:t>Treasurer</w:t>
      </w:r>
      <w:r>
        <w:rPr>
          <w:rFonts w:ascii="Times New Roman" w:cs="Times New Roman" w:eastAsia="Times New Roman" w:hAnsi="Times New Roman"/>
          <w:sz w:val="17"/>
          <w:szCs w:val="17"/>
          <w:color w:val="auto"/>
        </w:rPr>
        <w:t>. The Treasurer shall have charge and custody of, and be responsible for, all funds, securities and notes of the Corporation, receive and give receipts for moneys due and payable to the Corporation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from any sources whatsoever; deposit all such moneys and valuable effects in the name and to the credit of the Corporation in such depositaries as may be designated by the Board, against proper vouchers, cause such funds to be disbursed by checks or drafts on the authorized depositaries of the Corporation signed in such manner as shall be determined by the Board and be responsible for the accuracy of the amounts of all moneys so disbursed, regularly enter or cause to be entered in books or other records maintained for the purpose full and adequate account of all moneys received or paid for the account of the Corporation, have the right to require from time to time reports or statements giving such information as the Treasurer may desire with respect to any and all financial transactions of the Corporation from the officers or agents transacting the same, render to the Chief Executive Officer, the President or the Board, whenever the Chief Executive Officer, the President or the Board shall require the Treasurer so to do, an account of the financial condition of the Corporation and of all financial transactions of the Corporation, disburse the funds of the Corporation as ordered by the Board and, in general, perform all duties incident to the office of Treasurer of a corporation and such other duties as may from time to time be assigned to the Treasurer by the Board, the Chief Executive Officer or the President.</w:t>
      </w:r>
    </w:p>
    <w:p>
      <w:pPr>
        <w:spacing w:after="0" w:line="77" w:lineRule="exact"/>
        <w:rPr>
          <w:sz w:val="20"/>
          <w:szCs w:val="20"/>
          <w:color w:val="auto"/>
        </w:rPr>
      </w:pPr>
    </w:p>
    <w:p>
      <w:pPr>
        <w:jc w:val="both"/>
        <w:ind w:left="300" w:right="53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i w:val="1"/>
          <w:iCs w:val="1"/>
          <w:color w:val="auto"/>
        </w:rPr>
        <w:t>Assistant Secretaries and Assistant Treasurers</w:t>
      </w:r>
      <w:r>
        <w:rPr>
          <w:rFonts w:ascii="Times New Roman" w:cs="Times New Roman" w:eastAsia="Times New Roman" w:hAnsi="Times New Roman"/>
          <w:sz w:val="18"/>
          <w:szCs w:val="18"/>
          <w:color w:val="auto"/>
        </w:rPr>
        <w:t>. Assistant Secretaries and Assistant Treasurers shall perform such duties as shall be assigned to them by the Secretary or by the Treasurer, respectively, or by the Board, the Chief Executive Officer or the President.</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eneral</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rovisions</w:t>
      </w:r>
    </w:p>
    <w:p>
      <w:pPr>
        <w:spacing w:after="0" w:line="97"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Certificates Representing Shares</w:t>
      </w:r>
      <w:r>
        <w:rPr>
          <w:rFonts w:ascii="Times New Roman" w:cs="Times New Roman" w:eastAsia="Times New Roman" w:hAnsi="Times New Roman"/>
          <w:sz w:val="18"/>
          <w:szCs w:val="18"/>
          <w:color w:val="auto"/>
        </w:rPr>
        <w:t>. The shares of stock of the Corporation may be represented by certificates or all of such shares shall be uncertificated shares that may be evidenced by a book-entry system maintained by the registrar of such stock, or a combination of both. If shares are represented by certificates (if any), such certificates shall be in the form approved by the Board. The certificates representing shares of stock of each class shall be signed by, or in the name of, the Corporation by any two authorized officers of the Corporation. Any or all such signatures may be facsimiles. Although any officer, transfer agent or registrar whose manual or facsimile signature is affixed to such a certificate ceases to be such officer, transfer agent or registrar before such certificate has been issued, it may nevertheless be issued by the Corporation with the same effect as if such officer, transfer agent or registrar were still such at the date of its issue.</w:t>
      </w:r>
    </w:p>
    <w:p>
      <w:pPr>
        <w:spacing w:after="0" w:line="80" w:lineRule="exact"/>
        <w:rPr>
          <w:sz w:val="20"/>
          <w:szCs w:val="20"/>
          <w:color w:val="auto"/>
        </w:rPr>
      </w:pPr>
    </w:p>
    <w:p>
      <w:pPr>
        <w:jc w:val="both"/>
        <w:ind w:left="300" w:right="59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Transfer and Registry Agents</w:t>
      </w:r>
      <w:r>
        <w:rPr>
          <w:rFonts w:ascii="Times New Roman" w:cs="Times New Roman" w:eastAsia="Times New Roman" w:hAnsi="Times New Roman"/>
          <w:sz w:val="18"/>
          <w:szCs w:val="18"/>
          <w:color w:val="auto"/>
        </w:rPr>
        <w:t>. The Corporation may from time to time maintain one or more transfer offices or agents and registry offices or agents at such place or places as may be determined from time to time by the Board.</w:t>
      </w:r>
    </w:p>
    <w:p>
      <w:pPr>
        <w:spacing w:after="0" w:line="6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Lost, Stolen or Destroyed Certificates</w:t>
      </w:r>
      <w:r>
        <w:rPr>
          <w:rFonts w:ascii="Times New Roman" w:cs="Times New Roman" w:eastAsia="Times New Roman" w:hAnsi="Times New Roman"/>
          <w:sz w:val="18"/>
          <w:szCs w:val="18"/>
          <w:color w:val="auto"/>
        </w:rPr>
        <w:t>.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75"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Form of Records</w:t>
      </w:r>
      <w:r>
        <w:rPr>
          <w:rFonts w:ascii="Times New Roman" w:cs="Times New Roman" w:eastAsia="Times New Roman" w:hAnsi="Times New Roman"/>
          <w:sz w:val="18"/>
          <w:szCs w:val="18"/>
          <w:color w:val="auto"/>
        </w:rPr>
        <w:t xml:space="preserve">. Any records maintained by the Corporation in the regular course of its business, including its stock ledger, books of account and minute books, may be maintained on any information storage device or method or 1 or more electronic networks or databases (including 1 or more distributed electronic networks or databases);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records so kept can be converted into clearly legible paper form within a reasonable time and, with respect to the stock ledger, in the manner required by the General Corporation Law. The Corporation shall so convert any records so kept upon the request of any person entitled to inspect such records pursuant to applicable law.</w:t>
      </w:r>
    </w:p>
    <w:p>
      <w:pPr>
        <w:spacing w:after="0" w:line="75" w:lineRule="exact"/>
        <w:rPr>
          <w:sz w:val="20"/>
          <w:szCs w:val="20"/>
          <w:color w:val="auto"/>
        </w:rPr>
      </w:pPr>
    </w:p>
    <w:p>
      <w:pPr>
        <w:jc w:val="both"/>
        <w:ind w:left="300" w:right="41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Seal</w:t>
      </w:r>
      <w:r>
        <w:rPr>
          <w:rFonts w:ascii="Times New Roman" w:cs="Times New Roman" w:eastAsia="Times New Roman" w:hAnsi="Times New Roman"/>
          <w:sz w:val="18"/>
          <w:szCs w:val="18"/>
          <w:color w:val="auto"/>
        </w:rPr>
        <w:t>. The corporate seal shall have the name of the Corporation inscribed thereon and shall be in such form as may be approved from time to time by the Board. The seal may be used by causing it or a facsimile thereof to be impressed or affixed or otherwise reproduced.</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Fiscal Year</w:t>
      </w:r>
      <w:r>
        <w:rPr>
          <w:rFonts w:ascii="Times New Roman" w:cs="Times New Roman" w:eastAsia="Times New Roman" w:hAnsi="Times New Roman"/>
          <w:sz w:val="18"/>
          <w:szCs w:val="18"/>
          <w:color w:val="auto"/>
        </w:rPr>
        <w:t>. The fiscal year of the Corporation shall be determined by the Board.</w:t>
      </w:r>
    </w:p>
    <w:p>
      <w:pPr>
        <w:spacing w:after="0" w:line="117" w:lineRule="exact"/>
        <w:rPr>
          <w:sz w:val="20"/>
          <w:szCs w:val="20"/>
          <w:color w:val="auto"/>
        </w:rPr>
      </w:pPr>
    </w:p>
    <w:p>
      <w:pPr>
        <w:ind w:left="300" w:right="799" w:firstLine="360"/>
        <w:spacing w:after="0" w:line="284"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These By-laws may be altered, amended or repealed in accordance with the Certificate of Incorporation and the General Corporation Law.</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Conflict with Applicable Law or Certificate of Incorporation</w:t>
      </w:r>
      <w:r>
        <w:rPr>
          <w:rFonts w:ascii="Times New Roman" w:cs="Times New Roman" w:eastAsia="Times New Roman" w:hAnsi="Times New Roman"/>
          <w:sz w:val="18"/>
          <w:szCs w:val="18"/>
          <w:color w:val="auto"/>
        </w:rPr>
        <w:t>. These By-laws are adopted subject to any applicable law and the Certificate of Incorporation. Whenever these By-laws may conflict with any applicable law or the Certificate of Incorporation, such conflict shall be resolved in favor of such law or the Certificate of Incorporation.</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ndemnification</w:t>
      </w:r>
    </w:p>
    <w:p>
      <w:pPr>
        <w:spacing w:after="0" w:line="97"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Directors and Officers</w:t>
      </w:r>
      <w:r>
        <w:rPr>
          <w:rFonts w:ascii="Times New Roman" w:cs="Times New Roman" w:eastAsia="Times New Roman" w:hAnsi="Times New Roman"/>
          <w:sz w:val="18"/>
          <w:szCs w:val="18"/>
          <w:color w:val="auto"/>
        </w:rPr>
        <w:t>. The Corporation shall indemnify its Directors and officers to the extent not prohibited by the General Corporation Law or any other applicable law; provided, however, that the Corporation shall not be required to indemnify any Director or officer in connection with any proceeding (or part thereof) initiated by such person unless (i) such indemnification is expressly required to be made by law, (ii) the proceeding was authorized by the Board, (iii) such indemnification is provided by the Corporation, in its sole discretion, pursuant to the powers vested in the Corporation under the General Corporation Law or any other applicable law or (iv) such indemnification is required to be made under Section 7.04.</w:t>
      </w:r>
    </w:p>
    <w:p>
      <w:pPr>
        <w:spacing w:after="0" w:line="75"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Employees and Other Agents</w:t>
      </w:r>
      <w:r>
        <w:rPr>
          <w:rFonts w:ascii="Times New Roman" w:cs="Times New Roman" w:eastAsia="Times New Roman" w:hAnsi="Times New Roman"/>
          <w:sz w:val="18"/>
          <w:szCs w:val="18"/>
          <w:color w:val="auto"/>
        </w:rPr>
        <w:t>. The Corporation shall have power to indemnify its employees and other agents as set forth in the General Corporation Law or any other applicable law. The Board shall have the power to delegate the determination of whether indemnification shall be given to any such person except officers to such officers or other persons as the Board shall determine, to the extent permitted by applicable law.</w:t>
      </w:r>
    </w:p>
    <w:p>
      <w:pPr>
        <w:spacing w:after="0" w:line="7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Corporation shall advance to any person who was or is a party or is threatened to be made a party to any threatened, pending or completed action, suit or proceeding, whether civil, criminal, administrative or investigative, by reason of the fact that he is or was a Director or officer, of the Corporation, or is or was serving at the request of the Corporation as a Director or officer of another Corporation, partnership, joint venture, trust or other enterprise, prior to the final disposition of the proceeding, promptly following request therefor, all expenses incurred by any Director or officer in connection with such proceeding provided, however, that if the General Corporation Law requires, an advancement of expenses incurred by a Director or officer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or otherwise.</w:t>
      </w:r>
    </w:p>
    <w:p>
      <w:pPr>
        <w:spacing w:after="0" w:line="8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foregoing, no advance shall be made by the Corporation to an officer of the Corporation in connection with any proceeding (or part thereof) initiated by such person unless (i) such advance is expressly required to be made by law, (ii) the proceeding was authorized by the Board, (iii) such advancement is provided by the Corporation, in its sole discretion, pursuant to the powers vested in the Corporation under the General Corporation Law or any other applicable law or (iv) such advance is required to be made under Section 7.04.</w:t>
      </w:r>
    </w:p>
    <w:p>
      <w:pPr>
        <w:spacing w:after="0" w:line="73" w:lineRule="exact"/>
        <w:rPr>
          <w:sz w:val="20"/>
          <w:szCs w:val="20"/>
          <w:color w:val="auto"/>
        </w:rPr>
      </w:pPr>
    </w:p>
    <w:p>
      <w:pPr>
        <w:ind w:left="300" w:right="379" w:firstLine="360"/>
        <w:spacing w:after="0" w:line="269" w:lineRule="auto"/>
        <w:rPr>
          <w:sz w:val="20"/>
          <w:szCs w:val="20"/>
          <w:color w:val="auto"/>
        </w:rPr>
      </w:pPr>
      <w:r>
        <w:rPr>
          <w:rFonts w:ascii="Times New Roman" w:cs="Times New Roman" w:eastAsia="Times New Roman" w:hAnsi="Times New Roman"/>
          <w:sz w:val="17"/>
          <w:szCs w:val="17"/>
          <w:color w:val="auto"/>
        </w:rPr>
        <w:t xml:space="preserve">Section 7.04.  </w:t>
      </w:r>
      <w:r>
        <w:rPr>
          <w:rFonts w:ascii="Times New Roman" w:cs="Times New Roman" w:eastAsia="Times New Roman" w:hAnsi="Times New Roman"/>
          <w:sz w:val="17"/>
          <w:szCs w:val="17"/>
          <w:i w:val="1"/>
          <w:iCs w:val="1"/>
          <w:color w:val="auto"/>
        </w:rPr>
        <w:t>Enforcement</w:t>
      </w:r>
      <w:r>
        <w:rPr>
          <w:rFonts w:ascii="Times New Roman" w:cs="Times New Roman" w:eastAsia="Times New Roman" w:hAnsi="Times New Roman"/>
          <w:sz w:val="17"/>
          <w:szCs w:val="17"/>
          <w:color w:val="auto"/>
        </w:rPr>
        <w:t>. Without the necessity of entering into an express contract, all rights to indemnification and advances to Directors and officers under this Bylaw shall be deemed to be contractual rights and be effective to the same extent and as if provided for in a contract between the Corporation and the Director or officer. Any right to indemnification or advances granted by this section to a Director or officer shall be enforceable by or on behalf of the person holding such right in any court of competent jurisdiction if (i) the claim for indemnification or advances is denied, in whole or in part, or (ii) no disposition of such claim is made within ninety</w:t>
      </w:r>
    </w:p>
    <w:p>
      <w:pPr>
        <w:spacing w:after="0" w:line="2" w:lineRule="exact"/>
        <w:rPr>
          <w:sz w:val="20"/>
          <w:szCs w:val="20"/>
          <w:color w:val="auto"/>
        </w:rPr>
      </w:pPr>
    </w:p>
    <w:p>
      <w:pPr>
        <w:ind w:left="300" w:right="399" w:hanging="8"/>
        <w:spacing w:after="0" w:line="251" w:lineRule="auto"/>
        <w:tabs>
          <w:tab w:leader="none" w:pos="64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General Corporation Law or any other applicable law for the Corporation to indemnify the claimant for the amount claimed. In connection with any claim by an officer of the Corporation (except in any action, suit or proceeding, whether civil, criminal, administrative or investigative, by reason of the fact that such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that such person acted without reasonable cause to believe that his or her conduct was lawful. Neither the failure of the Corporation (including its Board, independent legal counsel or its Stockholders) to have made a determination prior to the commencement of such action that indemnification of the claimant is proper in the circumstances because he has met the applicable standard of conduct set forth in the General Corporation Law or any other applicable law, nor an actual determination by the Corporation (including its Board, independent legal counsel or its Stockholders) that the claimant has not met such applicable standard of conduct, shall be a defense to the action or create a presumption that claimant has not met the applicable standard of conduct. In any suit brought by a Director or officer to enforce a right to indemnification or to an advancement of expenses hereunder, the burden of proving that the Director or officer is not entitled to be indemnified, or to such advancement of expenses, under this section or otherwise shall be on the Corporation.</w:t>
      </w:r>
    </w:p>
    <w:p>
      <w:pPr>
        <w:spacing w:after="0" w:line="84"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Non-Exclusivity of Rights</w:t>
      </w:r>
      <w:r>
        <w:rPr>
          <w:rFonts w:ascii="Times New Roman" w:cs="Times New Roman" w:eastAsia="Times New Roman" w:hAnsi="Times New Roman"/>
          <w:sz w:val="18"/>
          <w:szCs w:val="18"/>
          <w:color w:val="auto"/>
        </w:rPr>
        <w:t>. The rights conferred on any person by this Bylaw shall not be exclusive of any other right which such 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General Corporation Law, or by any other applicable law.</w:t>
      </w:r>
    </w:p>
    <w:p>
      <w:pPr>
        <w:spacing w:after="0" w:line="75" w:lineRule="exact"/>
        <w:rPr>
          <w:sz w:val="20"/>
          <w:szCs w:val="20"/>
          <w:color w:val="auto"/>
        </w:rPr>
      </w:pPr>
    </w:p>
    <w:p>
      <w:pPr>
        <w:ind w:left="300" w:right="53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Survival of Rights</w:t>
      </w:r>
      <w:r>
        <w:rPr>
          <w:rFonts w:ascii="Times New Roman" w:cs="Times New Roman" w:eastAsia="Times New Roman" w:hAnsi="Times New Roman"/>
          <w:sz w:val="18"/>
          <w:szCs w:val="18"/>
          <w:color w:val="auto"/>
        </w:rPr>
        <w:t>. The rights conferred on any person by this Bylaw shall continue as to a person who has ceased to be a Director, officer, employee or other agent and shall inure to the benefit of the heirs, executors and administrators of such a person.</w:t>
      </w:r>
    </w:p>
    <w:p>
      <w:pPr>
        <w:spacing w:after="0" w:line="65" w:lineRule="exact"/>
        <w:rPr>
          <w:sz w:val="20"/>
          <w:szCs w:val="20"/>
          <w:color w:val="auto"/>
        </w:rPr>
      </w:pPr>
    </w:p>
    <w:p>
      <w:pPr>
        <w:ind w:left="300" w:right="81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To the fullest extent permitted by the General Corporation Law or any other applicable law, the Corporation, upon approval by the Board, may purchase insurance on behalf of any person required or permitted to be indemnified pursuant to this section.</w:t>
      </w:r>
    </w:p>
    <w:p>
      <w:pPr>
        <w:spacing w:after="0" w:line="65" w:lineRule="exact"/>
        <w:rPr>
          <w:sz w:val="20"/>
          <w:szCs w:val="20"/>
          <w:color w:val="auto"/>
        </w:rPr>
      </w:pPr>
    </w:p>
    <w:p>
      <w:pPr>
        <w:jc w:val="both"/>
        <w:ind w:left="300" w:right="39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Any repeal or modification of this section shall only be prospective and shall not affect the rights under this Bylaw in effect at the time of the alleged occurrence of any action or omission to act that is the cause of any proceeding against any Director, officer, employee or other agent of the Corporation.</w:t>
      </w:r>
    </w:p>
    <w:p>
      <w:pPr>
        <w:spacing w:after="0" w:line="65"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Saving Clause</w:t>
      </w:r>
      <w:r>
        <w:rPr>
          <w:rFonts w:ascii="Times New Roman" w:cs="Times New Roman" w:eastAsia="Times New Roman" w:hAnsi="Times New Roman"/>
          <w:sz w:val="18"/>
          <w:szCs w:val="18"/>
          <w:color w:val="auto"/>
        </w:rPr>
        <w:t>. If this Bylaw or any portion hereof shall be invalidated on any ground by any court of competent jurisdiction, then the Corporation shall nevertheless indemnify each Director and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officer to the full extent under any other applicable law.</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For the purposes of this Article 7, the following definitions shall apply:</w:t>
      </w:r>
    </w:p>
    <w:p>
      <w:pPr>
        <w:spacing w:after="0" w:line="119" w:lineRule="exact"/>
        <w:rPr>
          <w:sz w:val="20"/>
          <w:szCs w:val="20"/>
          <w:color w:val="auto"/>
        </w:rPr>
      </w:pPr>
    </w:p>
    <w:p>
      <w:pPr>
        <w:ind w:left="660" w:right="959" w:firstLine="360"/>
        <w:spacing w:after="0" w:line="261" w:lineRule="auto"/>
        <w:rPr>
          <w:sz w:val="20"/>
          <w:szCs w:val="20"/>
          <w:color w:val="auto"/>
        </w:rPr>
      </w:pPr>
      <w:r>
        <w:rPr>
          <w:rFonts w:ascii="Times New Roman" w:cs="Times New Roman" w:eastAsia="Times New Roman" w:hAnsi="Times New Roman"/>
          <w:sz w:val="18"/>
          <w:szCs w:val="18"/>
          <w:color w:val="auto"/>
        </w:rPr>
        <w:t>(a)  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72" w:lineRule="exact"/>
        <w:rPr>
          <w:sz w:val="20"/>
          <w:szCs w:val="20"/>
          <w:color w:val="auto"/>
        </w:rPr>
      </w:pPr>
    </w:p>
    <w:p>
      <w:pPr>
        <w:ind w:left="660" w:right="339" w:firstLine="360"/>
        <w:spacing w:after="0" w:line="266" w:lineRule="auto"/>
        <w:rPr>
          <w:sz w:val="20"/>
          <w:szCs w:val="20"/>
          <w:color w:val="auto"/>
        </w:rPr>
      </w:pPr>
      <w:r>
        <w:rPr>
          <w:rFonts w:ascii="Times New Roman" w:cs="Times New Roman" w:eastAsia="Times New Roman" w:hAnsi="Times New Roman"/>
          <w:sz w:val="18"/>
          <w:szCs w:val="18"/>
          <w:color w:val="auto"/>
        </w:rPr>
        <w:t>(b)  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68" w:lineRule="exact"/>
        <w:rPr>
          <w:sz w:val="20"/>
          <w:szCs w:val="20"/>
          <w:color w:val="auto"/>
        </w:rPr>
      </w:pPr>
    </w:p>
    <w:p>
      <w:pPr>
        <w:ind w:left="660" w:right="359" w:firstLine="360"/>
        <w:spacing w:after="0" w:line="272" w:lineRule="auto"/>
        <w:rPr>
          <w:sz w:val="20"/>
          <w:szCs w:val="20"/>
          <w:color w:val="auto"/>
        </w:rPr>
      </w:pPr>
      <w:r>
        <w:rPr>
          <w:rFonts w:ascii="Times New Roman" w:cs="Times New Roman" w:eastAsia="Times New Roman" w:hAnsi="Times New Roman"/>
          <w:sz w:val="17"/>
          <w:szCs w:val="17"/>
          <w:color w:val="auto"/>
        </w:rPr>
        <w:t>(c)  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79" w:firstLine="360"/>
        <w:spacing w:after="0" w:line="261" w:lineRule="auto"/>
        <w:rPr>
          <w:sz w:val="20"/>
          <w:szCs w:val="20"/>
          <w:color w:val="auto"/>
        </w:rPr>
      </w:pPr>
      <w:r>
        <w:rPr>
          <w:rFonts w:ascii="Times New Roman" w:cs="Times New Roman" w:eastAsia="Times New Roman" w:hAnsi="Times New Roman"/>
          <w:sz w:val="18"/>
          <w:szCs w:val="18"/>
          <w:color w:val="auto"/>
        </w:rPr>
        <w:t>(d)  References to a “Director,” “ “officer,” “employee,” or “agent” of the Corporation shall include, without limitation, situations where such person is serving at the request of the Corporation as, respectively, a director, officer, employee, trustee or agent of another Corporation, partnership, joint venture, trust or other enterprise.</w:t>
      </w:r>
    </w:p>
    <w:p>
      <w:pPr>
        <w:spacing w:after="0" w:line="72"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(e)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CORPORATE DOMESTICATION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PROKIDNEY CORP.</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388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General Corporation Law of the State of Delaware</w:t>
      </w:r>
    </w:p>
    <w:p>
      <w:pPr>
        <w:spacing w:after="0" w:line="99" w:lineRule="exact"/>
        <w:rPr>
          <w:sz w:val="20"/>
          <w:szCs w:val="20"/>
          <w:color w:val="auto"/>
        </w:rPr>
      </w:pPr>
    </w:p>
    <w:p>
      <w:pPr>
        <w:ind w:left="300" w:right="859"/>
        <w:spacing w:after="0" w:line="282" w:lineRule="auto"/>
        <w:rPr>
          <w:sz w:val="20"/>
          <w:szCs w:val="20"/>
          <w:color w:val="auto"/>
        </w:rPr>
      </w:pPr>
      <w:r>
        <w:rPr>
          <w:rFonts w:ascii="Times New Roman" w:cs="Times New Roman" w:eastAsia="Times New Roman" w:hAnsi="Times New Roman"/>
          <w:sz w:val="18"/>
          <w:szCs w:val="18"/>
          <w:color w:val="auto"/>
        </w:rPr>
        <w:t>ProKidney Corp., presently a Cayman Islands exempted company limited by shares (the “Company”), DOES HEREBY CERTIFY:</w:t>
      </w:r>
    </w:p>
    <w:p>
      <w:pPr>
        <w:spacing w:after="0" w:line="54" w:lineRule="exact"/>
        <w:rPr>
          <w:sz w:val="20"/>
          <w:szCs w:val="20"/>
          <w:color w:val="auto"/>
        </w:rPr>
      </w:pPr>
    </w:p>
    <w:p>
      <w:pPr>
        <w:ind w:left="1000" w:hanging="348"/>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first incorporated on February 25, 2021 under the laws of the Cayman Islands.</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immediately prior to the filing of this Certificate of Corporate Domestication with the Secretary of State of the State of Delaware was “ProKidney Corp.”</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as set forth in the Certificate of Incorporation being filed with the Secretary of State of the State of Delaware in accordance with Section 388(b) of the General Corporation Law of the State of Delaware is “ProKidney Corp.”</w:t>
      </w:r>
    </w:p>
    <w:p>
      <w:pPr>
        <w:spacing w:after="0" w:line="67" w:lineRule="exact"/>
        <w:rPr>
          <w:rFonts w:ascii="Times New Roman" w:cs="Times New Roman" w:eastAsia="Times New Roman" w:hAnsi="Times New Roman"/>
          <w:sz w:val="18"/>
          <w:szCs w:val="18"/>
          <w:color w:val="auto"/>
        </w:rPr>
      </w:pPr>
    </w:p>
    <w:p>
      <w:pPr>
        <w:jc w:val="both"/>
        <w:ind w:left="1000" w:right="1279" w:hanging="348"/>
        <w:spacing w:after="0" w:line="266"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that constituted the seat, siege social, or principal place of business or central administration of the Company immediately prior to the filing of this Certificate of Corporate Domestication was the Cayman Islands.</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domestication has been approved in the manner provided for by the document, instrument, agreement or other writing, as the case may be, governing the internal affairs of the Company and the conduct of its business or by applicable non-Delaware law, as appropriate.</w:t>
      </w:r>
    </w:p>
    <w:p>
      <w:pPr>
        <w:spacing w:after="0" w:line="67"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provisions of the plan of domestication adopted by the Company have been approved in accordance with all applicable laws of the Cayman Islands and Section 388(l) of the General Corporation Law of the State of Delaware.</w:t>
      </w:r>
    </w:p>
    <w:p>
      <w:pPr>
        <w:spacing w:after="0" w:line="68"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Certificate to be executed by its duly authorized officer on this [•] day of [•], 2025.</w:t>
      </w:r>
    </w:p>
    <w:p>
      <w:pPr>
        <w:spacing w:after="0" w:line="20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PROKIDNEY CORP., a Cayman Islands exempted</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company limited by shares</w:t>
      </w:r>
    </w:p>
    <w:p>
      <w:pPr>
        <w:spacing w:after="0" w:line="27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23228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4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60" w:lineRule="exact"/>
        <w:rPr>
          <w:sz w:val="20"/>
          <w:szCs w:val="20"/>
          <w:color w:val="auto"/>
        </w:rPr>
      </w:pPr>
    </w:p>
    <w:p>
      <w:pPr>
        <w:ind w:left="300" w:right="2379" w:firstLine="2084"/>
        <w:spacing w:after="0" w:line="440" w:lineRule="auto"/>
        <w:rPr>
          <w:sz w:val="20"/>
          <w:szCs w:val="20"/>
          <w:color w:val="auto"/>
        </w:rPr>
      </w:pPr>
      <w:r>
        <w:rPr>
          <w:rFonts w:ascii="Times New Roman" w:cs="Times New Roman" w:eastAsia="Times New Roman" w:hAnsi="Times New Roman"/>
          <w:sz w:val="18"/>
          <w:szCs w:val="18"/>
          <w:b w:val="1"/>
          <w:bCs w:val="1"/>
          <w:color w:val="auto"/>
        </w:rPr>
        <w:t>INFORMATION NOT REQUIRED IN PROSPECTUS Item 20. Indemnification of directors and officers.</w:t>
      </w:r>
    </w:p>
    <w:p>
      <w:pPr>
        <w:spacing w:after="0" w:line="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Cayman Islands Companies Act does not limit the extent to which a company’s memorandum and articles of association may provide for indemnification of officers and directors. However, such provision may be held by the Cayman Islands courts to be unenforceable, to the extent it seeks to indemnify or exculpate a fiduciary in respect of their fraud, dishonesty or willful default, or for the consequences of committing a crime. ProKidney’s second amended and restated memorandum and articles of association provides for indemnification of officers and directors for losses, damages, costs and expenses incurred in their capacities as such, except through their own actual fraud, willful default or willful neglect.</w:t>
      </w:r>
    </w:p>
    <w:p>
      <w:pPr>
        <w:spacing w:after="0" w:line="8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Such limitation of liability and indemnification does not affect the availability of equitable remedies. In addition, ProKidney has been advised that, in the opinion of the SEC, indemnification for liabilities arising under the Securities Act, is against public policy as expressed in the Securities Act and is therefore unenforceable.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21.</w:t>
            </w:r>
          </w:p>
        </w:tc>
        <w:tc>
          <w:tcPr>
            <w:tcW w:w="75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tc>
        <w:tc>
          <w:tcPr>
            <w:tcW w:w="0" w:type="dxa"/>
            <w:vAlign w:val="bottom"/>
          </w:tcPr>
          <w:p>
            <w:pPr>
              <w:spacing w:after="0"/>
              <w:rPr>
                <w:sz w:val="1"/>
                <w:szCs w:val="1"/>
                <w:color w:val="auto"/>
              </w:rPr>
            </w:pPr>
          </w:p>
        </w:tc>
      </w:tr>
      <w:tr>
        <w:trPr>
          <w:trHeight w:val="367"/>
        </w:trPr>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4"/>
                <w:szCs w:val="24"/>
                <w:color w:val="auto"/>
              </w:rPr>
            </w:pPr>
          </w:p>
        </w:tc>
        <w:tc>
          <w:tcPr>
            <w:tcW w:w="7460" w:type="dxa"/>
            <w:vAlign w:val="bottom"/>
            <w:gridSpan w:val="5"/>
            <w:vMerge w:val="restart"/>
          </w:tcPr>
          <w:p>
            <w:pPr>
              <w:ind w:left="3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74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6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Second Amended and Restated Memorandum and Articles of Association (included as Annex A to the</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46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proxy statement/prospectus that forms a part of this Registration Statement).</w:t>
            </w: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6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Form of Certificate of Incorporation of ProKidney Delaware (included as Annex B to the proxy</w:t>
            </w:r>
          </w:p>
        </w:tc>
        <w:tc>
          <w:tcPr>
            <w:tcW w:w="0" w:type="dxa"/>
            <w:vAlign w:val="bottom"/>
          </w:tcPr>
          <w:p>
            <w:pPr>
              <w:spacing w:after="0"/>
              <w:rPr>
                <w:sz w:val="1"/>
                <w:szCs w:val="1"/>
                <w:color w:val="auto"/>
              </w:rPr>
            </w:pP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statement/prospectus that forms a part of this Registration Statement).</w:t>
            </w:r>
          </w:p>
        </w:tc>
        <w:tc>
          <w:tcPr>
            <w:tcW w:w="0" w:type="dxa"/>
            <w:vAlign w:val="bottom"/>
          </w:tcPr>
          <w:p>
            <w:pPr>
              <w:spacing w:after="0"/>
              <w:rPr>
                <w:sz w:val="1"/>
                <w:szCs w:val="1"/>
                <w:color w:val="auto"/>
              </w:rPr>
            </w:pPr>
          </w:p>
        </w:tc>
      </w:tr>
      <w:tr>
        <w:trPr>
          <w:trHeight w:val="230"/>
        </w:trPr>
        <w:tc>
          <w:tcPr>
            <w:tcW w:w="220" w:type="dxa"/>
            <w:vAlign w:val="bottom"/>
            <w:tcBorders>
              <w:bottom w:val="single" w:sz="8" w:color="0000EE"/>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3</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60" w:type="dxa"/>
            <w:vAlign w:val="bottom"/>
            <w:tcBorders>
              <w:bottom w:val="single" w:sz="8" w:color="CCEEFF"/>
            </w:tcBorders>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Form of Bylaws of ProKidney Delaware (included as Annex C to the proxy statement/prospectus).</w:t>
            </w: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6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Form of Certificate of Corporate Domestication of ProKidney Corp. to be filed with the Secretary of</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State of the State of Delaware (included as Annex D to the proxy statement/prospectus that forms a</w:t>
            </w: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part of this Registration Statement)</w:t>
            </w:r>
          </w:p>
        </w:tc>
        <w:tc>
          <w:tcPr>
            <w:tcW w:w="0" w:type="dxa"/>
            <w:vAlign w:val="bottom"/>
          </w:tcPr>
          <w:p>
            <w:pPr>
              <w:spacing w:after="0"/>
              <w:rPr>
                <w:sz w:val="1"/>
                <w:szCs w:val="1"/>
                <w:color w:val="auto"/>
              </w:rPr>
            </w:pPr>
          </w:p>
        </w:tc>
      </w:tr>
      <w:tr>
        <w:trPr>
          <w:trHeight w:val="230"/>
        </w:trPr>
        <w:tc>
          <w:tcPr>
            <w:tcW w:w="220" w:type="dxa"/>
            <w:vAlign w:val="bottom"/>
            <w:tcBorders>
              <w:bottom w:val="single" w:sz="8" w:color="0000EE"/>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60" w:type="dxa"/>
            <w:vAlign w:val="bottom"/>
            <w:tcBorders>
              <w:bottom w:val="single" w:sz="8" w:color="CCEEFF"/>
            </w:tcBorders>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Form of Stock Certificate for Class A Common Stock ProKidney Delaware</w:t>
            </w: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6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Form of Stock Certificate for Class B Common Stock for ProKidney Delaware</w:t>
            </w:r>
          </w:p>
        </w:tc>
        <w:tc>
          <w:tcPr>
            <w:tcW w:w="0" w:type="dxa"/>
            <w:vAlign w:val="bottom"/>
          </w:tcPr>
          <w:p>
            <w:pPr>
              <w:spacing w:after="0"/>
              <w:rPr>
                <w:sz w:val="1"/>
                <w:szCs w:val="1"/>
                <w:color w:val="auto"/>
              </w:rPr>
            </w:pP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tcBorders>
              <w:bottom w:val="single" w:sz="8" w:color="0000EE"/>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60" w:type="dxa"/>
            <w:vAlign w:val="bottom"/>
            <w:tcBorders>
              <w:bottom w:val="single" w:sz="8" w:color="CCEE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Opinion of Akin Gump Strauss Hauer &amp; Feld LLP as to the legality of the securities being registered</w:t>
            </w: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6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Opinion of Akin Gump Strauss Hauer &amp; Feld LLP as to certain tax matters of the securities being</w:t>
            </w:r>
          </w:p>
        </w:tc>
        <w:tc>
          <w:tcPr>
            <w:tcW w:w="0" w:type="dxa"/>
            <w:vAlign w:val="bottom"/>
          </w:tcPr>
          <w:p>
            <w:pPr>
              <w:spacing w:after="0"/>
              <w:rPr>
                <w:sz w:val="1"/>
                <w:szCs w:val="1"/>
                <w:color w:val="auto"/>
              </w:rPr>
            </w:pP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registered</w:t>
            </w:r>
          </w:p>
        </w:tc>
        <w:tc>
          <w:tcPr>
            <w:tcW w:w="0" w:type="dxa"/>
            <w:vAlign w:val="bottom"/>
          </w:tcPr>
          <w:p>
            <w:pPr>
              <w:spacing w:after="0"/>
              <w:rPr>
                <w:sz w:val="1"/>
                <w:szCs w:val="1"/>
                <w:color w:val="auto"/>
              </w:rPr>
            </w:pPr>
          </w:p>
        </w:tc>
      </w:tr>
      <w:tr>
        <w:trPr>
          <w:trHeight w:val="196"/>
        </w:trPr>
        <w:tc>
          <w:tcPr>
            <w:tcW w:w="86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p>
        </w:tc>
        <w:tc>
          <w:tcPr>
            <w:tcW w:w="100" w:type="dxa"/>
            <w:vAlign w:val="bottom"/>
            <w:shd w:val="clear" w:color="auto" w:fill="CCEEFF"/>
          </w:tcPr>
          <w:p>
            <w:pPr>
              <w:spacing w:after="0"/>
              <w:rPr>
                <w:sz w:val="17"/>
                <w:szCs w:val="17"/>
                <w:color w:val="auto"/>
              </w:rPr>
            </w:pPr>
          </w:p>
        </w:tc>
        <w:tc>
          <w:tcPr>
            <w:tcW w:w="746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Subsidiaries of ProKidney</w:t>
            </w:r>
          </w:p>
        </w:tc>
        <w:tc>
          <w:tcPr>
            <w:tcW w:w="0" w:type="dxa"/>
            <w:vAlign w:val="bottom"/>
          </w:tcPr>
          <w:p>
            <w:pPr>
              <w:spacing w:after="0"/>
              <w:rPr>
                <w:sz w:val="1"/>
                <w:szCs w:val="1"/>
                <w:color w:val="auto"/>
              </w:rPr>
            </w:pPr>
          </w:p>
        </w:tc>
      </w:tr>
      <w:tr>
        <w:trPr>
          <w:trHeight w:val="34"/>
        </w:trPr>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6"/>
                <w:szCs w:val="16"/>
                <w:color w:val="auto"/>
              </w:rPr>
            </w:pPr>
          </w:p>
        </w:tc>
        <w:tc>
          <w:tcPr>
            <w:tcW w:w="746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6"/>
                <w:szCs w:val="16"/>
                <w:color w:val="auto"/>
              </w:rPr>
            </w:pPr>
          </w:p>
        </w:tc>
        <w:tc>
          <w:tcPr>
            <w:tcW w:w="74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 xml:space="preserve">Consent of Akin Gump Strauss Hauer &amp; Feld LLP (contained in Exhibits </w:t>
            </w:r>
            <w:r>
              <w:rPr>
                <w:rFonts w:ascii="Times New Roman" w:cs="Times New Roman" w:eastAsia="Times New Roman" w:hAnsi="Times New Roman"/>
                <w:sz w:val="18"/>
                <w:szCs w:val="18"/>
                <w:color w:val="0000EE"/>
              </w:rPr>
              <w:t>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EE"/>
              </w:rPr>
              <w:t>8.1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
        </w:trPr>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6"/>
                <w:szCs w:val="16"/>
                <w:color w:val="auto"/>
              </w:rPr>
            </w:pPr>
          </w:p>
        </w:tc>
        <w:tc>
          <w:tcPr>
            <w:tcW w:w="746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Power of Attorney (included on signature page to this Registration Statement)</w:t>
            </w:r>
          </w:p>
        </w:tc>
        <w:tc>
          <w:tcPr>
            <w:tcW w:w="0" w:type="dxa"/>
            <w:vAlign w:val="bottom"/>
          </w:tcPr>
          <w:p>
            <w:pPr>
              <w:spacing w:after="0"/>
              <w:rPr>
                <w:sz w:val="1"/>
                <w:szCs w:val="1"/>
                <w:color w:val="auto"/>
              </w:rPr>
            </w:pP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shd w:val="clear" w:color="auto" w:fill="CCEEFF"/>
          </w:tcPr>
          <w:p>
            <w:pPr>
              <w:spacing w:after="0"/>
              <w:rPr>
                <w:sz w:val="16"/>
                <w:szCs w:val="16"/>
                <w:color w:val="auto"/>
              </w:rPr>
            </w:pPr>
          </w:p>
        </w:tc>
        <w:tc>
          <w:tcPr>
            <w:tcW w:w="74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Form of Proxy</w:t>
            </w:r>
          </w:p>
        </w:tc>
        <w:tc>
          <w:tcPr>
            <w:tcW w:w="0" w:type="dxa"/>
            <w:vAlign w:val="bottom"/>
          </w:tcPr>
          <w:p>
            <w:pPr>
              <w:spacing w:after="0"/>
              <w:rPr>
                <w:sz w:val="1"/>
                <w:szCs w:val="1"/>
                <w:color w:val="auto"/>
              </w:rPr>
            </w:pPr>
          </w:p>
        </w:tc>
      </w:tr>
      <w:tr>
        <w:trPr>
          <w:trHeight w:val="34"/>
        </w:trPr>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260" w:hanging="968"/>
        <w:spacing w:after="0"/>
        <w:tabs>
          <w:tab w:leader="none" w:pos="1260" w:val="left"/>
        </w:tabs>
        <w:numPr>
          <w:ilvl w:val="0"/>
          <w:numId w:val="11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22.</w:t>
        <w:tab/>
        <w:t>Undertakings.</w:t>
      </w:r>
    </w:p>
    <w:p>
      <w:pPr>
        <w:spacing w:after="0" w:line="121" w:lineRule="exact"/>
        <w:rPr>
          <w:sz w:val="20"/>
          <w:szCs w:val="20"/>
          <w:color w:val="auto"/>
        </w:rPr>
      </w:pPr>
    </w:p>
    <w:p>
      <w:pPr>
        <w:ind w:left="640" w:hanging="348"/>
        <w:spacing w:after="0"/>
        <w:tabs>
          <w:tab w:leader="none" w:pos="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ind w:left="1360" w:right="359" w:hanging="348"/>
        <w:spacing w:after="0" w:line="254" w:lineRule="auto"/>
        <w:tabs>
          <w:tab w:leader="none" w:pos="1360"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1360" w:right="479" w:hanging="348"/>
        <w:spacing w:after="0" w:line="266" w:lineRule="auto"/>
        <w:tabs>
          <w:tab w:leader="none" w:pos="1360"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 and</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000" w:right="599" w:hanging="348"/>
        <w:spacing w:after="0" w:line="257" w:lineRule="auto"/>
        <w:tabs>
          <w:tab w:leader="none" w:pos="10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w:t>
      </w:r>
    </w:p>
    <w:p>
      <w:pPr>
        <w:spacing w:after="0" w:line="1" w:lineRule="exact"/>
        <w:rPr>
          <w:rFonts w:ascii="Times New Roman" w:cs="Times New Roman" w:eastAsia="Times New Roman" w:hAnsi="Times New Roman"/>
          <w:sz w:val="18"/>
          <w:szCs w:val="18"/>
          <w:color w:val="auto"/>
        </w:rPr>
      </w:pPr>
    </w:p>
    <w:p>
      <w:pPr>
        <w:ind w:left="1000" w:right="37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0"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rFonts w:ascii="Times New Roman" w:cs="Times New Roman" w:eastAsia="Times New Roman" w:hAnsi="Times New Roman"/>
          <w:sz w:val="18"/>
          <w:szCs w:val="18"/>
          <w:color w:val="auto"/>
        </w:rPr>
      </w:pPr>
    </w:p>
    <w:p>
      <w:pPr>
        <w:ind w:left="1360" w:right="859" w:hanging="348"/>
        <w:spacing w:after="0" w:line="282" w:lineRule="auto"/>
        <w:tabs>
          <w:tab w:leader="none" w:pos="1360"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360" w:right="779" w:hanging="348"/>
        <w:spacing w:after="0" w:line="282" w:lineRule="auto"/>
        <w:tabs>
          <w:tab w:leader="none" w:pos="1360"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360" w:right="1039" w:hanging="348"/>
        <w:spacing w:after="0" w:line="266" w:lineRule="auto"/>
        <w:tabs>
          <w:tab w:leader="none" w:pos="1360"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360" w:right="579" w:hanging="348"/>
        <w:spacing w:after="0" w:line="282" w:lineRule="auto"/>
        <w:tabs>
          <w:tab w:leader="none" w:pos="1360"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40" w:right="399" w:hanging="348"/>
        <w:spacing w:after="0" w:line="253" w:lineRule="auto"/>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them is against public policy as expressed in the Securities Act of 1933 and will be governed by the final adjudication of such issue.</w:t>
      </w:r>
    </w:p>
    <w:p>
      <w:pPr>
        <w:spacing w:after="0" w:line="83" w:lineRule="exact"/>
        <w:rPr>
          <w:rFonts w:ascii="Times New Roman" w:cs="Times New Roman" w:eastAsia="Times New Roman" w:hAnsi="Times New Roman"/>
          <w:sz w:val="18"/>
          <w:szCs w:val="18"/>
          <w:color w:val="auto"/>
        </w:rPr>
      </w:pPr>
    </w:p>
    <w:p>
      <w:pPr>
        <w:ind w:left="640" w:right="379" w:hanging="348"/>
        <w:spacing w:after="0" w:line="256" w:lineRule="auto"/>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79" w:lineRule="exact"/>
        <w:rPr>
          <w:rFonts w:ascii="Times New Roman" w:cs="Times New Roman" w:eastAsia="Times New Roman" w:hAnsi="Times New Roman"/>
          <w:sz w:val="18"/>
          <w:szCs w:val="18"/>
          <w:color w:val="auto"/>
        </w:rPr>
      </w:pPr>
    </w:p>
    <w:p>
      <w:pPr>
        <w:ind w:left="640" w:right="339" w:hanging="348"/>
        <w:spacing w:after="0" w:line="255" w:lineRule="auto"/>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undertakes that every prospectus: (1) that is filed pursuant to the immediately preceding paragraph, or (2)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Times New Roman" w:cs="Times New Roman" w:eastAsia="Times New Roman" w:hAnsi="Times New Roman"/>
          <w:sz w:val="18"/>
          <w:szCs w:val="18"/>
          <w:color w:val="auto"/>
        </w:rPr>
      </w:pPr>
    </w:p>
    <w:p>
      <w:pPr>
        <w:ind w:left="640" w:right="539" w:hanging="348"/>
        <w:spacing w:after="0" w:line="258" w:lineRule="auto"/>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 4, 10(b), 11 or 13 of this Form S-4,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w:t>
      </w:r>
    </w:p>
    <w:p>
      <w:pPr>
        <w:spacing w:after="0" w:line="75" w:lineRule="exact"/>
        <w:rPr>
          <w:rFonts w:ascii="Times New Roman" w:cs="Times New Roman" w:eastAsia="Times New Roman" w:hAnsi="Times New Roman"/>
          <w:sz w:val="18"/>
          <w:szCs w:val="18"/>
          <w:color w:val="auto"/>
        </w:rPr>
      </w:pPr>
    </w:p>
    <w:p>
      <w:pPr>
        <w:ind w:left="640" w:right="459" w:hanging="348"/>
        <w:spacing w:after="0" w:line="266" w:lineRule="auto"/>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this transaction that was not the subject of and included in this Registration Statement when it became effective.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300" w:right="719" w:firstLine="3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Winston-Salem, State of North Carolina, on the 31st day of March, 2025.</w:t>
      </w:r>
    </w:p>
    <w:p>
      <w:pPr>
        <w:spacing w:after="0" w:line="21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229" w:lineRule="exact"/>
        <w:rPr>
          <w:sz w:val="20"/>
          <w:szCs w:val="20"/>
          <w:color w:val="auto"/>
        </w:rPr>
      </w:pPr>
    </w:p>
    <w:p>
      <w:pPr>
        <w:ind w:left="300"/>
        <w:spacing w:after="0"/>
        <w:tabs>
          <w:tab w:leader="none" w:pos="4340" w:val="left"/>
          <w:tab w:leader="none" w:pos="4820" w:val="left"/>
        </w:tabs>
        <w:rPr>
          <w:sz w:val="20"/>
          <w:szCs w:val="20"/>
          <w:color w:val="auto"/>
        </w:rPr>
      </w:pPr>
      <w:r>
        <w:rPr>
          <w:rFonts w:ascii="Times New Roman" w:cs="Times New Roman" w:eastAsia="Times New Roman" w:hAnsi="Times New Roman"/>
          <w:sz w:val="18"/>
          <w:szCs w:val="18"/>
          <w:color w:val="auto"/>
        </w:rPr>
        <w:t>Date: March 31, 2025</w:t>
      </w:r>
      <w:r>
        <w:rPr>
          <w:sz w:val="20"/>
          <w:szCs w:val="20"/>
          <w:color w:val="auto"/>
        </w:rPr>
        <w:tab/>
      </w:r>
      <w:r>
        <w:rPr>
          <w:rFonts w:ascii="Times New Roman" w:cs="Times New Roman" w:eastAsia="Times New Roman" w:hAnsi="Times New Roman"/>
          <w:sz w:val="18"/>
          <w:szCs w:val="18"/>
          <w:color w:val="auto"/>
        </w:rPr>
        <w:t>By:</w:t>
        <w:tab/>
        <w:t>/s/ Bruce Culleton,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24606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2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Bruce Culleton, M.D.</w:t>
      </w:r>
    </w:p>
    <w:p>
      <w:pPr>
        <w:spacing w:after="0" w:line="3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We, the undersigned officers and directors of ProKidney Corp., hereby severally constitute and appoint Bruce Culleton, M.D. and James Coulston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without limitation,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82"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pacing w:after="0" w:line="4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421"/>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Bruce Culleton, M.D</w:t>
            </w:r>
          </w:p>
        </w:tc>
        <w:tc>
          <w:tcPr>
            <w:tcW w:w="2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c>
          <w:tcPr>
            <w:tcW w:w="0" w:type="dxa"/>
            <w:vAlign w:val="bottom"/>
          </w:tcPr>
          <w:p>
            <w:pPr>
              <w:spacing w:after="0"/>
              <w:rPr>
                <w:sz w:val="1"/>
                <w:szCs w:val="1"/>
                <w:color w:val="auto"/>
              </w:rPr>
            </w:pPr>
          </w:p>
        </w:tc>
      </w:tr>
      <w:tr>
        <w:trPr>
          <w:trHeight w:val="32"/>
        </w:trPr>
        <w:tc>
          <w:tcPr>
            <w:tcW w:w="2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Bruce Culleton, M.D.</w:t>
            </w:r>
          </w:p>
        </w:tc>
        <w:tc>
          <w:tcPr>
            <w:tcW w:w="220" w:type="dxa"/>
            <w:vAlign w:val="bottom"/>
          </w:tcPr>
          <w:p>
            <w:pPr>
              <w:spacing w:after="0"/>
              <w:rPr>
                <w:sz w:val="19"/>
                <w:szCs w:val="19"/>
                <w:color w:val="auto"/>
              </w:rPr>
            </w:pPr>
          </w:p>
        </w:tc>
        <w:tc>
          <w:tcPr>
            <w:tcW w:w="32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James Coulston</w:t>
            </w:r>
          </w:p>
        </w:tc>
        <w:tc>
          <w:tcPr>
            <w:tcW w:w="2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c>
          <w:tcPr>
            <w:tcW w:w="0" w:type="dxa"/>
            <w:vAlign w:val="bottom"/>
          </w:tcPr>
          <w:p>
            <w:pPr>
              <w:spacing w:after="0"/>
              <w:rPr>
                <w:sz w:val="1"/>
                <w:szCs w:val="1"/>
                <w:color w:val="auto"/>
              </w:rPr>
            </w:pPr>
          </w:p>
        </w:tc>
      </w:tr>
      <w:tr>
        <w:trPr>
          <w:trHeight w:val="32"/>
        </w:trPr>
        <w:tc>
          <w:tcPr>
            <w:tcW w:w="2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Coulston</w:t>
            </w:r>
          </w:p>
        </w:tc>
        <w:tc>
          <w:tcPr>
            <w:tcW w:w="220" w:type="dxa"/>
            <w:vAlign w:val="bottom"/>
          </w:tcPr>
          <w:p>
            <w:pPr>
              <w:spacing w:after="0"/>
              <w:rPr>
                <w:sz w:val="19"/>
                <w:szCs w:val="19"/>
                <w:color w:val="auto"/>
              </w:rPr>
            </w:pPr>
          </w:p>
        </w:tc>
        <w:tc>
          <w:tcPr>
            <w:tcW w:w="32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Pablo Legorreta</w:t>
            </w:r>
          </w:p>
        </w:tc>
        <w:tc>
          <w:tcPr>
            <w:tcW w:w="2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c>
          <w:tcPr>
            <w:tcW w:w="0" w:type="dxa"/>
            <w:vAlign w:val="bottom"/>
          </w:tcPr>
          <w:p>
            <w:pPr>
              <w:spacing w:after="0"/>
              <w:rPr>
                <w:sz w:val="1"/>
                <w:szCs w:val="1"/>
                <w:color w:val="auto"/>
              </w:rPr>
            </w:pPr>
          </w:p>
        </w:tc>
      </w:tr>
      <w:tr>
        <w:trPr>
          <w:trHeight w:val="234"/>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Pablo Legorreta</w:t>
            </w: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William F. Doyle</w:t>
            </w:r>
          </w:p>
        </w:tc>
        <w:tc>
          <w:tcPr>
            <w:tcW w:w="2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c>
          <w:tcPr>
            <w:tcW w:w="0" w:type="dxa"/>
            <w:vAlign w:val="bottom"/>
          </w:tcPr>
          <w:p>
            <w:pPr>
              <w:spacing w:after="0"/>
              <w:rPr>
                <w:sz w:val="1"/>
                <w:szCs w:val="1"/>
                <w:color w:val="auto"/>
              </w:rPr>
            </w:pPr>
          </w:p>
        </w:tc>
      </w:tr>
      <w:tr>
        <w:trPr>
          <w:trHeight w:val="234"/>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William F. Doyle</w:t>
            </w: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Jennifer Fox</w:t>
            </w:r>
          </w:p>
        </w:tc>
        <w:tc>
          <w:tcPr>
            <w:tcW w:w="2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c>
          <w:tcPr>
            <w:tcW w:w="0" w:type="dxa"/>
            <w:vAlign w:val="bottom"/>
          </w:tcPr>
          <w:p>
            <w:pPr>
              <w:spacing w:after="0"/>
              <w:rPr>
                <w:sz w:val="1"/>
                <w:szCs w:val="1"/>
                <w:color w:val="auto"/>
              </w:rPr>
            </w:pPr>
          </w:p>
        </w:tc>
      </w:tr>
      <w:tr>
        <w:trPr>
          <w:trHeight w:val="234"/>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Jennifer Fox</w:t>
            </w: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José Ignacio Jimenez Santos</w:t>
            </w:r>
          </w:p>
        </w:tc>
        <w:tc>
          <w:tcPr>
            <w:tcW w:w="2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c>
          <w:tcPr>
            <w:tcW w:w="0" w:type="dxa"/>
            <w:vAlign w:val="bottom"/>
          </w:tcPr>
          <w:p>
            <w:pPr>
              <w:spacing w:after="0"/>
              <w:rPr>
                <w:sz w:val="1"/>
                <w:szCs w:val="1"/>
                <w:color w:val="auto"/>
              </w:rPr>
            </w:pPr>
          </w:p>
        </w:tc>
      </w:tr>
      <w:tr>
        <w:trPr>
          <w:trHeight w:val="234"/>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José Ignacio Jimenez Santos</w:t>
            </w: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Alan M. Lotvin, M.D.</w:t>
            </w:r>
          </w:p>
        </w:tc>
        <w:tc>
          <w:tcPr>
            <w:tcW w:w="2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c>
          <w:tcPr>
            <w:tcW w:w="0" w:type="dxa"/>
            <w:vAlign w:val="bottom"/>
          </w:tcPr>
          <w:p>
            <w:pPr>
              <w:spacing w:after="0"/>
              <w:rPr>
                <w:sz w:val="1"/>
                <w:szCs w:val="1"/>
                <w:color w:val="auto"/>
              </w:rPr>
            </w:pPr>
          </w:p>
        </w:tc>
      </w:tr>
      <w:tr>
        <w:trPr>
          <w:trHeight w:val="234"/>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Alan M. Lotvin, M.D.</w:t>
            </w: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Brian J.G. Pereira, M.D.</w:t>
            </w:r>
          </w:p>
        </w:tc>
        <w:tc>
          <w:tcPr>
            <w:tcW w:w="2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c>
          <w:tcPr>
            <w:tcW w:w="0" w:type="dxa"/>
            <w:vAlign w:val="bottom"/>
          </w:tcPr>
          <w:p>
            <w:pPr>
              <w:spacing w:after="0"/>
              <w:rPr>
                <w:sz w:val="1"/>
                <w:szCs w:val="1"/>
                <w:color w:val="auto"/>
              </w:rPr>
            </w:pPr>
          </w:p>
        </w:tc>
      </w:tr>
      <w:tr>
        <w:trPr>
          <w:trHeight w:val="234"/>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Brian J.G. Pereira, M.D.</w:t>
            </w: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Uma Sinha, Ph.D.</w:t>
            </w:r>
          </w:p>
        </w:tc>
        <w:tc>
          <w:tcPr>
            <w:tcW w:w="2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c>
          <w:tcPr>
            <w:tcW w:w="0" w:type="dxa"/>
            <w:vAlign w:val="bottom"/>
          </w:tcPr>
          <w:p>
            <w:pPr>
              <w:spacing w:after="0"/>
              <w:rPr>
                <w:sz w:val="1"/>
                <w:szCs w:val="1"/>
                <w:color w:val="auto"/>
              </w:rPr>
            </w:pPr>
          </w:p>
        </w:tc>
      </w:tr>
      <w:tr>
        <w:trPr>
          <w:trHeight w:val="234"/>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Uma Sinha, Ph.D.</w:t>
            </w: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II-5</w:t>
            </w: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3" w:right="1440"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ectPr>
          <w:pgSz w:w="11900" w:h="16838" w:orient="portrait"/>
          <w:cols w:equalWidth="0" w:num="1">
            <w:col w:w="11240"/>
          </w:cols>
          <w:pgMar w:left="320" w:top="266"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CA*0*</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w:t>
      </w:r>
    </w:p>
    <w:p>
      <w:pPr>
        <w:spacing w:after="0" w:line="200" w:lineRule="exact"/>
        <w:rPr>
          <w:sz w:val="20"/>
          <w:szCs w:val="20"/>
          <w:color w:val="auto"/>
        </w:rPr>
      </w:pPr>
    </w:p>
    <w:p>
      <w:pPr>
        <w:sectPr>
          <w:pgSz w:w="11900" w:h="16838" w:orient="portrait"/>
          <w:cols w:equalWidth="0" w:num="2">
            <w:col w:w="8500" w:space="720"/>
            <w:col w:w="2020"/>
          </w:cols>
          <w:pgMar w:left="320" w:top="266"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REVERSE FOR CERTAIN DEFINITIONS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w:t>
      </w:r>
    </w:p>
    <w:p>
      <w:pPr>
        <w:spacing w:after="0" w:line="200" w:lineRule="exact"/>
        <w:rPr>
          <w:sz w:val="20"/>
          <w:szCs w:val="20"/>
          <w:color w:val="auto"/>
        </w:rPr>
      </w:pPr>
    </w:p>
    <w:p>
      <w:pPr>
        <w:sectPr>
          <w:pgSz w:w="11900" w:h="16838" w:orient="portrait"/>
          <w:cols w:equalWidth="0" w:num="2">
            <w:col w:w="8500" w:space="720"/>
            <w:col w:w="2020"/>
          </w:cols>
          <w:pgMar w:left="320" w:top="266" w:right="339" w:bottom="1440" w:gutter="0" w:footer="0" w:header="0"/>
          <w:type w:val="continuous"/>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INCORPORATED UNDER THE LAWS OF THE STATE OF DELAWARE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$0.0001 PAR VALUE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Certifies that _____________________________________ is the owner of ________________________________ fully paid and non-assessable</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shares of Class A common stock of the par value of $0.0001 each of </w:t>
      </w:r>
      <w:r>
        <w:rPr>
          <w:rFonts w:ascii="Times New Roman" w:cs="Times New Roman" w:eastAsia="Times New Roman" w:hAnsi="Times New Roman"/>
          <w:sz w:val="18"/>
          <w:szCs w:val="18"/>
          <w:b w:val="1"/>
          <w:bCs w:val="1"/>
          <w:color w:val="auto"/>
        </w:rPr>
        <w:t>PROKIDNEY CORP.</w:t>
      </w:r>
      <w:r>
        <w:rPr>
          <w:rFonts w:ascii="Times New Roman" w:cs="Times New Roman" w:eastAsia="Times New Roman" w:hAnsi="Times New Roman"/>
          <w:sz w:val="18"/>
          <w:szCs w:val="18"/>
          <w:color w:val="auto"/>
        </w:rPr>
        <w:t>, a Delaware corporation (the “Company”), transferable on the books of the Company in person or by duly authorized attorney upon surrender of this certificate properly endorsed.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8320" w:val="left"/>
        </w:tabs>
        <w:rPr>
          <w:sz w:val="20"/>
          <w:szCs w:val="20"/>
          <w:color w:val="auto"/>
        </w:rPr>
      </w:pPr>
      <w:r>
        <w:rPr>
          <w:rFonts w:ascii="Times New Roman" w:cs="Times New Roman" w:eastAsia="Times New Roman" w:hAnsi="Times New Roman"/>
          <w:sz w:val="18"/>
          <w:szCs w:val="18"/>
          <w:color w:val="auto"/>
        </w:rPr>
        <w:t>Authorized Officer</w:t>
      </w:r>
      <w:r>
        <w:rPr>
          <w:sz w:val="20"/>
          <w:szCs w:val="20"/>
          <w:color w:val="auto"/>
        </w:rPr>
        <w:tab/>
      </w:r>
      <w:r>
        <w:rPr>
          <w:rFonts w:ascii="Times New Roman" w:cs="Times New Roman" w:eastAsia="Times New Roman" w:hAnsi="Times New Roman"/>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furnish without charge to each shareholder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thereby are issued and shall be held subject to all the provisions of the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though they were written out in full according to applicable laws or regulations: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TEN COM</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tenants in common</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UNIF GIFT MIN ACT</w:t>
            </w: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(Custodian)</w:t>
            </w: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(Minor)</w:t>
            </w:r>
          </w:p>
        </w:tc>
        <w:tc>
          <w:tcPr>
            <w:tcW w:w="0" w:type="dxa"/>
            <w:vAlign w:val="bottom"/>
          </w:tcPr>
          <w:p>
            <w:pPr>
              <w:spacing w:after="0"/>
              <w:rPr>
                <w:sz w:val="1"/>
                <w:szCs w:val="1"/>
                <w:color w:val="auto"/>
              </w:rPr>
            </w:pP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TEN ENT</w:t>
            </w:r>
          </w:p>
        </w:tc>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as tenants by the entireties</w:t>
            </w:r>
          </w:p>
        </w:tc>
        <w:tc>
          <w:tcPr>
            <w:tcW w:w="1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Under Uniform Gifts to Minors Act</w:t>
            </w:r>
          </w:p>
        </w:tc>
        <w:tc>
          <w:tcPr>
            <w:tcW w:w="0" w:type="dxa"/>
            <w:vAlign w:val="bottom"/>
          </w:tcPr>
          <w:p>
            <w:pPr>
              <w:spacing w:after="0"/>
              <w:rPr>
                <w:sz w:val="1"/>
                <w:szCs w:val="1"/>
                <w:color w:val="auto"/>
              </w:rPr>
            </w:pPr>
          </w:p>
        </w:tc>
      </w:tr>
      <w:tr>
        <w:trPr>
          <w:trHeight w:val="439"/>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JT TEN</w:t>
            </w: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as joint tenants with right of survivorship and</w:t>
            </w:r>
          </w:p>
        </w:tc>
        <w:tc>
          <w:tcPr>
            <w:tcW w:w="1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6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342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700" w:type="dxa"/>
            <w:vAlign w:val="bottom"/>
            <w:gridSpan w:val="3"/>
          </w:tcPr>
          <w:p>
            <w:pPr>
              <w:jc w:val="center"/>
              <w:ind w:right="1210"/>
              <w:spacing w:after="0" w:line="198" w:lineRule="exact"/>
              <w:rPr>
                <w:sz w:val="20"/>
                <w:szCs w:val="20"/>
                <w:color w:val="auto"/>
              </w:rPr>
            </w:pPr>
            <w:r>
              <w:rPr>
                <w:rFonts w:ascii="Times New Roman" w:cs="Times New Roman" w:eastAsia="Times New Roman" w:hAnsi="Times New Roman"/>
                <w:sz w:val="18"/>
                <w:szCs w:val="18"/>
                <w:color w:val="auto"/>
                <w:w w:val="99"/>
              </w:rPr>
              <w:t>(State)</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 as tenants in common</w:t>
            </w:r>
          </w:p>
        </w:tc>
        <w:tc>
          <w:tcPr>
            <w:tcW w:w="1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For value received, ___________________ hereby sells, assigns and transfers unto </w:t>
      </w:r>
      <w:r>
        <w:rPr>
          <w:rFonts w:ascii="Times New Roman" w:cs="Times New Roman" w:eastAsia="Times New Roman" w:hAnsi="Times New Roman"/>
          <w:sz w:val="18"/>
          <w:szCs w:val="18"/>
          <w:color w:val="auto"/>
        </w:rPr>
        <w:t>___________________</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NUMBER(S) OF ASSIGNEE(S))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OR TYPEWRITE NAME(S) AND ADDRESS(ES), INCLUDING ZIP CODE, OF ASSIGNEE(S))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____________________________ </w:t>
      </w:r>
      <w:r>
        <w:rPr>
          <w:rFonts w:ascii="Times New Roman" w:cs="Times New Roman" w:eastAsia="Times New Roman" w:hAnsi="Times New Roman"/>
          <w:sz w:val="18"/>
          <w:szCs w:val="18"/>
          <w:i w:val="1"/>
          <w:iCs w:val="1"/>
          <w:color w:val="auto"/>
        </w:rPr>
        <w:t>Shares of the capital stock represented by the Certificate, and hereby irrevocably constitutes and appoints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___________________________ </w:t>
      </w:r>
      <w:r>
        <w:rPr>
          <w:rFonts w:ascii="Times New Roman" w:cs="Times New Roman" w:eastAsia="Times New Roman" w:hAnsi="Times New Roman"/>
          <w:sz w:val="18"/>
          <w:szCs w:val="18"/>
          <w:i w:val="1"/>
          <w:iCs w:val="1"/>
          <w:color w:val="auto"/>
        </w:rPr>
        <w:t>Attorney to transfer the said stock on the books of the within named Company with full power of substitution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Dated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292735</wp:posOffset>
            </wp:positionV>
            <wp:extent cx="54349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5434965"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4120" w:hanging="1439"/>
        <w:spacing w:after="0" w:line="282" w:lineRule="auto"/>
        <w:tabs>
          <w:tab w:leader="none" w:pos="4100" w:val="left"/>
        </w:tabs>
        <w:rPr>
          <w:sz w:val="20"/>
          <w:szCs w:val="20"/>
          <w:color w:val="auto"/>
        </w:rPr>
      </w:pPr>
      <w:r>
        <w:rPr>
          <w:rFonts w:ascii="Times New Roman" w:cs="Times New Roman" w:eastAsia="Times New Roman" w:hAnsi="Times New Roman"/>
          <w:sz w:val="18"/>
          <w:szCs w:val="18"/>
          <w:b w:val="1"/>
          <w:bCs w:val="1"/>
          <w:color w:val="auto"/>
        </w:rPr>
        <w:t>Notice:</w:t>
      </w:r>
      <w:r>
        <w:rPr>
          <w:sz w:val="20"/>
          <w:szCs w:val="20"/>
          <w:color w:val="auto"/>
        </w:rPr>
        <w:tab/>
      </w:r>
      <w:r>
        <w:rPr>
          <w:rFonts w:ascii="Times New Roman" w:cs="Times New Roman" w:eastAsia="Times New Roman" w:hAnsi="Times New Roman"/>
          <w:sz w:val="18"/>
          <w:szCs w:val="18"/>
          <w:color w:val="auto"/>
        </w:rPr>
        <w:t>The signature to this assignment must correspond with the name as written upon the face of the certificate in every particular, without alteration or enlargement or any change whatever.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4.2</w:t>
      </w:r>
    </w:p>
    <w:p>
      <w:pPr>
        <w:sectPr>
          <w:pgSz w:w="11900" w:h="16838" w:orient="portrait"/>
          <w:cols w:equalWidth="0" w:num="1">
            <w:col w:w="11240"/>
          </w:cols>
          <w:pgMar w:left="320" w:top="266"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CB*0*</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w:t>
      </w:r>
    </w:p>
    <w:p>
      <w:pPr>
        <w:spacing w:after="0" w:line="200" w:lineRule="exact"/>
        <w:rPr>
          <w:sz w:val="20"/>
          <w:szCs w:val="20"/>
          <w:color w:val="auto"/>
        </w:rPr>
      </w:pPr>
    </w:p>
    <w:p>
      <w:pPr>
        <w:sectPr>
          <w:pgSz w:w="11900" w:h="16838" w:orient="portrait"/>
          <w:cols w:equalWidth="0" w:num="2">
            <w:col w:w="8500" w:space="720"/>
            <w:col w:w="2020"/>
          </w:cols>
          <w:pgMar w:left="320" w:top="266"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REVERSE FOR CERTAIN DEFINITIONS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w:t>
      </w:r>
    </w:p>
    <w:p>
      <w:pPr>
        <w:spacing w:after="0" w:line="200" w:lineRule="exact"/>
        <w:rPr>
          <w:sz w:val="20"/>
          <w:szCs w:val="20"/>
          <w:color w:val="auto"/>
        </w:rPr>
      </w:pPr>
    </w:p>
    <w:p>
      <w:pPr>
        <w:sectPr>
          <w:pgSz w:w="11900" w:h="16838" w:orient="portrait"/>
          <w:cols w:equalWidth="0" w:num="2">
            <w:col w:w="8500" w:space="720"/>
            <w:col w:w="2020"/>
          </w:cols>
          <w:pgMar w:left="320" w:top="266" w:right="339" w:bottom="1440" w:gutter="0" w:footer="0" w:header="0"/>
          <w:type w:val="continuous"/>
        </w:sectPr>
      </w:pP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INCORPORATED UNDER THE LAWS OF THE STATE OF DELAWARE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B COMMON STOCK $0.0001 PAR VALUE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Certifies that _____________________________________ is the owner of ________________________________ fully paid and non-assessable</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shares of Class B common stock of the par value of $0.0001 each of </w:t>
      </w:r>
      <w:r>
        <w:rPr>
          <w:rFonts w:ascii="Times New Roman" w:cs="Times New Roman" w:eastAsia="Times New Roman" w:hAnsi="Times New Roman"/>
          <w:sz w:val="18"/>
          <w:szCs w:val="18"/>
          <w:b w:val="1"/>
          <w:bCs w:val="1"/>
          <w:color w:val="auto"/>
        </w:rPr>
        <w:t>PROKIDNEY CORP.</w:t>
      </w:r>
      <w:r>
        <w:rPr>
          <w:rFonts w:ascii="Times New Roman" w:cs="Times New Roman" w:eastAsia="Times New Roman" w:hAnsi="Times New Roman"/>
          <w:sz w:val="18"/>
          <w:szCs w:val="18"/>
          <w:color w:val="auto"/>
        </w:rPr>
        <w:t>, a Delaware corporation (the “Company”), transferable on the books of the Company in person or by duly authorized attorney upon surrender of this certificate properly endorsed.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8320" w:val="left"/>
        </w:tabs>
        <w:rPr>
          <w:sz w:val="20"/>
          <w:szCs w:val="20"/>
          <w:color w:val="auto"/>
        </w:rPr>
      </w:pPr>
      <w:r>
        <w:rPr>
          <w:rFonts w:ascii="Times New Roman" w:cs="Times New Roman" w:eastAsia="Times New Roman" w:hAnsi="Times New Roman"/>
          <w:sz w:val="18"/>
          <w:szCs w:val="18"/>
          <w:color w:val="auto"/>
        </w:rPr>
        <w:t>Authorized Officer</w:t>
      </w:r>
      <w:r>
        <w:rPr>
          <w:sz w:val="20"/>
          <w:szCs w:val="20"/>
          <w:color w:val="auto"/>
        </w:rPr>
        <w:tab/>
      </w:r>
      <w:r>
        <w:rPr>
          <w:rFonts w:ascii="Times New Roman" w:cs="Times New Roman" w:eastAsia="Times New Roman" w:hAnsi="Times New Roman"/>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furnish without charge to each shareholder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thereby are issued and shall be held subject to all the provisions of the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though they were written out in full according to applicable laws or regulations: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TEN COM</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tenants in common</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UNIF GIFT MIN ACT</w:t>
            </w: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(Custodian)</w:t>
            </w: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(Minor)</w:t>
            </w:r>
          </w:p>
        </w:tc>
        <w:tc>
          <w:tcPr>
            <w:tcW w:w="0" w:type="dxa"/>
            <w:vAlign w:val="bottom"/>
          </w:tcPr>
          <w:p>
            <w:pPr>
              <w:spacing w:after="0"/>
              <w:rPr>
                <w:sz w:val="1"/>
                <w:szCs w:val="1"/>
                <w:color w:val="auto"/>
              </w:rPr>
            </w:pP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TEN ENT</w:t>
            </w:r>
          </w:p>
        </w:tc>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as tenants by the entireties</w:t>
            </w:r>
          </w:p>
        </w:tc>
        <w:tc>
          <w:tcPr>
            <w:tcW w:w="1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Under Uniform Gifts to Minors Act</w:t>
            </w:r>
          </w:p>
        </w:tc>
        <w:tc>
          <w:tcPr>
            <w:tcW w:w="0" w:type="dxa"/>
            <w:vAlign w:val="bottom"/>
          </w:tcPr>
          <w:p>
            <w:pPr>
              <w:spacing w:after="0"/>
              <w:rPr>
                <w:sz w:val="1"/>
                <w:szCs w:val="1"/>
                <w:color w:val="auto"/>
              </w:rPr>
            </w:pPr>
          </w:p>
        </w:tc>
      </w:tr>
      <w:tr>
        <w:trPr>
          <w:trHeight w:val="439"/>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JT TEN</w:t>
            </w: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as joint tenants with right of survivorship and</w:t>
            </w:r>
          </w:p>
        </w:tc>
        <w:tc>
          <w:tcPr>
            <w:tcW w:w="1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6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342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700" w:type="dxa"/>
            <w:vAlign w:val="bottom"/>
            <w:gridSpan w:val="3"/>
          </w:tcPr>
          <w:p>
            <w:pPr>
              <w:jc w:val="center"/>
              <w:ind w:right="1210"/>
              <w:spacing w:after="0" w:line="198" w:lineRule="exact"/>
              <w:rPr>
                <w:sz w:val="20"/>
                <w:szCs w:val="20"/>
                <w:color w:val="auto"/>
              </w:rPr>
            </w:pPr>
            <w:r>
              <w:rPr>
                <w:rFonts w:ascii="Times New Roman" w:cs="Times New Roman" w:eastAsia="Times New Roman" w:hAnsi="Times New Roman"/>
                <w:sz w:val="18"/>
                <w:szCs w:val="18"/>
                <w:color w:val="auto"/>
                <w:w w:val="99"/>
              </w:rPr>
              <w:t>(State)</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 as tenants in common</w:t>
            </w:r>
          </w:p>
        </w:tc>
        <w:tc>
          <w:tcPr>
            <w:tcW w:w="1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For value received, ___________________ hereby sells, assigns and transfers unto </w:t>
      </w:r>
      <w:r>
        <w:rPr>
          <w:rFonts w:ascii="Times New Roman" w:cs="Times New Roman" w:eastAsia="Times New Roman" w:hAnsi="Times New Roman"/>
          <w:sz w:val="18"/>
          <w:szCs w:val="18"/>
          <w:color w:val="auto"/>
        </w:rPr>
        <w:t>___________________</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NUMBER(S) OF ASSIGNEE(S))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OR TYPEWRITE NAME(S) AND ADDRESS(ES), INCLUDING ZIP CODE, OF ASSIGNEE(S))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____________________________ </w:t>
      </w:r>
      <w:r>
        <w:rPr>
          <w:rFonts w:ascii="Times New Roman" w:cs="Times New Roman" w:eastAsia="Times New Roman" w:hAnsi="Times New Roman"/>
          <w:sz w:val="18"/>
          <w:szCs w:val="18"/>
          <w:i w:val="1"/>
          <w:iCs w:val="1"/>
          <w:color w:val="auto"/>
        </w:rPr>
        <w:t>Shares of the capital stock represented by the Certificate, and hereby irrevocably constitutes and appoints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___________________________ </w:t>
      </w:r>
      <w:r>
        <w:rPr>
          <w:rFonts w:ascii="Times New Roman" w:cs="Times New Roman" w:eastAsia="Times New Roman" w:hAnsi="Times New Roman"/>
          <w:sz w:val="18"/>
          <w:szCs w:val="18"/>
          <w:i w:val="1"/>
          <w:iCs w:val="1"/>
          <w:color w:val="auto"/>
        </w:rPr>
        <w:t>Attorney to transfer the said stock on the books of the within named Company with full power of substitution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Dated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429895</wp:posOffset>
            </wp:positionV>
            <wp:extent cx="54349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54349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120" w:hanging="1439"/>
        <w:spacing w:after="0" w:line="282" w:lineRule="auto"/>
        <w:tabs>
          <w:tab w:leader="none" w:pos="4100" w:val="left"/>
        </w:tabs>
        <w:rPr>
          <w:sz w:val="20"/>
          <w:szCs w:val="20"/>
          <w:color w:val="auto"/>
        </w:rPr>
      </w:pPr>
      <w:r>
        <w:rPr>
          <w:rFonts w:ascii="Times New Roman" w:cs="Times New Roman" w:eastAsia="Times New Roman" w:hAnsi="Times New Roman"/>
          <w:sz w:val="18"/>
          <w:szCs w:val="18"/>
          <w:b w:val="1"/>
          <w:bCs w:val="1"/>
          <w:color w:val="auto"/>
        </w:rPr>
        <w:t>Notice:</w:t>
      </w:r>
      <w:r>
        <w:rPr>
          <w:sz w:val="20"/>
          <w:szCs w:val="20"/>
          <w:color w:val="auto"/>
        </w:rPr>
        <w:tab/>
      </w:r>
      <w:r>
        <w:rPr>
          <w:rFonts w:ascii="Times New Roman" w:cs="Times New Roman" w:eastAsia="Times New Roman" w:hAnsi="Times New Roman"/>
          <w:sz w:val="18"/>
          <w:szCs w:val="18"/>
          <w:color w:val="auto"/>
        </w:rPr>
        <w:t>The signature to this assignment must correspond with the name as written upon the face of the certificate in every particular, without alteration or enlargement or any change whatever.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156845</wp:posOffset>
            </wp:positionV>
            <wp:extent cx="831215" cy="2654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83121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ProKidney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Frontis Plaza Blvd., Suite 250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Winston-Salem, 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ProKidney Corp.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Registration Statement on Form S-4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special counsel to ProKidney Corp.,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preparation and filing by the Company with the Securities and Exchange Commission of a Registration Statement on Form S-4, as amended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The Registration Statement relates to the proposed issuance of up to 292,707,888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and Class B common stock, par value $0.0001 per share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ProKidney Delaware (as defined below). The Registration Statement relates to, among other things, a proposal that would result in the conversion of the Company into a corporation incorporated under the laws of the State of Delaware (the “</w:t>
      </w:r>
      <w:r>
        <w:rPr>
          <w:rFonts w:ascii="Times New Roman" w:cs="Times New Roman" w:eastAsia="Times New Roman" w:hAnsi="Times New Roman"/>
          <w:sz w:val="18"/>
          <w:szCs w:val="18"/>
          <w:b w:val="1"/>
          <w:bCs w:val="1"/>
          <w:i w:val="1"/>
          <w:iCs w:val="1"/>
          <w:color w:val="auto"/>
        </w:rPr>
        <w:t>Domestication Transaction</w:t>
      </w:r>
      <w:r>
        <w:rPr>
          <w:rFonts w:ascii="Times New Roman" w:cs="Times New Roman" w:eastAsia="Times New Roman" w:hAnsi="Times New Roman"/>
          <w:sz w:val="18"/>
          <w:szCs w:val="18"/>
          <w:color w:val="auto"/>
        </w:rPr>
        <w:t>”). In this opinion, we refer to the Company following effectiveness of the Domestication Transaction as “ProKidney Delaware.” This opinion is being furnished in accordance with the requirements of Item 601(b)(5) of Regulation S-K under the Act.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Domestication Transaction, the Company will change its jurisdiction of incorporation in accordance with Article 206 of the Companies Act (as amended) of the Cayman Islands and the domestication procedures of Section 388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by (i) obtaining approval from the shareholders of the Company at an annual general meeting of shareholders to adopt the Domestication Transaction (the “</w:t>
      </w:r>
      <w:r>
        <w:rPr>
          <w:rFonts w:ascii="Times New Roman" w:cs="Times New Roman" w:eastAsia="Times New Roman" w:hAnsi="Times New Roman"/>
          <w:sz w:val="18"/>
          <w:szCs w:val="18"/>
          <w:b w:val="1"/>
          <w:bCs w:val="1"/>
          <w:i w:val="1"/>
          <w:iCs w:val="1"/>
          <w:color w:val="auto"/>
        </w:rPr>
        <w:t>Shareholder Approval</w:t>
      </w:r>
      <w:r>
        <w:rPr>
          <w:rFonts w:ascii="Times New Roman" w:cs="Times New Roman" w:eastAsia="Times New Roman" w:hAnsi="Times New Roman"/>
          <w:sz w:val="18"/>
          <w:szCs w:val="18"/>
          <w:color w:val="auto"/>
        </w:rPr>
        <w:t>”), (ii) filing a certificate of incorporation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and certificate of corporate domestication (the “</w:t>
      </w:r>
      <w:r>
        <w:rPr>
          <w:rFonts w:ascii="Times New Roman" w:cs="Times New Roman" w:eastAsia="Times New Roman" w:hAnsi="Times New Roman"/>
          <w:sz w:val="18"/>
          <w:szCs w:val="18"/>
          <w:b w:val="1"/>
          <w:bCs w:val="1"/>
          <w:i w:val="1"/>
          <w:iCs w:val="1"/>
          <w:color w:val="auto"/>
        </w:rPr>
        <w:t>Certificate of Domestication</w:t>
      </w:r>
      <w:r>
        <w:rPr>
          <w:rFonts w:ascii="Times New Roman" w:cs="Times New Roman" w:eastAsia="Times New Roman" w:hAnsi="Times New Roman"/>
          <w:sz w:val="18"/>
          <w:szCs w:val="18"/>
          <w:color w:val="auto"/>
        </w:rPr>
        <w:t>” and, together with the Certificate of Incorporation, the “</w:t>
      </w:r>
      <w:r>
        <w:rPr>
          <w:rFonts w:ascii="Times New Roman" w:cs="Times New Roman" w:eastAsia="Times New Roman" w:hAnsi="Times New Roman"/>
          <w:sz w:val="18"/>
          <w:szCs w:val="18"/>
          <w:b w:val="1"/>
          <w:bCs w:val="1"/>
          <w:i w:val="1"/>
          <w:iCs w:val="1"/>
          <w:color w:val="auto"/>
        </w:rPr>
        <w:t>Delaware Filings</w:t>
      </w:r>
      <w:r>
        <w:rPr>
          <w:rFonts w:ascii="Times New Roman" w:cs="Times New Roman" w:eastAsia="Times New Roman" w:hAnsi="Times New Roman"/>
          <w:sz w:val="18"/>
          <w:szCs w:val="18"/>
          <w:color w:val="auto"/>
        </w:rPr>
        <w:t>”), in each case, in respect of the Company, with the Secretary of State of the State of Delaware (the “</w:t>
      </w:r>
      <w:r>
        <w:rPr>
          <w:rFonts w:ascii="Times New Roman" w:cs="Times New Roman" w:eastAsia="Times New Roman" w:hAnsi="Times New Roman"/>
          <w:sz w:val="18"/>
          <w:szCs w:val="18"/>
          <w:b w:val="1"/>
          <w:bCs w:val="1"/>
          <w:i w:val="1"/>
          <w:iCs w:val="1"/>
          <w:color w:val="auto"/>
        </w:rPr>
        <w:t>Delaware SoS</w:t>
      </w:r>
      <w:r>
        <w:rPr>
          <w:rFonts w:ascii="Times New Roman" w:cs="Times New Roman" w:eastAsia="Times New Roman" w:hAnsi="Times New Roman"/>
          <w:sz w:val="18"/>
          <w:szCs w:val="18"/>
          <w:color w:val="auto"/>
        </w:rPr>
        <w:t>”), and, upon acceptance of such filings (or such later time as may be specified in such filings), ProKidney Delaware will exist as a Delaware corporation. The Domestication Transaction is subject to the Shareholder Approval.</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the effective date of the Domestication Transaction, the Company’s currently issued and outstanding Class A ordinary shares, par value $0.0001 per share (the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and Class B ordinary shares, par value $0.0001 per share (the “</w:t>
      </w: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 and together with the Class A Ordinary Shares, the “</w:t>
      </w:r>
      <w:r>
        <w:rPr>
          <w:rFonts w:ascii="Times New Roman" w:cs="Times New Roman" w:eastAsia="Times New Roman" w:hAnsi="Times New Roman"/>
          <w:sz w:val="18"/>
          <w:szCs w:val="18"/>
          <w:b w:val="1"/>
          <w:bCs w:val="1"/>
          <w:i w:val="1"/>
          <w:iCs w:val="1"/>
          <w:color w:val="auto"/>
        </w:rPr>
        <w:t>Existing Ordinary Shares</w:t>
      </w:r>
      <w:r>
        <w:rPr>
          <w:rFonts w:ascii="Times New Roman" w:cs="Times New Roman" w:eastAsia="Times New Roman" w:hAnsi="Times New Roman"/>
          <w:sz w:val="18"/>
          <w:szCs w:val="18"/>
          <w:color w:val="auto"/>
        </w:rPr>
        <w:t>”), will automatically convert by operation of law, on a one-for-one basis, into shares of Class A common stock of ProKidney Delaware and Class B common stock of ProKidney Delaware, respectively, in accordance with the terms of ProKidney Delaware’s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i w:val="1"/>
          <w:iCs w:val="1"/>
          <w:color w:val="auto"/>
        </w:rPr>
        <w:t>ProKidney Corp.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examined originals or certified copies of such corporate records of the Company and other certificates and documents of officials of the Company, public officials and others as we have deemed appropriate for purposes of this letter. We have assumed the genuineness of all signatures, the legal capacity of all natural persons, the authenticity of all documents submitted to us as originals, and the conformity to authentic original documents of all copies submitted to us as conformed, certified or reproduced copies. We have also assumed that, upon sale and delivery, (i) the specimen of certificate to represent shares of Class A Common Stock, and the specimen of certificate to represent shares of Class B Common Stock, each filed as an exhibit to the Registration Statement and the issuance of shares of Common Stock in uncertificated form on request upon original issuance or transfer shall have been duly approved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(ii) the certificates for the shares of Class A Common Stock and the certificates for the shares of Class B Common Stock will conform to the specimens thereof filed as exhibits to the Registration Statement and will have been duly countersigned by the transfer agent and duly registered by the registrar for the Common Stock or, if uncertificated, valid book-entry notations for the delivery of the shares of Common Stock in uncertificated form will have been duly made in the share register of the Company. As to various questions of fact relevant to this letter, we have relied, without independent investigation, upon certificates of public officials and certificates of officers of the Company, all of which we assume to be true, correct and complete.</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upon the foregoing, and subject to the assumptions, exceptions, qualifications and limitations stated herein, we are of the opinion that upon the making and effectiveness of the Delaware Filings and the effectiveness of the Domestication Transactions, when the issued and outstanding Existing Ordinary Shares are converted by operation of law on a one-for-one basis into shares of Common Stock in the manner and on the terms described in the Registration Statement and the Prospectus against payment in full of the consideration payable therefor as determined by the Board of Directors of the Company, the shares of Common Stock will have been duly authorized, validly issued, fully paid and non-assessable.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opinions and other matters in this letter are qualified in their entirety and subject to the following:</w:t>
      </w:r>
    </w:p>
    <w:p>
      <w:pPr>
        <w:spacing w:after="0" w:line="225" w:lineRule="exact"/>
        <w:rPr>
          <w:sz w:val="20"/>
          <w:szCs w:val="20"/>
          <w:color w:val="auto"/>
        </w:rPr>
      </w:pPr>
    </w:p>
    <w:p>
      <w:pPr>
        <w:ind w:left="1480" w:hanging="824"/>
        <w:spacing w:after="0"/>
        <w:tabs>
          <w:tab w:leader="none" w:pos="14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the laws of any jurisdiction other than the DGCL.</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6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assumed that prior to effecting the Domestication Transaction, (i) the shareholders of the Company will have provided the Shareholder Approval, and (ii) all other necessary action will have been taken under the applicable laws of the Cayman Islands to authorize and permit the Domestication Transaction, and any and all consents, approvals, authorizations, and actions from applicable Cayman Islands governmental and regulatory authorities required to authorize and permit the Domestication Transaction will have been obtained or performed.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46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assumed that (i) the form of Certificate of Incorporation included as an exhibit to the Registration Statement, without alteration or amendment (other than identifying the appropriate date), will be duly authorized and executed and thereafter be duly filed with the Delaware SoS in accordance with Section 103 of the DGCL, (ii) no other certificate or document, other than the Certificate of Domestication as required under Section 388 of the DGCL, has been or, prior to the filing of the Certificate of Incorporation, will be filed by or in respect of ProKidney Delaware with the Delaware SoS, and (iii) ProKidney Delaware will pay all fees and other charges required to be paid in connection with the filing of the Delaware Filings.</w:t>
      </w:r>
    </w:p>
    <w:p>
      <w:pPr>
        <w:spacing w:after="0" w:line="183"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assumed that the Existing Ordinary Shares were duly authorized for issuance, validly issued, fully paid and non-assessable.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45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assumed that prior to the issuance of the Common Stock, the Domestication Transaction will have been consummated in accordance with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i w:val="1"/>
          <w:iCs w:val="1"/>
          <w:color w:val="auto"/>
        </w:rPr>
        <w:t>ProKidney Corp.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firstLine="656"/>
        <w:spacing w:after="0" w:line="261" w:lineRule="auto"/>
        <w:tabs>
          <w:tab w:leader="none" w:pos="142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letter is limited to the matters expressly stated herein and no opinion is to be inferred or implied beyond the opinion expressly set forth herein. We undertake no, and hereby disclaim any, obligation to make any inquiry after the date hereof or to advise you of any changes in any matter set forth herein, whether based on a change in the law, a change in any fact relating to the Company or any other person or any other circumstance.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use of our name in the Prospectus forming a part of the Registration Statement under the caption “Legal Matters.” In giving this consent, we do not thereby admit that we are within the category of persons whose consent is required under Section 7 of the Act and the rules and regulations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AKIN GUMP STRAUSS HAUER &amp; FELD LLP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Akin Gump Strauss Hauer &amp; Feld</w:t>
            </w:r>
          </w:p>
        </w:tc>
        <w:tc>
          <w:tcPr>
            <w:tcW w:w="2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 +1 212.872.1000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LLP</w:t>
            </w:r>
          </w:p>
        </w:tc>
        <w:tc>
          <w:tcPr>
            <w:tcW w:w="2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 +1 212.872.1002</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One Bryant Park</w:t>
            </w:r>
          </w:p>
        </w:tc>
        <w:tc>
          <w:tcPr>
            <w:tcW w:w="2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akingump.com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-410845</wp:posOffset>
            </wp:positionV>
            <wp:extent cx="814705" cy="3003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814705" cy="3003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Bank of America Tower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ProKidney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Frontis Plaza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Winston-Salem, 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 United States Federal Income Tax Consequences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acted as counsel to ProKidney Corp., a Cayman Islands exempted company (the “Company”) that will change its jurisdiction of incorporation by discontinuing as an exempted company in the Cayman Islands and continuing and domesticating as a corporation incorporated under the laws of the State of Delaware (the “Domestication”). The continuing entity following the Domestication will continue to be named ProKidney Corp. (“ProKidney Delaware”). This opinion is being delivered in connection with the Registration Statement of the Company on Form S-4, which was initially filed on the date hereof with the U.S. Securities and Exchange Commission, as amended and supplemented through the date hereof (the “Registration Statement”).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preparing the opinion set forth below, we have examined and reviewed originals or copies, certified or otherwise identified to our satisfaction, of: (i) the Registration Statement; (ii) the form of Certificate of Incorporation of ProKidney Delaware to be effective upon the Domestication; (iii) the form of Bylaws of ProKidney Delaware to be effective upon the Domestication; and (iv) such other documents, certificates and records as we have deemed necessary or appropriate as a basis for our opinion. In our examination, we have assumed the genuineness of all signatures, the legal capacity of natural persons, the authenticity of all documents submitted to us as originals, the conformity to original documents of all documents submitted to us as certified, conformed, photostatic or electronic copies, and the authenticity of the originals of such latter documents.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rendering our opinion, we have assumed, without any independent investigation or examination thereof, that (i) the Domestication will be consummated in the manner described in the Registration Statement, and will be effective under applicable state law, and that none of the terms or conditions contained therein will be waived or modified and (ii) the Registration Statement accurately and completely reflect the facts relating to the Domestication. Our opinion assumes and is expressly conditioned on, among other things, the initial and continuing accuracy of the facts, information, covenants, representations and warranties set forth in the documents referred to above.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opinion is based on the Internal Revenue Code of 1986, as amended (the “Code”), Treasury regulations promulgated thereunder, judicial decisions, published positions of the Internal Revenue Service (the “Service”), and such other authorities as we have considered relevant, all as in effect on the date of this opinion and all of which are subject to change or differing interpretations, possibly with retroactive effect. A change in the authorities upon which our opinion is based could affect the conclusions expressed herein. Moreover, there can be no assurance that positions contrary to our opinion will not be taken by the Service or, if challenged, by a court.</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and subject to the limitations and qualifications set forth herein and in the Registration Statement, the discussion set forth in the Registration Statement under the heading “Material U.S. Federal Income Tax Considerations”, insofar as it expresses conclusions as to the application of United States federal income tax law, is our opinion as to the material United States federal income tax consequences generally applicable to the Domestication.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i w:val="1"/>
          <w:iCs w:val="1"/>
          <w:color w:val="auto"/>
        </w:rPr>
        <w:t>ProKidney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-118110</wp:posOffset>
            </wp:positionV>
            <wp:extent cx="814705" cy="3003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814705" cy="3003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expressly set forth above, we express no other opinion. This opinion has been prepared solely in connection with the Registration Statement and may not be relied upon for any other purpose without our prior written consent.</w:t>
      </w: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opinion is being delivered prior to the consummation of the Domestication and therefore is prospective and dependent on future events. This opinion is expressed as of the date hereof, and we are under no obligation to supplement or revise our opinion to reflect any legal developments, any factual matters arising subsequent to the date hereof, or the impact of any information, document, certificate, record, statement, representation, covenant, or assumption relied upon herein that becomes incorrect or untrue.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requirements of Item 601(b)(23) of Regulation S-K under the Securities Act of 1933, as amended (the “Securities Act”), we hereby consent to the filing of this opinion as an exhibit to the Registration Statement, and to the references therein to us. In giving this consent, we do not admit that we come within the category of persons whose consent is required under Section 7 of the Securities Act or the rules and regulations of the Securities Exchange Commission (the “SEC”) thereunder, nor do we admit that we are experts with respect to any part of the Registration Statement within the meaning of the term “experts” as used in the Securities Act or the rules and regulations of the SEC thereunder.</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AKIN GUMP STRAUSS HAUER &amp; FELD LLP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738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410"/>
        </w:trPr>
        <w:tc>
          <w:tcPr>
            <w:tcW w:w="38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45"/>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42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ProKidney Corp. GP Limited</w:t>
            </w: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ProKidney LP</w:t>
            </w: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ProKidney (f/k/a RegenMed (Cayman) Ltd.)</w:t>
            </w: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ProKidney, LLC (f/k/a Twin City Bio LLC)</w:t>
            </w: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ProKidney Acquisition Company, LLC</w:t>
            </w:r>
          </w:p>
        </w:tc>
        <w:tc>
          <w:tcPr>
            <w:tcW w:w="4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ProKidney Acquisition Company II, LLC</w:t>
            </w:r>
          </w:p>
        </w:tc>
        <w:tc>
          <w:tcPr>
            <w:tcW w:w="4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86"/>
        </w:trPr>
        <w:tc>
          <w:tcPr>
            <w:tcW w:w="38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S-4) and related Prospectuses of ProKidney Corp. for the registration of Class A and B common stock and to the incorporation by reference therein of our report dated March 17 , 2025, with respect to the consolidated financial statements of ProKidney Corp. included in its Annual Report (Form 10-K) for the year ended December 31, 2024,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Ernst &amp; Young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6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17145</wp:posOffset>
            </wp:positionV>
            <wp:extent cx="5949315" cy="77152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5949315" cy="7715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82" w:name="page183"/>
    <w:bookmarkEnd w:id="1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166370</wp:posOffset>
            </wp:positionV>
            <wp:extent cx="6292215" cy="81438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0039"/>
          </w:cols>
          <w:pgMar w:left="420" w:top="1440" w:right="1440" w:bottom="1440" w:gutter="0" w:footer="0" w:header="0"/>
        </w:sectPr>
      </w:pPr>
    </w:p>
    <w:bookmarkStart w:id="183" w:name="page184"/>
    <w:bookmarkEnd w:id="183"/>
    <w:p>
      <w:pPr>
        <w:ind w:left="103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060" w:type="dxa"/>
            <w:vAlign w:val="bottom"/>
            <w:tcBorders>
              <w:top w:val="single" w:sz="8" w:color="auto"/>
              <w:left w:val="single" w:sz="8" w:color="auto"/>
              <w:right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Fee</w:t>
            </w:r>
          </w:p>
        </w:tc>
        <w:tc>
          <w:tcPr>
            <w:tcW w:w="1220" w:type="dxa"/>
            <w:vAlign w:val="bottom"/>
            <w:tcBorders>
              <w:top w:val="single" w:sz="8" w:color="auto"/>
              <w:right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2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3"/>
              </w:rPr>
              <w:t>or</w:t>
            </w:r>
          </w:p>
        </w:tc>
        <w:tc>
          <w:tcPr>
            <w:tcW w:w="12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Carry</w:t>
            </w:r>
          </w:p>
        </w:tc>
        <w:tc>
          <w:tcPr>
            <w:tcW w:w="12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 Maximum</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206"/>
        </w:trPr>
        <w:tc>
          <w:tcPr>
            <w:tcW w:w="206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Class</w:t>
            </w:r>
          </w:p>
        </w:tc>
        <w:tc>
          <w:tcPr>
            <w:tcW w:w="10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12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9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258"/>
        </w:trPr>
        <w:tc>
          <w:tcPr>
            <w:tcW w:w="2060" w:type="dxa"/>
            <w:vAlign w:val="bottom"/>
            <w:tcBorders>
              <w:left w:val="single" w:sz="8" w:color="auto"/>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08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220" w:type="dxa"/>
            <w:vAlign w:val="bottom"/>
            <w:tcBorders>
              <w:bottom w:val="single" w:sz="8" w:color="auto"/>
              <w:right w:val="single" w:sz="8" w:color="auto"/>
            </w:tcBorders>
          </w:tcPr>
          <w:p>
            <w:pPr>
              <w:ind w:left="100"/>
              <w:spacing w:after="0" w:line="245" w:lineRule="exact"/>
              <w:rPr>
                <w:sz w:val="20"/>
                <w:szCs w:val="20"/>
                <w:color w:val="auto"/>
              </w:rPr>
            </w:pPr>
            <w:r>
              <w:rPr>
                <w:rFonts w:ascii="Times New Roman" w:cs="Times New Roman" w:eastAsia="Times New Roman" w:hAnsi="Times New Roman"/>
                <w:sz w:val="17"/>
                <w:szCs w:val="17"/>
                <w:b w:val="1"/>
                <w:bCs w:val="1"/>
                <w:color w:val="auto"/>
              </w:rPr>
              <w:t>Registered</w:t>
            </w:r>
            <w:r>
              <w:rPr>
                <w:rFonts w:ascii="Times New Roman" w:cs="Times New Roman" w:eastAsia="Times New Roman" w:hAnsi="Times New Roman"/>
                <w:sz w:val="28"/>
                <w:szCs w:val="28"/>
                <w:b w:val="1"/>
                <w:bCs w:val="1"/>
                <w:color w:val="auto"/>
                <w:vertAlign w:val="superscript"/>
              </w:rPr>
              <w:t>(2)</w:t>
            </w:r>
          </w:p>
        </w:tc>
        <w:tc>
          <w:tcPr>
            <w:tcW w:w="17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Unit</w:t>
            </w:r>
          </w:p>
        </w:tc>
        <w:tc>
          <w:tcPr>
            <w:tcW w:w="1340" w:type="dxa"/>
            <w:vAlign w:val="bottom"/>
            <w:tcBorders>
              <w:bottom w:val="single" w:sz="8" w:color="auto"/>
              <w:right w:val="single" w:sz="8" w:color="auto"/>
            </w:tcBorders>
          </w:tcPr>
          <w:p>
            <w:pPr>
              <w:jc w:val="center"/>
              <w:spacing w:after="0" w:line="245" w:lineRule="exact"/>
              <w:rPr>
                <w:sz w:val="20"/>
                <w:szCs w:val="20"/>
                <w:color w:val="auto"/>
              </w:rPr>
            </w:pPr>
            <w:r>
              <w:rPr>
                <w:rFonts w:ascii="Times New Roman" w:cs="Times New Roman" w:eastAsia="Times New Roman" w:hAnsi="Times New Roman"/>
                <w:sz w:val="17"/>
                <w:szCs w:val="17"/>
                <w:b w:val="1"/>
                <w:bCs w:val="1"/>
                <w:color w:val="auto"/>
              </w:rPr>
              <w:t>Offering Price</w:t>
            </w:r>
            <w:r>
              <w:rPr>
                <w:rFonts w:ascii="Times New Roman" w:cs="Times New Roman" w:eastAsia="Times New Roman" w:hAnsi="Times New Roman"/>
                <w:sz w:val="28"/>
                <w:szCs w:val="28"/>
                <w:b w:val="1"/>
                <w:bCs w:val="1"/>
                <w:color w:val="auto"/>
                <w:vertAlign w:val="superscript"/>
              </w:rPr>
              <w:t>(2)</w:t>
            </w:r>
          </w:p>
        </w:tc>
        <w:tc>
          <w:tcPr>
            <w:tcW w:w="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172"/>
        </w:trPr>
        <w:tc>
          <w:tcPr>
            <w:tcW w:w="2060" w:type="dxa"/>
            <w:vAlign w:val="bottom"/>
            <w:tcBorders>
              <w:lef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gridSpan w:val="3"/>
          </w:tcPr>
          <w:p>
            <w:pPr>
              <w:ind w:left="680"/>
              <w:spacing w:after="0" w:line="172" w:lineRule="exact"/>
              <w:rPr>
                <w:sz w:val="20"/>
                <w:szCs w:val="20"/>
                <w:color w:val="auto"/>
              </w:rPr>
            </w:pPr>
            <w:r>
              <w:rPr>
                <w:rFonts w:ascii="Times New Roman" w:cs="Times New Roman" w:eastAsia="Times New Roman" w:hAnsi="Times New Roman"/>
                <w:sz w:val="18"/>
                <w:szCs w:val="18"/>
                <w:b w:val="1"/>
                <w:bCs w:val="1"/>
                <w:color w:val="auto"/>
                <w:w w:val="74"/>
              </w:rPr>
              <w:t>Newly</w:t>
            </w:r>
          </w:p>
        </w:tc>
        <w:tc>
          <w:tcPr>
            <w:tcW w:w="2940" w:type="dxa"/>
            <w:vAlign w:val="bottom"/>
            <w:gridSpan w:val="4"/>
          </w:tcPr>
          <w:p>
            <w:pPr>
              <w:ind w:left="120"/>
              <w:spacing w:after="0" w:line="172" w:lineRule="exact"/>
              <w:rPr>
                <w:sz w:val="20"/>
                <w:szCs w:val="20"/>
                <w:color w:val="auto"/>
              </w:rPr>
            </w:pPr>
            <w:r>
              <w:rPr>
                <w:rFonts w:ascii="Times New Roman" w:cs="Times New Roman" w:eastAsia="Times New Roman" w:hAnsi="Times New Roman"/>
                <w:sz w:val="18"/>
                <w:szCs w:val="18"/>
                <w:b w:val="1"/>
                <w:bCs w:val="1"/>
                <w:color w:val="auto"/>
              </w:rPr>
              <w:t>Registered Securities</w:t>
            </w: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6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60" w:type="dxa"/>
            <w:vAlign w:val="bottom"/>
            <w:tcBorders>
              <w:left w:val="single" w:sz="8" w:color="auto"/>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rPr>
              <w:t>Class A</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par</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$0.0001</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 and</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Class B</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par</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Fees to Be Paid</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$0.0001</w:t>
            </w:r>
          </w:p>
        </w:tc>
        <w:tc>
          <w:tcPr>
            <w:tcW w:w="10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457(c) and</w:t>
            </w:r>
          </w:p>
        </w:tc>
        <w:tc>
          <w:tcPr>
            <w:tcW w:w="1220" w:type="dxa"/>
            <w:vAlign w:val="bottom"/>
            <w:tcBorders>
              <w:right w:val="single" w:sz="8" w:color="auto"/>
            </w:tcBorders>
          </w:tcPr>
          <w:p>
            <w:pPr>
              <w:jc w:val="center"/>
              <w:spacing w:after="0" w:line="235" w:lineRule="exact"/>
              <w:rPr>
                <w:sz w:val="20"/>
                <w:szCs w:val="20"/>
                <w:color w:val="auto"/>
              </w:rPr>
            </w:pPr>
            <w:r>
              <w:rPr>
                <w:rFonts w:ascii="Times New Roman" w:cs="Times New Roman" w:eastAsia="Times New Roman" w:hAnsi="Times New Roman"/>
                <w:sz w:val="17"/>
                <w:szCs w:val="17"/>
                <w:color w:val="auto"/>
              </w:rPr>
              <w:t>292,707,888</w:t>
            </w:r>
            <w:r>
              <w:rPr>
                <w:rFonts w:ascii="Times New Roman" w:cs="Times New Roman" w:eastAsia="Times New Roman" w:hAnsi="Times New Roman"/>
                <w:sz w:val="27"/>
                <w:szCs w:val="27"/>
                <w:color w:val="auto"/>
                <w:vertAlign w:val="superscript"/>
              </w:rPr>
              <w:t>(3)</w:t>
            </w:r>
          </w:p>
        </w:tc>
        <w:tc>
          <w:tcPr>
            <w:tcW w:w="17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$0.9799</w:t>
            </w:r>
            <w:r>
              <w:rPr>
                <w:rFonts w:ascii="Times New Roman" w:cs="Times New Roman" w:eastAsia="Times New Roman" w:hAnsi="Times New Roman"/>
                <w:sz w:val="29"/>
                <w:szCs w:val="29"/>
                <w:color w:val="auto"/>
                <w:w w:val="93"/>
                <w:vertAlign w:val="superscript"/>
              </w:rPr>
              <w:t>(5)</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$286,824,459.45</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0.00015310</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$43,912.82</w:t>
            </w:r>
            <w:r>
              <w:rPr>
                <w:rFonts w:ascii="Times New Roman" w:cs="Times New Roman" w:eastAsia="Times New Roman" w:hAnsi="Times New Roman"/>
                <w:sz w:val="29"/>
                <w:szCs w:val="29"/>
                <w:color w:val="auto"/>
                <w:w w:val="94"/>
                <w:vertAlign w:val="superscript"/>
              </w:rPr>
              <w:t>(6)</w:t>
            </w:r>
          </w:p>
        </w:tc>
        <w:tc>
          <w:tcPr>
            <w:tcW w:w="0" w:type="dxa"/>
            <w:vAlign w:val="bottom"/>
          </w:tcPr>
          <w:p>
            <w:pPr>
              <w:spacing w:after="0"/>
              <w:rPr>
                <w:sz w:val="1"/>
                <w:szCs w:val="1"/>
                <w:color w:val="auto"/>
              </w:rPr>
            </w:pPr>
          </w:p>
        </w:tc>
      </w:tr>
      <w:tr>
        <w:trPr>
          <w:trHeight w:val="226"/>
        </w:trPr>
        <w:tc>
          <w:tcPr>
            <w:tcW w:w="206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680" w:type="dxa"/>
            <w:vAlign w:val="bottom"/>
            <w:tcBorders>
              <w:bottom w:val="single" w:sz="8" w:color="auto"/>
              <w:right w:val="single" w:sz="8" w:color="auto"/>
            </w:tcBorders>
            <w:vMerge w:val="continue"/>
          </w:tcPr>
          <w:p>
            <w:pPr>
              <w:spacing w:after="0"/>
              <w:rPr>
                <w:sz w:val="19"/>
                <w:szCs w:val="19"/>
                <w:color w:val="auto"/>
              </w:rPr>
            </w:pPr>
          </w:p>
        </w:tc>
        <w:tc>
          <w:tcPr>
            <w:tcW w:w="1140" w:type="dxa"/>
            <w:vAlign w:val="bottom"/>
            <w:tcBorders>
              <w:bottom w:val="single" w:sz="8" w:color="auto"/>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15"/>
                <w:szCs w:val="15"/>
                <w:color w:val="auto"/>
              </w:rPr>
              <w:t xml:space="preserve">per share </w:t>
            </w:r>
            <w:r>
              <w:rPr>
                <w:rFonts w:ascii="Times New Roman" w:cs="Times New Roman" w:eastAsia="Times New Roman" w:hAnsi="Times New Roman"/>
                <w:sz w:val="24"/>
                <w:szCs w:val="24"/>
                <w:color w:val="auto"/>
                <w:vertAlign w:val="superscript"/>
              </w:rPr>
              <w:t>(1)(2)</w:t>
            </w:r>
          </w:p>
        </w:tc>
        <w:tc>
          <w:tcPr>
            <w:tcW w:w="108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457(f)(1)</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1720" w:type="dxa"/>
            <w:vAlign w:val="bottom"/>
            <w:tcBorders>
              <w:bottom w:val="single" w:sz="8" w:color="auto"/>
              <w:right w:val="single" w:sz="8" w:color="auto"/>
            </w:tcBorders>
            <w:gridSpan w:val="3"/>
            <w:vMerge w:val="continue"/>
          </w:tcPr>
          <w:p>
            <w:pPr>
              <w:spacing w:after="0"/>
              <w:rPr>
                <w:sz w:val="19"/>
                <w:szCs w:val="19"/>
                <w:color w:val="auto"/>
              </w:rPr>
            </w:pPr>
          </w:p>
        </w:tc>
        <w:tc>
          <w:tcPr>
            <w:tcW w:w="1340" w:type="dxa"/>
            <w:vAlign w:val="bottom"/>
            <w:tcBorders>
              <w:bottom w:val="single" w:sz="8" w:color="auto"/>
              <w:right w:val="single" w:sz="8" w:color="auto"/>
            </w:tcBorders>
            <w:vMerge w:val="continue"/>
          </w:tcPr>
          <w:p>
            <w:pPr>
              <w:spacing w:after="0"/>
              <w:rPr>
                <w:sz w:val="19"/>
                <w:szCs w:val="19"/>
                <w:color w:val="auto"/>
              </w:rPr>
            </w:pPr>
          </w:p>
        </w:tc>
        <w:tc>
          <w:tcPr>
            <w:tcW w:w="900" w:type="dxa"/>
            <w:vAlign w:val="bottom"/>
            <w:tcBorders>
              <w:bottom w:val="single" w:sz="8" w:color="auto"/>
              <w:right w:val="single" w:sz="8" w:color="auto"/>
            </w:tcBorders>
            <w:vMerge w:val="continue"/>
          </w:tcPr>
          <w:p>
            <w:pPr>
              <w:spacing w:after="0"/>
              <w:rPr>
                <w:sz w:val="19"/>
                <w:szCs w:val="19"/>
                <w:color w:val="auto"/>
              </w:rPr>
            </w:pPr>
          </w:p>
        </w:tc>
        <w:tc>
          <w:tcPr>
            <w:tcW w:w="11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Fees Previously Paid</w:t>
            </w:r>
          </w:p>
        </w:tc>
        <w:tc>
          <w:tcPr>
            <w:tcW w:w="6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72"/>
        </w:trPr>
        <w:tc>
          <w:tcPr>
            <w:tcW w:w="2060" w:type="dxa"/>
            <w:vAlign w:val="bottom"/>
            <w:tcBorders>
              <w:lef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340" w:type="dxa"/>
            <w:vAlign w:val="bottom"/>
            <w:gridSpan w:val="6"/>
          </w:tcPr>
          <w:p>
            <w:pPr>
              <w:ind w:left="60"/>
              <w:spacing w:after="0" w:line="172" w:lineRule="exact"/>
              <w:rPr>
                <w:sz w:val="20"/>
                <w:szCs w:val="20"/>
                <w:color w:val="auto"/>
              </w:rPr>
            </w:pPr>
            <w:r>
              <w:rPr>
                <w:rFonts w:ascii="Times New Roman" w:cs="Times New Roman" w:eastAsia="Times New Roman" w:hAnsi="Times New Roman"/>
                <w:sz w:val="18"/>
                <w:szCs w:val="18"/>
                <w:b w:val="1"/>
                <w:bCs w:val="1"/>
                <w:color w:val="auto"/>
              </w:rPr>
              <w:t>Carry Forward Securities</w:t>
            </w: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6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Carry Forward Securities</w:t>
            </w:r>
          </w:p>
        </w:tc>
        <w:tc>
          <w:tcPr>
            <w:tcW w:w="6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40" w:type="dxa"/>
            <w:vAlign w:val="bottom"/>
            <w:tcBorders>
              <w:bottom w:val="single" w:sz="8" w:color="auto"/>
              <w:right w:val="single" w:sz="8" w:color="auto"/>
            </w:tcBorders>
            <w:gridSpan w:val="5"/>
          </w:tcPr>
          <w:p>
            <w:pPr>
              <w:jc w:val="center"/>
              <w:ind w:right="633"/>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$286,824,459.45</w:t>
            </w:r>
          </w:p>
        </w:tc>
        <w:tc>
          <w:tcPr>
            <w:tcW w:w="9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$43,912.82</w:t>
            </w:r>
            <w:r>
              <w:rPr>
                <w:rFonts w:ascii="Times New Roman" w:cs="Times New Roman" w:eastAsia="Times New Roman" w:hAnsi="Times New Roman"/>
                <w:sz w:val="24"/>
                <w:szCs w:val="24"/>
                <w:color w:val="auto"/>
                <w:vertAlign w:val="superscript"/>
              </w:rPr>
              <w:t>(6)</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40" w:type="dxa"/>
            <w:vAlign w:val="bottom"/>
            <w:tcBorders>
              <w:bottom w:val="single" w:sz="8" w:color="auto"/>
              <w:right w:val="single" w:sz="8" w:color="auto"/>
            </w:tcBorders>
            <w:gridSpan w:val="5"/>
          </w:tcPr>
          <w:p>
            <w:pPr>
              <w:jc w:val="center"/>
              <w:ind w:right="613"/>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center"/>
              <w:ind w:left="431"/>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22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center"/>
              <w:ind w:left="431"/>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2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$43,912.82</w:t>
            </w:r>
            <w:r>
              <w:rPr>
                <w:rFonts w:ascii="Times New Roman" w:cs="Times New Roman" w:eastAsia="Times New Roman" w:hAnsi="Times New Roman"/>
                <w:sz w:val="24"/>
                <w:szCs w:val="24"/>
                <w:color w:val="auto"/>
                <w:vertAlign w:val="superscript"/>
              </w:rPr>
              <w:t>(6)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20" w:right="80" w:hanging="215"/>
        <w:spacing w:after="0" w:line="258" w:lineRule="auto"/>
        <w:rPr>
          <w:sz w:val="20"/>
          <w:szCs w:val="20"/>
          <w:color w:val="auto"/>
        </w:rPr>
      </w:pPr>
      <w:r>
        <w:rPr>
          <w:rFonts w:ascii="Times New Roman" w:cs="Times New Roman" w:eastAsia="Times New Roman" w:hAnsi="Times New Roman"/>
          <w:sz w:val="18"/>
          <w:szCs w:val="18"/>
          <w:color w:val="auto"/>
        </w:rPr>
        <w:t>(1)Following the effectiveness of this registration statement, ProKidney Corp. (“ProKidney”) intends, subject to the approval of ProKidney’s shareholders, to change of ProKidney’s jurisdiction of incorporation from the Cayman Islands to the State of Delaware by deregistering as an exempted company in the Cayman Islands and continuing and domesticating as a corporation incorporated under the laws of the State of Delaware (the “Domestication”). The continuing entity following the Domestication (“ProKidney Delaware”) will continue to be named ProKidney Corp. after the Domestication. All securities being registered will be issued by ProKidney Delaware following the Domestication.</w:t>
      </w:r>
    </w:p>
    <w:p>
      <w:pPr>
        <w:spacing w:after="0" w:line="183" w:lineRule="exact"/>
        <w:rPr>
          <w:sz w:val="20"/>
          <w:szCs w:val="20"/>
          <w:color w:val="auto"/>
        </w:rPr>
      </w:pPr>
    </w:p>
    <w:p>
      <w:pPr>
        <w:ind w:left="220" w:right="440" w:hanging="215"/>
        <w:spacing w:after="0" w:line="282" w:lineRule="auto"/>
        <w:rPr>
          <w:sz w:val="20"/>
          <w:szCs w:val="20"/>
          <w:color w:val="auto"/>
        </w:rPr>
      </w:pPr>
      <w:r>
        <w:rPr>
          <w:rFonts w:ascii="Times New Roman" w:cs="Times New Roman" w:eastAsia="Times New Roman" w:hAnsi="Times New Roman"/>
          <w:sz w:val="18"/>
          <w:szCs w:val="18"/>
          <w:color w:val="auto"/>
        </w:rPr>
        <w:t>(2)Pursuant to Rule 416(a) under the Securities Act of 1933, as amended (the “Securities Act”), the securities being registered hereunder include such indeterminate number of additional securities as may be issuable to prevent dilution resulting from stock splits, dividends or similar transactions.</w:t>
      </w:r>
    </w:p>
    <w:p>
      <w:pPr>
        <w:spacing w:after="0" w:line="162" w:lineRule="exact"/>
        <w:rPr>
          <w:sz w:val="20"/>
          <w:szCs w:val="20"/>
          <w:color w:val="auto"/>
        </w:rPr>
      </w:pPr>
    </w:p>
    <w:p>
      <w:pPr>
        <w:ind w:left="220" w:right="120" w:hanging="215"/>
        <w:spacing w:after="0" w:line="258" w:lineRule="auto"/>
        <w:rPr>
          <w:sz w:val="20"/>
          <w:szCs w:val="20"/>
          <w:color w:val="auto"/>
        </w:rPr>
      </w:pPr>
      <w:r>
        <w:rPr>
          <w:rFonts w:ascii="Times New Roman" w:cs="Times New Roman" w:eastAsia="Times New Roman" w:hAnsi="Times New Roman"/>
          <w:sz w:val="18"/>
          <w:szCs w:val="18"/>
          <w:color w:val="auto"/>
        </w:rPr>
        <w:t>(3)The total number of shares of ProKidney Delaware’s Class A Common Stock and Class B Common Stock being registered hereby represents the number of Class A ordinary shares and Class B ordinary shares of ProKidney that are expected to be issued and outstanding at the effective time of the domestication (based on shares issued and outstanding as of March 31, 2025 and PMEL Rights (as defined in the proxy statement/prospectus) that are expected to vest into Class B ordinary shares), all of which will automatically convert by operation of law on a one-for-one basis into shares of Class A Common Stock and Class B Common Stock of ProKidney Delaware in connection with the Domestication.</w:t>
      </w:r>
    </w:p>
    <w:p>
      <w:pPr>
        <w:spacing w:after="0" w:line="183" w:lineRule="exact"/>
        <w:rPr>
          <w:sz w:val="20"/>
          <w:szCs w:val="20"/>
          <w:color w:val="auto"/>
        </w:rPr>
      </w:pPr>
    </w:p>
    <w:p>
      <w:pPr>
        <w:jc w:val="both"/>
        <w:ind w:left="220" w:right="40" w:hanging="215"/>
        <w:spacing w:after="0" w:line="266" w:lineRule="auto"/>
        <w:rPr>
          <w:sz w:val="20"/>
          <w:szCs w:val="20"/>
          <w:color w:val="auto"/>
        </w:rPr>
      </w:pPr>
      <w:r>
        <w:rPr>
          <w:rFonts w:ascii="Times New Roman" w:cs="Times New Roman" w:eastAsia="Times New Roman" w:hAnsi="Times New Roman"/>
          <w:sz w:val="18"/>
          <w:szCs w:val="18"/>
          <w:color w:val="auto"/>
        </w:rPr>
        <w:t>(4)The allocation between ProKidney Delaware’s Class A and Class B Common Stock is contingent upon the right of holders of Class B Common Stock to convert their shares of Class B Common Stock, on a one-to-one basis, for Class A Common Stock as described under “Description of Securities” in the proxy statement/prospectus which forms a part of this registration statement.</w:t>
      </w:r>
    </w:p>
    <w:p>
      <w:pPr>
        <w:spacing w:after="0" w:line="176" w:lineRule="exact"/>
        <w:rPr>
          <w:sz w:val="20"/>
          <w:szCs w:val="20"/>
          <w:color w:val="auto"/>
        </w:rPr>
      </w:pPr>
    </w:p>
    <w:p>
      <w:pPr>
        <w:ind w:left="220" w:right="160" w:hanging="215"/>
        <w:spacing w:after="0" w:line="261" w:lineRule="auto"/>
        <w:rPr>
          <w:sz w:val="20"/>
          <w:szCs w:val="20"/>
          <w:color w:val="auto"/>
        </w:rPr>
      </w:pPr>
      <w:r>
        <w:rPr>
          <w:rFonts w:ascii="Times New Roman" w:cs="Times New Roman" w:eastAsia="Times New Roman" w:hAnsi="Times New Roman"/>
          <w:sz w:val="18"/>
          <w:szCs w:val="18"/>
          <w:color w:val="auto"/>
        </w:rPr>
        <w:t>(5)Pursuant to Rules 457(c) and 457(f)(1) under the Securities Act, and solely for the purpose of calculating the registration fee, the proposed maximum offering price per share is $0.9799, which is the average of the high $1.0200 and low $0.9398 prices of Class A ordinary shares of ProKidney on The Nasdaq Capital Market on March 26, 2025 (such date being within five business days of the date that this registration statement was first filed with the Securities and Exchange Commission).</w:t>
      </w:r>
    </w:p>
    <w:p>
      <w:pPr>
        <w:spacing w:after="0" w:line="180" w:lineRule="exact"/>
        <w:rPr>
          <w:sz w:val="20"/>
          <w:szCs w:val="20"/>
          <w:color w:val="auto"/>
        </w:rPr>
      </w:pPr>
    </w:p>
    <w:p>
      <w:pPr>
        <w:ind w:left="220" w:right="220" w:hanging="215"/>
        <w:spacing w:after="0" w:line="282" w:lineRule="auto"/>
        <w:rPr>
          <w:sz w:val="20"/>
          <w:szCs w:val="20"/>
          <w:color w:val="auto"/>
        </w:rPr>
      </w:pPr>
      <w:r>
        <w:rPr>
          <w:rFonts w:ascii="Times New Roman" w:cs="Times New Roman" w:eastAsia="Times New Roman" w:hAnsi="Times New Roman"/>
          <w:sz w:val="18"/>
          <w:szCs w:val="18"/>
          <w:color w:val="auto"/>
        </w:rPr>
        <w:t>(6)Calculated pursuant to Rule 457 under the Securities Act by multiplying the proposed maximum aggregate offering price of securities to be registered by 0.00015310.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1."/>
      <w:numFmt w:val="decimal"/>
      <w:start w:val="1"/>
    </w:lvl>
    <w:lvl w:ilvl="1">
      <w:lvlJc w:val="left"/>
      <w:lvlText w:val="%2."/>
      <w:numFmt w:val="lowerLetter"/>
      <w:start w:val="1"/>
    </w:lvl>
  </w:abstractNum>
  <w:abstractNum w:abstractNumId="2">
    <w:nsid w:val="15B5AF5C"/>
    <w:multiLevelType w:val="hybridMultilevel"/>
    <w:lvl w:ilvl="0">
      <w:lvlJc w:val="left"/>
      <w:lvlText w:val="%1"/>
      <w:numFmt w:val="decimal"/>
      <w:start w:val="1"/>
    </w:lvl>
    <w:lvl w:ilvl="1">
      <w:lvlJc w:val="left"/>
      <w:lvlText w:val="%2."/>
      <w:numFmt w:val="lowerLetter"/>
      <w:start w:val="3"/>
    </w:lvl>
  </w:abstractNum>
  <w:abstractNum w:abstractNumId="3">
    <w:nsid w:val="741226BB"/>
    <w:multiLevelType w:val="hybridMultilevel"/>
    <w:lvl w:ilvl="0">
      <w:lvlJc w:val="left"/>
      <w:lvlText w:val="%1."/>
      <w:numFmt w:val="decimal"/>
      <w:start w:val="4"/>
    </w:lvl>
    <w:lvl w:ilvl="1">
      <w:lvlJc w:val="left"/>
      <w:lvlText w:val="%2"/>
      <w:numFmt w:val="lowerLetter"/>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1)"/>
      <w:numFmt w:val="lowerRoman"/>
      <w:start w:val="3"/>
    </w:lvl>
  </w:abstractNum>
  <w:abstractNum w:abstractNumId="7">
    <w:nsid w:val="61574095"/>
    <w:multiLevelType w:val="hybridMultilevel"/>
    <w:lvl w:ilvl="0">
      <w:lvlJc w:val="left"/>
      <w:lvlText w:val="(%1)"/>
      <w:numFmt w:val="lowerRoman"/>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1."/>
      <w:numFmt w:val="decimal"/>
      <w:start w:val="1"/>
    </w:lvl>
  </w:abstractNum>
  <w:abstractNum w:abstractNumId="10">
    <w:nsid w:val="579BE4F1"/>
    <w:multiLevelType w:val="hybridMultilevel"/>
    <w:lvl w:ilvl="0">
      <w:lvlJc w:val="left"/>
      <w:lvlText w:val="%1."/>
      <w:numFmt w:val="decimal"/>
      <w:start w:val="4"/>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1)"/>
      <w:numFmt w:val="lowerLetter"/>
      <w:start w:val="9"/>
    </w:lvl>
  </w:abstractNum>
  <w:abstractNum w:abstractNumId="16">
    <w:nsid w:val="4AD084E9"/>
    <w:multiLevelType w:val="hybridMultilevel"/>
    <w:lvl w:ilvl="0">
      <w:lvlJc w:val="left"/>
      <w:lvlText w:val="(%1)"/>
      <w:numFmt w:val="lowerLetter"/>
      <w:start w:val="25"/>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1)"/>
      <w:numFmt w:val="lowerRoman"/>
      <w:start w:val="2"/>
    </w:lvl>
  </w:abstractNum>
  <w:abstractNum w:abstractNumId="21">
    <w:nsid w:val="6590700B"/>
    <w:multiLevelType w:val="hybridMultilevel"/>
    <w:lvl w:ilvl="0">
      <w:lvlJc w:val="left"/>
      <w:lvlText w:val="(%1)"/>
      <w:numFmt w:val="lowerRoman"/>
      <w:start w:val="1"/>
    </w:lvl>
  </w:abstractNum>
  <w:abstractNum w:abstractNumId="22">
    <w:nsid w:val="15014ACB"/>
    <w:multiLevelType w:val="hybridMultilevel"/>
    <w:lvl w:ilvl="0">
      <w:lvlJc w:val="left"/>
      <w:lvlText w:val="(%1)"/>
      <w:numFmt w:val="lowerRoman"/>
      <w:start w:val="3"/>
    </w:lvl>
  </w:abstractNum>
  <w:abstractNum w:abstractNumId="23">
    <w:nsid w:val="5F5E7FD0"/>
    <w:multiLevelType w:val="hybridMultilevel"/>
    <w:lvl w:ilvl="0">
      <w:lvlJc w:val="left"/>
      <w:lvlText w:val="(%1)"/>
      <w:numFmt w:val="lowerRoman"/>
      <w:start w:val="1"/>
    </w:lvl>
  </w:abstractNum>
  <w:abstractNum w:abstractNumId="24">
    <w:nsid w:val="98A3148"/>
    <w:multiLevelType w:val="hybridMultilevel"/>
    <w:lvl w:ilvl="0">
      <w:lvlJc w:val="left"/>
      <w:lvlText w:val="(%1)"/>
      <w:numFmt w:val="decimal"/>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amp;"/>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1)"/>
      <w:numFmt w:val="decimal"/>
      <w:start w:val="336"/>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amp;"/>
      <w:numFmt w:val="bullet"/>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1."/>
      <w:numFmt w:val="decimal"/>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1)"/>
      <w:numFmt w:val="decimal"/>
      <w:start w:val="1"/>
    </w:lvl>
  </w:abstractNum>
  <w:abstractNum w:abstractNumId="39">
    <w:nsid w:val="A0382C5"/>
    <w:multiLevelType w:val="hybridMultilevel"/>
    <w:lvl w:ilvl="0">
      <w:lvlJc w:val="left"/>
      <w:lvlText w:val="(%1)"/>
      <w:numFmt w:val="decimal"/>
      <w:start w:val="1"/>
    </w:lvl>
  </w:abstractNum>
  <w:abstractNum w:abstractNumId="40">
    <w:nsid w:val="8F2B15E"/>
    <w:multiLevelType w:val="hybridMultilevel"/>
    <w:lvl w:ilvl="0">
      <w:lvlJc w:val="left"/>
      <w:lvlText w:val="•"/>
      <w:numFmt w:val="bullet"/>
      <w:start w:val="1"/>
    </w:lvl>
  </w:abstractNum>
  <w:abstractNum w:abstractNumId="41">
    <w:nsid w:val="1A32234B"/>
    <w:multiLevelType w:val="hybridMultilevel"/>
    <w:lvl w:ilvl="0">
      <w:lvlJc w:val="left"/>
      <w:lvlText w:val="(%1)"/>
      <w:numFmt w:val="decimal"/>
      <w:start w:val="1"/>
    </w:lvl>
  </w:abstractNum>
  <w:abstractNum w:abstractNumId="42">
    <w:nsid w:val="3B0FD379"/>
    <w:multiLevelType w:val="hybridMultilevel"/>
    <w:lvl w:ilvl="0">
      <w:lvlJc w:val="left"/>
      <w:lvlText w:val="•"/>
      <w:numFmt w:val="bullet"/>
      <w:start w:val="1"/>
    </w:lvl>
  </w:abstractNum>
  <w:abstractNum w:abstractNumId="43">
    <w:nsid w:val="68EB2F63"/>
    <w:multiLevelType w:val="hybridMultilevel"/>
    <w:lvl w:ilvl="0">
      <w:lvlJc w:val="left"/>
      <w:lvlText w:val="•"/>
      <w:numFmt w:val="bullet"/>
      <w:start w:val="1"/>
    </w:lvl>
  </w:abstractNum>
  <w:abstractNum w:abstractNumId="44">
    <w:nsid w:val="4962813B"/>
    <w:multiLevelType w:val="hybridMultilevel"/>
    <w:lvl w:ilvl="0">
      <w:lvlJc w:val="left"/>
      <w:lvlText w:val="*"/>
      <w:numFmt w:val="bullet"/>
      <w:start w:val="1"/>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1)"/>
      <w:numFmt w:val="decimal"/>
      <w:start w:val="1"/>
    </w:lvl>
  </w:abstractNum>
  <w:abstractNum w:abstractNumId="47">
    <w:nsid w:val="14330624"/>
    <w:multiLevelType w:val="hybridMultilevel"/>
    <w:lvl w:ilvl="0">
      <w:lvlJc w:val="left"/>
      <w:lvlText w:val="(%1)"/>
      <w:numFmt w:val="decimal"/>
      <w:start w:val="3"/>
    </w:lvl>
  </w:abstractNum>
  <w:abstractNum w:abstractNumId="48">
    <w:nsid w:val="7FFFCA11"/>
    <w:multiLevelType w:val="hybridMultilevel"/>
    <w:lvl w:ilvl="0">
      <w:lvlJc w:val="left"/>
      <w:lvlText w:val="(%1)"/>
      <w:numFmt w:val="lowerLetter"/>
      <w:start w:val="1"/>
    </w:lvl>
  </w:abstractNum>
  <w:abstractNum w:abstractNumId="49">
    <w:nsid w:val="1A27709E"/>
    <w:multiLevelType w:val="hybridMultilevel"/>
    <w:lvl w:ilvl="0">
      <w:lvlJc w:val="left"/>
      <w:lvlText w:val="(%1)"/>
      <w:numFmt w:val="lowerRoman"/>
      <w:start w:val="2"/>
    </w:lvl>
  </w:abstractNum>
  <w:abstractNum w:abstractNumId="50">
    <w:nsid w:val="71EA1109"/>
    <w:multiLevelType w:val="hybridMultilevel"/>
    <w:lvl w:ilvl="0">
      <w:lvlJc w:val="left"/>
      <w:lvlText w:val="(%1)"/>
      <w:numFmt w:val="lowerRoman"/>
      <w:start w:val="1"/>
    </w:lvl>
  </w:abstractNum>
  <w:abstractNum w:abstractNumId="51">
    <w:nsid w:val="100F59DC"/>
    <w:multiLevelType w:val="hybridMultilevel"/>
    <w:lvl w:ilvl="0">
      <w:lvlJc w:val="left"/>
      <w:lvlText w:val="•"/>
      <w:numFmt w:val="bullet"/>
      <w:start w:val="1"/>
    </w:lvl>
  </w:abstractNum>
  <w:abstractNum w:abstractNumId="52">
    <w:nsid w:val="7FB7E0AA"/>
    <w:multiLevelType w:val="hybridMultilevel"/>
    <w:lvl w:ilvl="0">
      <w:lvlJc w:val="left"/>
      <w:lvlText w:val="•"/>
      <w:numFmt w:val="bullet"/>
      <w:start w:val="1"/>
    </w:lvl>
  </w:abstractNum>
  <w:abstractNum w:abstractNumId="53">
    <w:nsid w:val="6EB5BD4"/>
    <w:multiLevelType w:val="hybridMultilevel"/>
    <w:lvl w:ilvl="0">
      <w:lvlJc w:val="left"/>
      <w:lvlText w:val="(%1)"/>
      <w:numFmt w:val="lowerLetter"/>
      <w:start w:val="24"/>
    </w:lvl>
  </w:abstractNum>
  <w:abstractNum w:abstractNumId="54">
    <w:nsid w:val="6F6DD9AC"/>
    <w:multiLevelType w:val="hybridMultilevel"/>
    <w:lvl w:ilvl="0">
      <w:lvlJc w:val="left"/>
      <w:lvlText w:val="•"/>
      <w:numFmt w:val="bullet"/>
      <w:start w:val="1"/>
    </w:lvl>
  </w:abstractNum>
  <w:abstractNum w:abstractNumId="55">
    <w:nsid w:val="94211F2"/>
    <w:multiLevelType w:val="hybridMultilevel"/>
    <w:lvl w:ilvl="0">
      <w:lvlJc w:val="left"/>
      <w:lvlText w:val="•"/>
      <w:numFmt w:val="bullet"/>
      <w:start w:val="1"/>
    </w:lvl>
  </w:abstractNum>
  <w:abstractNum w:abstractNumId="56">
    <w:nsid w:val="885E1B"/>
    <w:multiLevelType w:val="hybridMultilevel"/>
    <w:lvl w:ilvl="0">
      <w:lvlJc w:val="left"/>
      <w:lvlText w:val="•"/>
      <w:numFmt w:val="bullet"/>
      <w:start w:val="1"/>
    </w:lvl>
  </w:abstractNum>
  <w:abstractNum w:abstractNumId="57">
    <w:nsid w:val="76272110"/>
    <w:multiLevelType w:val="hybridMultilevel"/>
    <w:lvl w:ilvl="0">
      <w:lvlJc w:val="left"/>
      <w:lvlText w:val="•"/>
      <w:numFmt w:val="bullet"/>
      <w:start w:val="1"/>
    </w:lvl>
  </w:abstractNum>
  <w:abstractNum w:abstractNumId="58">
    <w:nsid w:val="4C04A8AF"/>
    <w:multiLevelType w:val="hybridMultilevel"/>
    <w:lvl w:ilvl="0">
      <w:lvlJc w:val="left"/>
      <w:lvlText w:val="•"/>
      <w:numFmt w:val="bullet"/>
      <w:start w:val="1"/>
    </w:lvl>
  </w:abstractNum>
  <w:abstractNum w:abstractNumId="59">
    <w:nsid w:val="1716703B"/>
    <w:multiLevelType w:val="hybridMultilevel"/>
    <w:lvl w:ilvl="0">
      <w:lvlJc w:val="left"/>
      <w:lvlText w:val="%1."/>
      <w:numFmt w:val="upperLetter"/>
      <w:start w:val="2"/>
    </w:lvl>
  </w:abstractNum>
  <w:abstractNum w:abstractNumId="60">
    <w:nsid w:val="14E17E33"/>
    <w:multiLevelType w:val="hybridMultilevel"/>
    <w:lvl w:ilvl="0">
      <w:lvlJc w:val="left"/>
      <w:lvlText w:val="(%1)"/>
      <w:numFmt w:val="lowerRoman"/>
      <w:start w:val="1"/>
    </w:lvl>
  </w:abstractNum>
  <w:abstractNum w:abstractNumId="61">
    <w:nsid w:val="3222E7CD"/>
    <w:multiLevelType w:val="hybridMultilevel"/>
    <w:lvl w:ilvl="0">
      <w:lvlJc w:val="left"/>
      <w:lvlText w:val="%1."/>
      <w:numFmt w:val="upperLetter"/>
      <w:start w:val="3"/>
    </w:lvl>
  </w:abstractNum>
  <w:abstractNum w:abstractNumId="62">
    <w:nsid w:val="74DE0EE3"/>
    <w:multiLevelType w:val="hybridMultilevel"/>
    <w:lvl w:ilvl="0">
      <w:lvlJc w:val="left"/>
      <w:lvlText w:val="%1."/>
      <w:numFmt w:val="upperLetter"/>
      <w:start w:val="2"/>
    </w:lvl>
  </w:abstractNum>
  <w:abstractNum w:abstractNumId="63">
    <w:nsid w:val="68EBC550"/>
    <w:multiLevelType w:val="hybridMultilevel"/>
    <w:lvl w:ilvl="0">
      <w:lvlJc w:val="left"/>
      <w:lvlText w:val="•"/>
      <w:numFmt w:val="bullet"/>
      <w:start w:val="1"/>
    </w:lvl>
  </w:abstractNum>
  <w:abstractNum w:abstractNumId="64">
    <w:nsid w:val="2DF6D648"/>
    <w:multiLevelType w:val="hybridMultilevel"/>
    <w:lvl w:ilvl="0">
      <w:lvlJc w:val="left"/>
      <w:lvlText w:val="%1."/>
      <w:numFmt w:val="upperLetter"/>
      <w:start w:val="3"/>
    </w:lvl>
  </w:abstractNum>
  <w:abstractNum w:abstractNumId="65">
    <w:nsid w:val="46B7D447"/>
    <w:multiLevelType w:val="hybridMultilevel"/>
    <w:lvl w:ilvl="0">
      <w:lvlJc w:val="left"/>
      <w:lvlText w:val="(%1)"/>
      <w:numFmt w:val="lowerRoman"/>
      <w:start w:val="1"/>
    </w:lvl>
  </w:abstractNum>
  <w:abstractNum w:abstractNumId="66">
    <w:nsid w:val="4A2AC315"/>
    <w:multiLevelType w:val="hybridMultilevel"/>
    <w:lvl w:ilvl="0">
      <w:lvlJc w:val="left"/>
      <w:lvlText w:val="(%1)"/>
      <w:numFmt w:val="lowerRoman"/>
      <w:start w:val="1"/>
    </w:lvl>
  </w:abstractNum>
  <w:abstractNum w:abstractNumId="67">
    <w:nsid w:val="39EE015C"/>
    <w:multiLevelType w:val="hybridMultilevel"/>
    <w:lvl w:ilvl="0">
      <w:lvlJc w:val="left"/>
      <w:lvlText w:val="(%1)"/>
      <w:numFmt w:val="lowerRoman"/>
      <w:start w:val="1"/>
    </w:lvl>
  </w:abstractNum>
  <w:abstractNum w:abstractNumId="68">
    <w:nsid w:val="57FC4FBB"/>
    <w:multiLevelType w:val="hybridMultilevel"/>
    <w:lvl w:ilvl="0">
      <w:lvlJc w:val="left"/>
      <w:lvlText w:val="(%1)"/>
      <w:numFmt w:val="decimal"/>
      <w:start w:val="120"/>
    </w:lvl>
  </w:abstractNum>
  <w:abstractNum w:abstractNumId="69">
    <w:nsid w:val="CC1016F"/>
    <w:multiLevelType w:val="hybridMultilevel"/>
    <w:lvl w:ilvl="0">
      <w:lvlJc w:val="left"/>
      <w:lvlText w:val="(%1)"/>
      <w:numFmt w:val="decimal"/>
      <w:start w:val="2"/>
    </w:lvl>
  </w:abstractNum>
  <w:abstractNum w:abstractNumId="70">
    <w:nsid w:val="43F18422"/>
    <w:multiLevelType w:val="hybridMultilevel"/>
    <w:lvl w:ilvl="0">
      <w:lvlJc w:val="left"/>
      <w:lvlText w:val="•"/>
      <w:numFmt w:val="bullet"/>
      <w:start w:val="1"/>
    </w:lvl>
  </w:abstractNum>
  <w:abstractNum w:abstractNumId="71">
    <w:nsid w:val="60EF0119"/>
    <w:multiLevelType w:val="hybridMultilevel"/>
    <w:lvl w:ilvl="0">
      <w:lvlJc w:val="left"/>
      <w:lvlText w:val="1"/>
      <w:numFmt w:val="bullet"/>
      <w:start w:val="1"/>
    </w:lvl>
  </w:abstractNum>
  <w:abstractNum w:abstractNumId="72">
    <w:nsid w:val="26F324BA"/>
    <w:multiLevelType w:val="hybridMultilevel"/>
    <w:lvl w:ilvl="0">
      <w:lvlJc w:val="left"/>
      <w:lvlText w:val="2"/>
      <w:numFmt w:val="bullet"/>
      <w:start w:val="1"/>
    </w:lvl>
  </w:abstractNum>
  <w:abstractNum w:abstractNumId="73">
    <w:nsid w:val="7F01579B"/>
    <w:multiLevelType w:val="hybridMultilevel"/>
    <w:lvl w:ilvl="0">
      <w:lvlJc w:val="left"/>
      <w:lvlText w:val="3"/>
      <w:numFmt w:val="bullet"/>
      <w:start w:val="1"/>
    </w:lvl>
  </w:abstractNum>
  <w:abstractNum w:abstractNumId="74">
    <w:nsid w:val="49DA307D"/>
    <w:multiLevelType w:val="hybridMultilevel"/>
    <w:lvl w:ilvl="0">
      <w:lvlJc w:val="left"/>
      <w:lvlText w:val="4"/>
      <w:numFmt w:val="bullet"/>
      <w:start w:val="1"/>
    </w:lvl>
  </w:abstractNum>
  <w:abstractNum w:abstractNumId="75">
    <w:nsid w:val="7055A5F5"/>
    <w:multiLevelType w:val="hybridMultilevel"/>
    <w:lvl w:ilvl="0">
      <w:lvlJc w:val="left"/>
      <w:lvlText w:val="5"/>
      <w:numFmt w:val="bullet"/>
      <w:start w:val="1"/>
    </w:lvl>
  </w:abstractNum>
  <w:abstractNum w:abstractNumId="76">
    <w:nsid w:val="5FB8370B"/>
    <w:multiLevelType w:val="hybridMultilevel"/>
    <w:lvl w:ilvl="0">
      <w:lvlJc w:val="left"/>
      <w:lvlText w:val="6"/>
      <w:numFmt w:val="bullet"/>
      <w:start w:val="1"/>
    </w:lvl>
  </w:abstractNum>
  <w:abstractNum w:abstractNumId="77">
    <w:nsid w:val="50801EE1"/>
    <w:multiLevelType w:val="hybridMultilevel"/>
    <w:lvl w:ilvl="0">
      <w:lvlJc w:val="left"/>
      <w:lvlText w:val="7"/>
      <w:numFmt w:val="bullet"/>
      <w:start w:val="1"/>
    </w:lvl>
  </w:abstractNum>
  <w:abstractNum w:abstractNumId="78">
    <w:nsid w:val="488AC1A"/>
    <w:multiLevelType w:val="hybridMultilevel"/>
    <w:lvl w:ilvl="0">
      <w:lvlJc w:val="left"/>
      <w:lvlText w:val="1"/>
      <w:numFmt w:val="bullet"/>
      <w:start w:val="1"/>
    </w:lvl>
  </w:abstractNum>
  <w:abstractNum w:abstractNumId="79">
    <w:nsid w:val="5FB8011C"/>
    <w:multiLevelType w:val="hybridMultilevel"/>
    <w:lvl w:ilvl="0">
      <w:lvlJc w:val="left"/>
      <w:lvlText w:val="(%1)"/>
      <w:numFmt w:val="lowerLetter"/>
      <w:start w:val="3"/>
    </w:lvl>
  </w:abstractNum>
  <w:abstractNum w:abstractNumId="80">
    <w:nsid w:val="6AA78F7F"/>
    <w:multiLevelType w:val="hybridMultilevel"/>
    <w:lvl w:ilvl="0">
      <w:lvlJc w:val="left"/>
      <w:lvlText w:val="2"/>
      <w:numFmt w:val="bullet"/>
      <w:start w:val="1"/>
    </w:lvl>
  </w:abstractNum>
  <w:abstractNum w:abstractNumId="81">
    <w:nsid w:val="7672BD23"/>
    <w:multiLevelType w:val="hybridMultilevel"/>
    <w:lvl w:ilvl="0">
      <w:lvlJc w:val="left"/>
      <w:lvlText w:val="3"/>
      <w:numFmt w:val="bullet"/>
      <w:start w:val="1"/>
    </w:lvl>
  </w:abstractNum>
  <w:abstractNum w:abstractNumId="82">
    <w:nsid w:val="6FC75AF8"/>
    <w:multiLevelType w:val="hybridMultilevel"/>
    <w:lvl w:ilvl="0">
      <w:lvlJc w:val="left"/>
      <w:lvlText w:val="4"/>
      <w:numFmt w:val="bullet"/>
      <w:start w:val="1"/>
    </w:lvl>
  </w:abstractNum>
  <w:abstractNum w:abstractNumId="83">
    <w:nsid w:val="6A5F7029"/>
    <w:multiLevelType w:val="hybridMultilevel"/>
    <w:lvl w:ilvl="0">
      <w:lvlJc w:val="left"/>
      <w:lvlText w:val="5"/>
      <w:numFmt w:val="bullet"/>
      <w:start w:val="1"/>
    </w:lvl>
  </w:abstractNum>
  <w:abstractNum w:abstractNumId="84">
    <w:nsid w:val="7D5E18F8"/>
    <w:multiLevelType w:val="hybridMultilevel"/>
    <w:lvl w:ilvl="0">
      <w:lvlJc w:val="left"/>
      <w:lvlText w:val="6"/>
      <w:numFmt w:val="bullet"/>
      <w:start w:val="1"/>
    </w:lvl>
  </w:abstractNum>
  <w:abstractNum w:abstractNumId="85">
    <w:nsid w:val="5F3534A4"/>
    <w:multiLevelType w:val="hybridMultilevel"/>
    <w:lvl w:ilvl="0">
      <w:lvlJc w:val="left"/>
      <w:lvlText w:val="7"/>
      <w:numFmt w:val="bullet"/>
      <w:start w:val="1"/>
    </w:lvl>
  </w:abstractNum>
  <w:abstractNum w:abstractNumId="86">
    <w:nsid w:val="73A1821B"/>
    <w:multiLevelType w:val="hybridMultilevel"/>
    <w:lvl w:ilvl="0">
      <w:lvlJc w:val="left"/>
      <w:lvlText w:val="8"/>
      <w:numFmt w:val="bullet"/>
      <w:start w:val="1"/>
    </w:lvl>
  </w:abstractNum>
  <w:abstractNum w:abstractNumId="87">
    <w:nsid w:val="7DE67713"/>
    <w:multiLevelType w:val="hybridMultilevel"/>
    <w:lvl w:ilvl="0">
      <w:lvlJc w:val="left"/>
      <w:lvlText w:val="9"/>
      <w:numFmt w:val="bullet"/>
      <w:start w:val="1"/>
    </w:lvl>
  </w:abstractNum>
  <w:abstractNum w:abstractNumId="88">
    <w:nsid w:val="555C55B5"/>
    <w:multiLevelType w:val="hybridMultilevel"/>
    <w:lvl w:ilvl="0">
      <w:lvlJc w:val="left"/>
      <w:lvlText w:val="%1"/>
      <w:numFmt w:val="decimal"/>
      <w:start w:val="13"/>
    </w:lvl>
  </w:abstractNum>
  <w:abstractNum w:abstractNumId="89">
    <w:nsid w:val="3FA62ACA"/>
    <w:multiLevelType w:val="hybridMultilevel"/>
    <w:lvl w:ilvl="0">
      <w:lvlJc w:val="left"/>
      <w:lvlText w:val="(%1)"/>
      <w:numFmt w:val="lowerLetter"/>
      <w:start w:val="1"/>
    </w:lvl>
  </w:abstractNum>
  <w:abstractNum w:abstractNumId="90">
    <w:nsid w:val="14FCE74E"/>
    <w:multiLevelType w:val="hybridMultilevel"/>
    <w:lvl w:ilvl="0">
      <w:lvlJc w:val="left"/>
      <w:lvlText w:val="(%1)"/>
      <w:numFmt w:val="lowerLetter"/>
      <w:start w:val="1"/>
    </w:lvl>
  </w:abstractNum>
  <w:abstractNum w:abstractNumId="91">
    <w:nsid w:val="6A3DD3E8"/>
    <w:multiLevelType w:val="hybridMultilevel"/>
    <w:lvl w:ilvl="0">
      <w:lvlJc w:val="left"/>
      <w:lvlText w:val="%1"/>
      <w:numFmt w:val="decimal"/>
      <w:start w:val="21"/>
    </w:lvl>
  </w:abstractNum>
  <w:abstractNum w:abstractNumId="92">
    <w:nsid w:val="71C91298"/>
    <w:multiLevelType w:val="hybridMultilevel"/>
    <w:lvl w:ilvl="0">
      <w:lvlJc w:val="left"/>
      <w:lvlText w:val="(%1)"/>
      <w:numFmt w:val="lowerLetter"/>
      <w:start w:val="1"/>
    </w:lvl>
  </w:abstractNum>
  <w:abstractNum w:abstractNumId="93">
    <w:nsid w:val="9DAF632"/>
    <w:multiLevelType w:val="hybridMultilevel"/>
    <w:lvl w:ilvl="0">
      <w:lvlJc w:val="left"/>
      <w:lvlText w:val="%1"/>
      <w:numFmt w:val="decimal"/>
      <w:start w:val="28"/>
    </w:lvl>
  </w:abstractNum>
  <w:abstractNum w:abstractNumId="94">
    <w:nsid w:val="53299938"/>
    <w:multiLevelType w:val="hybridMultilevel"/>
    <w:lvl w:ilvl="0">
      <w:lvlJc w:val="left"/>
      <w:lvlText w:val="(%1)"/>
      <w:numFmt w:val="lowerLetter"/>
      <w:start w:val="1"/>
    </w:lvl>
  </w:abstractNum>
  <w:abstractNum w:abstractNumId="95">
    <w:nsid w:val="1FBFE8E0"/>
    <w:multiLevelType w:val="hybridMultilevel"/>
    <w:lvl w:ilvl="0">
      <w:lvlJc w:val="left"/>
      <w:lvlText w:val="%1"/>
      <w:numFmt w:val="decimal"/>
      <w:start w:val="32"/>
    </w:lvl>
    <w:lvl w:ilvl="1">
      <w:lvlJc w:val="left"/>
      <w:lvlText w:val="(%2)"/>
      <w:numFmt w:val="lowerLetter"/>
      <w:start w:val="1"/>
    </w:lvl>
  </w:abstractNum>
  <w:abstractNum w:abstractNumId="96">
    <w:nsid w:val="5092CA79"/>
    <w:multiLevelType w:val="hybridMultilevel"/>
    <w:lvl w:ilvl="0">
      <w:lvlJc w:val="left"/>
      <w:lvlText w:val="%1"/>
      <w:numFmt w:val="decimal"/>
      <w:start w:val="34"/>
    </w:lvl>
  </w:abstractNum>
  <w:abstractNum w:abstractNumId="97">
    <w:nsid w:val="1D545C4D"/>
    <w:multiLevelType w:val="hybridMultilevel"/>
    <w:lvl w:ilvl="0">
      <w:lvlJc w:val="left"/>
      <w:lvlText w:val="%1"/>
      <w:numFmt w:val="decimal"/>
      <w:start w:val="36"/>
    </w:lvl>
  </w:abstractNum>
  <w:abstractNum w:abstractNumId="98">
    <w:nsid w:val="59ADEA3D"/>
    <w:multiLevelType w:val="hybridMultilevel"/>
    <w:lvl w:ilvl="0">
      <w:lvlJc w:val="left"/>
      <w:lvlText w:val="%1"/>
      <w:numFmt w:val="decimal"/>
      <w:start w:val="38"/>
    </w:lvl>
  </w:abstractNum>
  <w:abstractNum w:abstractNumId="99">
    <w:nsid w:val="288F1A34"/>
    <w:multiLevelType w:val="hybridMultilevel"/>
    <w:lvl w:ilvl="0">
      <w:lvlJc w:val="left"/>
      <w:lvlText w:val="%1"/>
      <w:numFmt w:val="decimal"/>
      <w:start w:val="42"/>
    </w:lvl>
  </w:abstractNum>
  <w:abstractNum w:abstractNumId="100">
    <w:nsid w:val="2A155DBC"/>
    <w:multiLevelType w:val="hybridMultilevel"/>
    <w:lvl w:ilvl="0">
      <w:lvlJc w:val="left"/>
      <w:lvlText w:val="(%1)"/>
      <w:numFmt w:val="lowerLetter"/>
      <w:start w:val="1"/>
    </w:lvl>
  </w:abstractNum>
  <w:abstractNum w:abstractNumId="101">
    <w:nsid w:val="1D9F6E5F"/>
    <w:multiLevelType w:val="hybridMultilevel"/>
    <w:lvl w:ilvl="0">
      <w:lvlJc w:val="left"/>
      <w:lvlText w:val="(%1)"/>
      <w:numFmt w:val="lowerLetter"/>
      <w:start w:val="4"/>
    </w:lvl>
  </w:abstractNum>
  <w:abstractNum w:abstractNumId="102">
    <w:nsid w:val="97E1B4E"/>
    <w:multiLevelType w:val="hybridMultilevel"/>
    <w:lvl w:ilvl="0">
      <w:lvlJc w:val="left"/>
      <w:lvlText w:val="(%1)"/>
      <w:numFmt w:val="lowerLetter"/>
      <w:start w:val="1"/>
    </w:lvl>
  </w:abstractNum>
  <w:abstractNum w:abstractNumId="103">
    <w:nsid w:val="51088277"/>
    <w:multiLevelType w:val="hybridMultilevel"/>
    <w:lvl w:ilvl="0">
      <w:lvlJc w:val="left"/>
      <w:lvlText w:val="%1"/>
      <w:numFmt w:val="decimal"/>
      <w:start w:val="48"/>
    </w:lvl>
  </w:abstractNum>
  <w:abstractNum w:abstractNumId="104">
    <w:nsid w:val="1CA0C5FA"/>
    <w:multiLevelType w:val="hybridMultilevel"/>
    <w:lvl w:ilvl="0">
      <w:lvlJc w:val="left"/>
      <w:lvlText w:val="(%1)"/>
      <w:numFmt w:val="decimal"/>
      <w:start w:val="3"/>
    </w:lvl>
  </w:abstractNum>
  <w:abstractNum w:abstractNumId="105">
    <w:nsid w:val="53584BCB"/>
    <w:multiLevelType w:val="hybridMultilevel"/>
    <w:lvl w:ilvl="0">
      <w:lvlJc w:val="left"/>
      <w:lvlText w:val="(%1)"/>
      <w:numFmt w:val="lowerRoman"/>
      <w:start w:val="3"/>
    </w:lvl>
  </w:abstractNum>
  <w:abstractNum w:abstractNumId="106">
    <w:nsid w:val="415E286C"/>
    <w:multiLevelType w:val="hybridMultilevel"/>
    <w:lvl w:ilvl="0">
      <w:lvlJc w:val="left"/>
      <w:lvlText w:val="(%1)"/>
      <w:numFmt w:val="upperLetter"/>
      <w:start w:val="2"/>
    </w:lvl>
  </w:abstractNum>
  <w:abstractNum w:abstractNumId="107">
    <w:nsid w:val="7C58FD05"/>
    <w:multiLevelType w:val="hybridMultilevel"/>
    <w:lvl w:ilvl="0">
      <w:lvlJc w:val="left"/>
      <w:lvlText w:val="(%1)"/>
      <w:numFmt w:val="lowerLetter"/>
      <w:start w:val="1"/>
    </w:lvl>
  </w:abstractNum>
  <w:abstractNum w:abstractNumId="108">
    <w:nsid w:val="23D86AAC"/>
    <w:multiLevelType w:val="hybridMultilevel"/>
    <w:lvl w:ilvl="0">
      <w:lvlJc w:val="left"/>
      <w:lvlText w:val="(%1)"/>
      <w:numFmt w:val="upperLetter"/>
      <w:start w:val="2"/>
    </w:lvl>
  </w:abstractNum>
  <w:abstractNum w:abstractNumId="109">
    <w:nsid w:val="45E6D486"/>
    <w:multiLevelType w:val="hybridMultilevel"/>
    <w:lvl w:ilvl="0">
      <w:lvlJc w:val="left"/>
      <w:lvlText w:val="(%1)"/>
      <w:numFmt w:val="decimal"/>
      <w:start w:val="90"/>
    </w:lvl>
  </w:abstractNum>
  <w:abstractNum w:abstractNumId="110">
    <w:nsid w:val="5C10FE21"/>
    <w:multiLevelType w:val="hybridMultilevel"/>
    <w:lvl w:ilvl="0">
      <w:lvlJc w:val="left"/>
      <w:lvlText w:val="%1."/>
      <w:numFmt w:val="decimal"/>
      <w:start w:val="1"/>
    </w:lvl>
  </w:abstractNum>
  <w:abstractNum w:abstractNumId="111">
    <w:nsid w:val="E7FFA2B"/>
    <w:multiLevelType w:val="hybridMultilevel"/>
    <w:lvl w:ilvl="0">
      <w:lvlJc w:val="left"/>
      <w:lvlText w:val="%1"/>
      <w:numFmt w:val="decimal"/>
      <w:start w:val="107"/>
    </w:lvl>
  </w:abstractNum>
  <w:abstractNum w:abstractNumId="112">
    <w:nsid w:val="3C5991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3">
    <w:nsid w:val="4BD8591A"/>
    <w:multiLevelType w:val="hybridMultilevel"/>
    <w:lvl w:ilvl="0">
      <w:lvlJc w:val="left"/>
      <w:lvlText w:val="%1."/>
      <w:numFmt w:val="decimal"/>
      <w:start w:val="2"/>
    </w:lvl>
  </w:abstractNum>
  <w:abstractNum w:abstractNumId="114">
    <w:nsid w:val="78DF6A55"/>
    <w:multiLevelType w:val="hybridMultilevel"/>
    <w:lvl w:ilvl="0">
      <w:lvlJc w:val="left"/>
      <w:lvlText w:val="%1."/>
      <w:numFmt w:val="upperLetter"/>
      <w:start w:val="1"/>
    </w:lvl>
  </w:abstractNum>
  <w:abstractNum w:abstractNumId="115">
    <w:nsid w:val="39B7AAA2"/>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jpe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jpeg"/><Relationship Id="rId235" Type="http://schemas.openxmlformats.org/officeDocument/2006/relationships/image" Target="media/image225.png"/><Relationship Id="rId236" Type="http://schemas.openxmlformats.org/officeDocument/2006/relationships/image" Target="media/image226.jpe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jpeg"/><Relationship Id="rId242" Type="http://schemas.openxmlformats.org/officeDocument/2006/relationships/image" Target="media/image232.png"/><Relationship Id="rId243" Type="http://schemas.openxmlformats.org/officeDocument/2006/relationships/image" Target="media/image233.jpeg"/><Relationship Id="rId244" Type="http://schemas.openxmlformats.org/officeDocument/2006/relationships/image" Target="media/image234.png"/><Relationship Id="rId245" Type="http://schemas.openxmlformats.org/officeDocument/2006/relationships/image" Target="media/image235.png"/><Relationship Id="rId145" Type="http://schemas.openxmlformats.org/officeDocument/2006/relationships/hyperlink" Target="https://www.sec.gov/ix?doc=/Archives/edgar/data/1850270/000095017025040483/prok-20241231.htm" TargetMode="External"/><Relationship Id="rId146" Type="http://schemas.openxmlformats.org/officeDocument/2006/relationships/hyperlink" Target="https://www.sec.gov/ix?doc=/Archives/edgar/data/1850270/000095017025007217/prok-20250117.htm" TargetMode="External"/><Relationship Id="rId147" Type="http://schemas.openxmlformats.org/officeDocument/2006/relationships/hyperlink" Target="https://www.sec.gov/Archives/edgar/data/1850270/000119312521202749/d179568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2025-03-31T17:39:14Z</dcterms:created>
  <dcterms:modified xsi:type="dcterms:W3CDTF">2025-03-31T17:39:14Z</dcterms:modified>
</cp:coreProperties>
</file>