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001-40560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98-1586514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2000 Frontis Plaza Blvd.</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Suite 250</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Winston-Salem, North Carolina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27103</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336 999-7019</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PROK</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8"/>
          <w:szCs w:val="18"/>
          <w:color w:val="auto"/>
        </w:rPr>
        <w:t>On July 14, 2025, ProKidney Corp. (the “Company”) entered into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(the “Sales Agreement”) with Jefferies LLC (the “Sales Agent”), pursuant to which the Company may offer and sell, from time to time, shares (the “Shares”) of its Class A common stock, par value $0.0001 per share (the “Common Stock”), having an aggregate offering price of up to $200,000,000 through the Sales Agent, acting as agent.</w:t>
      </w:r>
    </w:p>
    <w:p>
      <w:pPr>
        <w:spacing w:after="0" w:line="19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Pursuant to the Sales Agreement, sales of the Shares may be made by any method permitted that is deemed to be an “at the market” offering as defined in Rule 415(a)(4) under the Securities Act of 1933, as amended (the “Securities Act”), in ordinary brokers’ transactions, to or through a market maker, on or through The Nasdaq Capital Market or any other market venue where the securities may be traded, in the over-the-counter market, in privately negotiated transactions or through a combination of any such methods of sale. Under the Sales Agreement, the Sales Agent will be entitled to compensation of up to 3.0% of the gross offering proceeds of all Shares sold through it pursuant to the Sales Agreement. The Company also will reimburse the Sales Agent for certain specified expenses in connection with entering into the Sales Agreement. The Company has no obligation to sell any of the Shares under the Sales Agreement and may at any time and from time to time suspend the offering of the Shares under the Sales Agreement.</w:t>
      </w:r>
    </w:p>
    <w:p>
      <w:pPr>
        <w:spacing w:after="0" w:line="17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Sales Agreement contains customary representations, warranties and covenants by the Company. The Company also agreed to provide indemnification and contribution to the Sales Agent against certain liabilities, including under the Securities Act and the Securities Exchange Act of 1934, as amended. From time to time, in the ordinary course of business, the Sales Agent has provided, and in the future may provide, various financial advisory and investment banking services to the Company, for which they have received or will receive customary fees and reimbursement of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sales of Shares under the Sales Agreement will be made pursuant to the Company’s shelf registration statement on Form S-3,</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(File No. 333-275701), including the related prospectus, initially filed with the Securities and Exchange Commission on November 22, 2023 and initially declared effective on November 30, 2023, and as amended by that certain post-effective amendment No. 1 filed with the SEC on July 3, 2025, and declared effective on July 7, 2025 (the “Registration Statement”), and any applicable prospectus supplements that form a part of the Registration Statement.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certain provisions of the Sales Agreement does not purport to be complete and is qualified in its entirety by reference to the Sales Agreement, which is filed as Exhibit 1.1 to this Current Report on Form 8-K and is incorporated herein by reference.</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copy of the opinion of Mintz, Levin, Cohn, Ferris, Glovsky &amp; Popeo, P.C. relating to the validity of the Shares to be issued pursuant to the Sales Agreement is filed herewith as Exhibit 5.1 hereto.</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common stock discussed herein, nor shall there be any offer, solicitation, or sale of the common stock in any jurisdiction in which such offer, solicitation or sale would be unlawful prior to registration or qualification under the securities laws of any such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2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Effective July 14, 2025,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dated January 19, 2024 by and between the Company and the Sales Agent (the “2024 Sales Agreement”) was mutually terminated. Under the 2024 Sales Agreement, the Company could sell from time to time, at its option, its Class A ordinary shares by any method that was deemed to be an “at the market offering” as defined in Rule 415(a)(4) under the Securities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2024 Sales Agreement was terminated in connection with the Company’s entry into the new Sales Agreement.</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2024 Sales Agreement is not complete and is qualified in its entirety by reference to the full text of the 2024 Sales Agreement, a copy of which is filed as Exhibit 1.1 to the Company’s Report on </w:t>
      </w:r>
      <w:r>
        <w:rPr>
          <w:rFonts w:ascii="Times New Roman" w:cs="Times New Roman" w:eastAsia="Times New Roman" w:hAnsi="Times New Roman"/>
          <w:sz w:val="18"/>
          <w:szCs w:val="18"/>
          <w:u w:val="single" w:color="auto"/>
          <w:color w:val="auto"/>
        </w:rPr>
        <w:t>Form 8-K filed with the SEC on January 19, 2024</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 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filed a prospectus supplement (the “ATM Prospectus Supplement”) to the Registration Statement in connection with its Sales Agreement. Pursuant to the ATM Prospectus Supplement, the Company may, at its discretion from time to time, sell up to $200 million of Common Stock under its “at the market”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76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226"/>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w:t>
            </w:r>
          </w:p>
        </w:tc>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8"/>
              </w:rPr>
              <w:t>Open Market Sale Agreement</w:t>
            </w:r>
          </w:p>
        </w:tc>
        <w:tc>
          <w:tcPr>
            <w:tcW w:w="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SM</w:t>
            </w:r>
          </w:p>
        </w:tc>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9"/>
              </w:rPr>
              <w:t>dated July 14, 2025, by and between ProKidney Corp. and Jefferies LLC</w:t>
            </w:r>
          </w:p>
        </w:tc>
        <w:tc>
          <w:tcPr>
            <w:tcW w:w="0" w:type="dxa"/>
            <w:vAlign w:val="bottom"/>
          </w:tcPr>
          <w:p>
            <w:pPr>
              <w:spacing w:after="0"/>
              <w:rPr>
                <w:sz w:val="1"/>
                <w:szCs w:val="1"/>
                <w:color w:val="auto"/>
              </w:rPr>
            </w:pPr>
          </w:p>
        </w:tc>
      </w:tr>
      <w:tr>
        <w:trPr>
          <w:trHeight w:val="21"/>
        </w:trPr>
        <w:tc>
          <w:tcPr>
            <w:tcW w:w="1420" w:type="dxa"/>
            <w:vAlign w:val="bottom"/>
            <w:vMerge w:val="continue"/>
          </w:tcPr>
          <w:p>
            <w:pPr>
              <w:spacing w:after="0" w:line="20" w:lineRule="exact"/>
              <w:rPr>
                <w:sz w:val="1"/>
                <w:szCs w:val="1"/>
                <w:color w:val="auto"/>
              </w:rPr>
            </w:pPr>
          </w:p>
        </w:tc>
        <w:tc>
          <w:tcPr>
            <w:tcW w:w="2140" w:type="dxa"/>
            <w:vAlign w:val="bottom"/>
            <w:tcBorders>
              <w:bottom w:val="single" w:sz="8" w:color="0000EE"/>
            </w:tcBorders>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40" w:type="dxa"/>
            <w:vAlign w:val="bottom"/>
            <w:tcBorders>
              <w:bottom w:val="single" w:sz="8" w:color="0000EE"/>
            </w:tcBorders>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Opinion of Mintz, Levin, Cohn, Ferris, Glovsky &amp; Popeo, P.C.</w:t>
            </w:r>
          </w:p>
        </w:tc>
        <w:tc>
          <w:tcPr>
            <w:tcW w:w="3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6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Mintz, Levin, Cohn, Ferris, Glovsky &amp; Popeo, P.C. (contained in Exhibit 5.1 hereto)</w:t>
            </w:r>
          </w:p>
        </w:tc>
        <w:tc>
          <w:tcPr>
            <w:tcW w:w="0" w:type="dxa"/>
            <w:vAlign w:val="bottom"/>
          </w:tcPr>
          <w:p>
            <w:pPr>
              <w:spacing w:after="0"/>
              <w:rPr>
                <w:sz w:val="1"/>
                <w:szCs w:val="1"/>
                <w:color w:val="auto"/>
              </w:rPr>
            </w:pPr>
          </w:p>
        </w:tc>
      </w:tr>
      <w:tr>
        <w:trPr>
          <w:trHeight w:val="34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9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440" w:top="293" w:right="81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PROKIDNEY CORP.</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July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Girolamo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Todd Girolamo</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OPEN MARKET SALE AGREEMENT</w:t>
      </w:r>
      <w:r>
        <w:rPr>
          <w:rFonts w:ascii="Times New Roman" w:cs="Times New Roman" w:eastAsia="Times New Roman" w:hAnsi="Times New Roman"/>
          <w:sz w:val="26"/>
          <w:szCs w:val="26"/>
          <w:b w:val="1"/>
          <w:bCs w:val="1"/>
          <w:color w:val="auto"/>
          <w:vertAlign w:val="superscript"/>
        </w:rPr>
        <w:t>SM</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14,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t>ProKidney Corp.,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shares of the Company’s Class A common stock, par value $0.0001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having an aggregate offering price of up to $200,000,000 on the terms set forth 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121" w:lineRule="exact"/>
        <w:rPr>
          <w:sz w:val="20"/>
          <w:szCs w:val="20"/>
          <w:color w:val="auto"/>
        </w:rPr>
      </w:pPr>
    </w:p>
    <w:p>
      <w:pPr>
        <w:ind w:right="720" w:firstLine="436"/>
        <w:spacing w:after="0" w:line="282" w:lineRule="auto"/>
        <w:tabs>
          <w:tab w:leader="none" w:pos="6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capitalized terms used herein and not otherwise defined shall have the following respective meanings:</w:t>
      </w:r>
    </w:p>
    <w:p>
      <w:pPr>
        <w:spacing w:after="0" w:line="158"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Agency Period</w:t>
      </w:r>
      <w:r>
        <w:rPr>
          <w:rFonts w:ascii="Times New Roman" w:cs="Times New Roman" w:eastAsia="Times New Roman" w:hAnsi="Times New Roman"/>
          <w:sz w:val="18"/>
          <w:szCs w:val="18"/>
          <w:color w:val="auto"/>
        </w:rPr>
        <w:t xml:space="preserve">” means the period commencing on the date of this Agreement and expiring on the earliest to occur of (x) the date on which the Agent shall have placed the Maximum Program Amount (as defined below) pursuant to this Agreement and (y) the date this Agreement is terminated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ind w:right="4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the minimum price set by the Company in the Issuance Notice below which the Agent shall not sell Shares during the applicable period set forth in the applicable Issuance Notice, which may be adjusted by the Company at any time during the period set forth in the applicable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SM</w:t>
      </w:r>
      <w:r>
        <w:rPr>
          <w:sz w:val="20"/>
          <w:szCs w:val="20"/>
          <w:color w:val="auto"/>
        </w:rPr>
        <w:tab/>
      </w:r>
      <w:r>
        <w:rPr>
          <w:rFonts w:ascii="Times New Roman" w:cs="Times New Roman" w:eastAsia="Times New Roman" w:hAnsi="Times New Roman"/>
          <w:sz w:val="18"/>
          <w:szCs w:val="18"/>
          <w:color w:val="auto"/>
        </w:rPr>
        <w:t>“Open Market Sale Agreement” is a service mark of Jefferies LLC</w:t>
      </w:r>
    </w:p>
    <w:p>
      <w:pPr>
        <w:sectPr>
          <w:pgSz w:w="11900" w:h="16838" w:orient="portrait"/>
          <w:cols w:equalWidth="0" w:num="1">
            <w:col w:w="11020"/>
          </w:cols>
          <w:pgMar w:left="440" w:top="117" w:right="43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Issuance Amount</w:t>
      </w:r>
      <w:r>
        <w:rPr>
          <w:rFonts w:ascii="Times New Roman" w:cs="Times New Roman" w:eastAsia="Times New Roman" w:hAnsi="Times New Roman"/>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xml:space="preserve">” means a written notice delivered to the Agent by the Company in accordance with this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that is executed by its Chief Executive Officer, President or Chief Financial Officer.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 Date</w:t>
      </w:r>
      <w:r>
        <w:rPr>
          <w:rFonts w:ascii="Times New Roman" w:cs="Times New Roman" w:eastAsia="Times New Roman" w:hAnsi="Times New Roman"/>
          <w:sz w:val="18"/>
          <w:szCs w:val="18"/>
          <w:color w:val="auto"/>
        </w:rPr>
        <w:t xml:space="preserve">” means any Trading Day during the Agency Period that an Issuance Notice is delivered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Price</w:t>
      </w:r>
      <w:r>
        <w:rPr>
          <w:rFonts w:ascii="Times New Roman" w:cs="Times New Roman" w:eastAsia="Times New Roman" w:hAnsi="Times New Roman"/>
          <w:sz w:val="18"/>
          <w:szCs w:val="18"/>
          <w:color w:val="auto"/>
        </w:rPr>
        <w:t>” means the Sales Price less the Selling Commission.</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Program Amount</w:t>
      </w:r>
      <w:r>
        <w:rPr>
          <w:rFonts w:ascii="Times New Roman" w:cs="Times New Roman" w:eastAsia="Times New Roman" w:hAnsi="Times New Roman"/>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2"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 or such other national securities exchange on which the Common Shares, including any Shares, are then listed.</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means any registration statement filed by the Company pursuant to Rule 462(b) under the Securities Act in connection with the offer and sale of Shares.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Price</w:t>
      </w:r>
      <w:r>
        <w:rPr>
          <w:rFonts w:ascii="Times New Roman" w:cs="Times New Roman" w:eastAsia="Times New Roman" w:hAnsi="Times New Roman"/>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Commission</w:t>
      </w:r>
      <w:r>
        <w:rPr>
          <w:rFonts w:ascii="Times New Roman" w:cs="Times New Roman" w:eastAsia="Times New Roman" w:hAnsi="Times New Roman"/>
          <w:sz w:val="18"/>
          <w:szCs w:val="18"/>
          <w:color w:val="auto"/>
        </w:rPr>
        <w:t>” means up to three percent (3%) of the gross proceeds of Shares sold pursuant to this Agreement, or as otherwise agreed between the Company and the Agent with respect to any Shares sold pursuant to this Agreement.</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6" w:name="page7"/>
    <w:bookmarkEnd w:id="6"/>
    <w:p>
      <w:pPr>
        <w:ind w:left="4" w:right="20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means the first business day, or such other time period as required by the Exchange Act or by the rules promulgated thereunder, following each Trading Day during the period set forth in the applicable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mean the Company’s Common Shares issued or issuable pursuant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Principal Market is open for trading.</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 REPRESENTATIONS AND WARRANTIES OF THE COMPANY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represents and warrants to, and agrees with, the Agent that as of (1) the date of this Agreement, (2) each Issuance Notice Date,</w:t>
      </w:r>
    </w:p>
    <w:p>
      <w:pPr>
        <w:spacing w:after="0" w:line="27" w:lineRule="exact"/>
        <w:rPr>
          <w:sz w:val="20"/>
          <w:szCs w:val="20"/>
          <w:color w:val="auto"/>
        </w:rPr>
      </w:pPr>
    </w:p>
    <w:p>
      <w:pPr>
        <w:ind w:left="4" w:right="500" w:hanging="4"/>
        <w:spacing w:after="0" w:line="255"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Settlement Date, (4) each Triggering Event Date (as defined below) and (5) as of each Time of Sale (as defined below) (each of the times referenced above is referred to herein as a “</w:t>
      </w:r>
      <w:r>
        <w:rPr>
          <w:rFonts w:ascii="Times New Roman" w:cs="Times New Roman" w:eastAsia="Times New Roman" w:hAnsi="Times New Roman"/>
          <w:sz w:val="18"/>
          <w:szCs w:val="18"/>
          <w:b w:val="1"/>
          <w:bCs w:val="1"/>
          <w:color w:val="auto"/>
        </w:rPr>
        <w:t>Representation Date</w:t>
      </w:r>
      <w:r>
        <w:rPr>
          <w:rFonts w:ascii="Times New Roman" w:cs="Times New Roman" w:eastAsia="Times New Roman" w:hAnsi="Times New Roman"/>
          <w:sz w:val="18"/>
          <w:szCs w:val="18"/>
          <w:color w:val="auto"/>
        </w:rPr>
        <w:t>”), except as may be disclosed in the Prospectus (including any documents incorporated by reference therein and any supplements thereto) on or before a Representation Date:</w:t>
      </w:r>
    </w:p>
    <w:p>
      <w:pPr>
        <w:spacing w:after="0" w:line="77" w:lineRule="exact"/>
        <w:rPr>
          <w:rFonts w:ascii="Times New Roman" w:cs="Times New Roman" w:eastAsia="Times New Roman" w:hAnsi="Times New Roman"/>
          <w:sz w:val="18"/>
          <w:szCs w:val="18"/>
          <w:color w:val="auto"/>
        </w:rPr>
      </w:pPr>
    </w:p>
    <w:p>
      <w:pPr>
        <w:ind w:left="4" w:firstLine="436"/>
        <w:spacing w:after="0" w:line="252" w:lineRule="auto"/>
        <w:tabs>
          <w:tab w:leader="none" w:pos="68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Commission a shelf registration statement on Form S-3, as amended by a post-effective amendment thereto (File No. 333-275701),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18"/>
          <w:szCs w:val="18"/>
          <w:b w:val="1"/>
          <w:bCs w:val="1"/>
          <w:color w:val="auto"/>
        </w:rPr>
        <w:t>Original Registration Statement</w:t>
      </w:r>
      <w:r>
        <w:rPr>
          <w:rFonts w:ascii="Times New Roman" w:cs="Times New Roman" w:eastAsia="Times New Roman" w:hAnsi="Times New Roman"/>
          <w:sz w:val="18"/>
          <w:szCs w:val="18"/>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7" w:name="page8"/>
    <w:bookmarkEnd w:id="7"/>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At the time the Registration Statement was or will be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72" w:lineRule="exact"/>
        <w:rPr>
          <w:sz w:val="20"/>
          <w:szCs w:val="20"/>
          <w:color w:val="auto"/>
        </w:rPr>
      </w:pPr>
    </w:p>
    <w:p>
      <w:pPr>
        <w:ind w:right="120" w:firstLine="436"/>
        <w:spacing w:after="0" w:line="25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Original Registration Statement, as amended by Post-Effective Amendment No. 1 thereto, has been declared effective by the Commission under the Securities Act and any Rule 462(b) Registration Statement will be declared effective by the Commission under the Securities Act prior to the first Issuance Notice. The Company will comply and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7"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The Prospectus when filed complied and will comply in all material respects with the Securities Act and, if filed with the Commission through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18"/>
          <w:szCs w:val="18"/>
          <w:b w:val="1"/>
          <w:bCs w:val="1"/>
          <w:color w:val="auto"/>
        </w:rPr>
        <w:t>Time of Sale Information</w:t>
      </w:r>
      <w:r>
        <w:rPr>
          <w:rFonts w:ascii="Times New Roman" w:cs="Times New Roman" w:eastAsia="Times New Roman" w:hAnsi="Times New Roman"/>
          <w:sz w:val="18"/>
          <w:szCs w:val="18"/>
          <w:color w:val="auto"/>
        </w:rPr>
        <w:t>”) did not contain any untrue statement of a material fact or omit to state a material fact necessary to make the statements therein, in the light of the circumstances under which they were made, not misleading. The Prospectus, as amended or supplemented, as of its date and at all subsequent times,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consists of the Agent Information (defined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68" w:lineRule="exact"/>
        <w:rPr>
          <w:sz w:val="20"/>
          <w:szCs w:val="20"/>
          <w:color w:val="auto"/>
        </w:rPr>
      </w:pPr>
    </w:p>
    <w:p>
      <w:pPr>
        <w:ind w:right="40" w:firstLine="436"/>
        <w:spacing w:after="0" w:line="253"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Ineligible Issuer Status</w:t>
      </w:r>
      <w:r>
        <w:rPr>
          <w:rFonts w:ascii="Times New Roman" w:cs="Times New Roman" w:eastAsia="Times New Roman" w:hAnsi="Times New Roman"/>
          <w:sz w:val="18"/>
          <w:szCs w:val="18"/>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written consent, which consent shall not be unreasonably withheld or conditioned, prepare, use or refer to, any Free Writing Prospectus.</w:t>
      </w:r>
    </w:p>
    <w:p>
      <w:pPr>
        <w:spacing w:after="0" w:line="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The Company is an “emerging growth company,” as defined in Section 2(a) of the Securities Act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40" w:firstLine="436"/>
        <w:spacing w:after="0" w:line="261"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right="60" w:firstLine="436"/>
        <w:spacing w:after="0" w:line="256" w:lineRule="auto"/>
        <w:tabs>
          <w:tab w:leader="none" w:pos="6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9" w:name="page10"/>
    <w:bookmarkEnd w:id="9"/>
    <w:p>
      <w:pPr>
        <w:ind w:left="-20" w:right="60" w:firstLine="436"/>
        <w:spacing w:after="0" w:line="266"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Statistical and Market-Related Data</w:t>
      </w:r>
      <w:r>
        <w:rPr>
          <w:rFonts w:ascii="Times New Roman" w:cs="Times New Roman" w:eastAsia="Times New Roman" w:hAnsi="Times New Roman"/>
          <w:sz w:val="18"/>
          <w:szCs w:val="18"/>
          <w:color w:val="auto"/>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67"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 Deficiencies in or Changes to Internal Control Over Financial Reporting</w:t>
      </w:r>
      <w:r>
        <w:rPr>
          <w:rFonts w:ascii="Times New Roman" w:cs="Times New Roman" w:eastAsia="Times New Roman" w:hAnsi="Times New Roman"/>
          <w:sz w:val="18"/>
          <w:szCs w:val="18"/>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83"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20" w:right="220" w:firstLine="436"/>
        <w:spacing w:after="0" w:line="26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Shares</w:t>
      </w:r>
      <w:r>
        <w:rPr>
          <w:rFonts w:ascii="Times New Roman" w:cs="Times New Roman" w:eastAsia="Times New Roman" w:hAnsi="Times New Roman"/>
          <w:sz w:val="18"/>
          <w:szCs w:val="18"/>
          <w:color w:val="auto"/>
        </w:rPr>
        <w:t>. The Shares have been duly authorized for issuance and sale pursuant to this Agreement and, when issued and delivered by the Company against payment therefor pursuant to this Agreement, will be validly issued, fully paid and nonassessable, free and clear of any security interest, mortgage, pledge, lien, encumbrance or adverse claim, and the issuance and sale of the Shares is not subject to any preemptive rights, rights of first refusal or other similar rights to subscribe for or purchase the Shares.</w:t>
      </w:r>
    </w:p>
    <w:p>
      <w:pPr>
        <w:spacing w:after="0" w:line="71"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 or satisfied prior to the date hereof.</w:t>
      </w:r>
    </w:p>
    <w:p>
      <w:pPr>
        <w:spacing w:after="0" w:line="67" w:lineRule="exact"/>
        <w:rPr>
          <w:rFonts w:ascii="Times New Roman" w:cs="Times New Roman" w:eastAsia="Times New Roman" w:hAnsi="Times New Roman"/>
          <w:sz w:val="18"/>
          <w:szCs w:val="18"/>
          <w:color w:val="auto"/>
        </w:rPr>
      </w:pPr>
    </w:p>
    <w:p>
      <w:pPr>
        <w:ind w:left="-20" w:right="100" w:firstLine="436"/>
        <w:spacing w:after="0" w:line="25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(ii) the Company and its subsidiaries, considered as one entity, have not incurred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10" w:name="page11"/>
    <w:bookmarkEnd w:id="10"/>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81" w:lineRule="exact"/>
        <w:rPr>
          <w:sz w:val="20"/>
          <w:szCs w:val="20"/>
          <w:color w:val="auto"/>
        </w:rPr>
      </w:pPr>
    </w:p>
    <w:p>
      <w:pPr>
        <w:ind w:firstLine="436"/>
        <w:spacing w:after="0" w:line="256" w:lineRule="auto"/>
        <w:tabs>
          <w:tab w:leader="none" w:pos="7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Ernst &amp; Young LLP, which has expressed its opinion with respect to the financial statements (which term as used in this Agreement includes the related notes thereto)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79" w:lineRule="exact"/>
        <w:rPr>
          <w:rFonts w:ascii="Times New Roman" w:cs="Times New Roman" w:eastAsia="Times New Roman" w:hAnsi="Times New Roman"/>
          <w:sz w:val="18"/>
          <w:szCs w:val="18"/>
          <w:color w:val="auto"/>
        </w:rPr>
      </w:pPr>
    </w:p>
    <w:p>
      <w:pPr>
        <w:ind w:right="20" w:firstLine="436"/>
        <w:spacing w:after="0" w:line="252"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filed with the Commission as a part of the Registration Statement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and except in the case of unaudited financial statements, which are subject to normal and recurring year-end adjustments and do not contain all footnotes as permitted by the applicable rules of the Commission.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financial data set forth in each of the Registration Statement and the Prospectus fairly present the information set forth therein on a basis consistent with that of the audited financial statements contained in the Registration Statement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ind w:firstLine="436"/>
        <w:spacing w:after="0" w:line="254"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Accounting System</w:t>
      </w:r>
      <w:r>
        <w:rPr>
          <w:rFonts w:ascii="Times New Roman" w:cs="Times New Roman" w:eastAsia="Times New Roman" w:hAnsi="Times New Roman"/>
          <w:sz w:val="18"/>
          <w:szCs w:val="18"/>
          <w:color w:val="auto"/>
        </w:rPr>
        <w:t>. The Company and each of its subsidiaries make and keep books and records that are accurate in all material respects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81" w:lineRule="exact"/>
        <w:rPr>
          <w:rFonts w:ascii="Times New Roman" w:cs="Times New Roman" w:eastAsia="Times New Roman" w:hAnsi="Times New Roman"/>
          <w:sz w:val="18"/>
          <w:szCs w:val="18"/>
          <w:color w:val="auto"/>
        </w:rPr>
      </w:pPr>
    </w:p>
    <w:p>
      <w:pPr>
        <w:ind w:right="140" w:firstLine="436"/>
        <w:spacing w:after="0" w:line="257"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has been duly incorporated and is validly existing as a corporation in good standing (where such concept is recognized)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each jurisdiction in which such qualification is required, whether by reason of the ownership or leasing of property or the conduct of business, except where the failure to be so qualified or in good standing, as the case may be, would not result in a Material Adverse Change.</w:t>
      </w:r>
    </w:p>
    <w:p>
      <w:pPr>
        <w:spacing w:after="0" w:line="76"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(where such concept is recognized)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(where such concept is recognized) in each jurisdiction in which such qualification is required, whether by reason of the ownership or leasing of property or the conduct of business, except where the failure to be so qualified or in good standing, as the case may be, would not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21.1 to Post-Effective Amendment No. 1 to the Registration Statement, filed on July 7, 2025.</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left="-20" w:right="20" w:firstLine="436"/>
        <w:spacing w:after="0" w:line="253" w:lineRule="auto"/>
        <w:tabs>
          <w:tab w:leader="none" w:pos="6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 and Other Capital Stock Matters</w:t>
      </w:r>
      <w:r>
        <w:rPr>
          <w:rFonts w:ascii="Times New Roman" w:cs="Times New Roman" w:eastAsia="Times New Roman" w:hAnsi="Times New Roman"/>
          <w:sz w:val="18"/>
          <w:szCs w:val="18"/>
          <w:color w:val="auto"/>
        </w:rPr>
        <w:t>. The authorized, issued and outstanding capital stock of the Company is as set forth in the Registration Statement and the Prospectus under the caption “Description of Capital Stock”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applicable federal and state securities laws.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spacing w:after="0" w:line="81" w:lineRule="exact"/>
        <w:rPr>
          <w:rFonts w:ascii="Times New Roman" w:cs="Times New Roman" w:eastAsia="Times New Roman" w:hAnsi="Times New Roman"/>
          <w:sz w:val="18"/>
          <w:szCs w:val="18"/>
          <w:color w:val="auto"/>
        </w:rPr>
      </w:pPr>
    </w:p>
    <w:p>
      <w:pPr>
        <w:ind w:left="-20" w:firstLine="436"/>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75" w:lineRule="exact"/>
        <w:rPr>
          <w:rFonts w:ascii="Times New Roman" w:cs="Times New Roman" w:eastAsia="Times New Roman" w:hAnsi="Times New Roman"/>
          <w:sz w:val="18"/>
          <w:szCs w:val="18"/>
          <w:color w:val="auto"/>
        </w:rPr>
      </w:pPr>
    </w:p>
    <w:p>
      <w:pPr>
        <w:ind w:left="-20" w:right="40" w:firstLine="436"/>
        <w:spacing w:after="0" w:line="253"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of Existing Instruments; No Further Authorizations or Approvals Required</w:t>
      </w:r>
      <w:r>
        <w:rPr>
          <w:rFonts w:ascii="Times New Roman" w:cs="Times New Roman" w:eastAsia="Times New Roman" w:hAnsi="Times New Roman"/>
          <w:sz w:val="18"/>
          <w:szCs w:val="18"/>
          <w:color w:val="auto"/>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for such Defaults as would not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70" w:right="479" w:bottom="1440" w:gutter="0" w:footer="0" w:header="0"/>
        </w:sectPr>
      </w:pPr>
    </w:p>
    <w:bookmarkStart w:id="13" w:name="page14"/>
    <w:bookmarkEnd w:id="13"/>
    <w:p>
      <w:pPr>
        <w:ind w:right="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subsidiaries pursuant to, or require the consent of any other party to, any Existing Instrument, except as would not be expected to result in a Material Adverse Change, and (iii) will not result in any violation of any law, administrative regulation or administrative or court decree applicable to the Company or any of its subsidiaries.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Times New Roman" w:cs="Times New Roman" w:eastAsia="Times New Roman" w:hAnsi="Times New Roman"/>
          <w:sz w:val="17"/>
          <w:szCs w:val="17"/>
          <w:b w:val="1"/>
          <w:bCs w:val="1"/>
          <w:color w:val="auto"/>
        </w:rPr>
        <w:t>Debt Repayment Triggering Event</w:t>
      </w:r>
      <w:r>
        <w:rPr>
          <w:rFonts w:ascii="Times New Roman" w:cs="Times New Roman" w:eastAsia="Times New Roman" w:hAnsi="Times New Roman"/>
          <w:sz w:val="17"/>
          <w:szCs w:val="17"/>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65" w:lineRule="exact"/>
        <w:rPr>
          <w:sz w:val="20"/>
          <w:szCs w:val="20"/>
          <w:color w:val="auto"/>
        </w:rPr>
      </w:pPr>
    </w:p>
    <w:p>
      <w:pPr>
        <w:ind w:left="700" w:hanging="264"/>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Except as otherwise disclosed in the Prospectus, there is no action, suit, proceeding, inquiry or</w:t>
      </w:r>
    </w:p>
    <w:p>
      <w:pPr>
        <w:spacing w:after="0" w:line="27" w:lineRule="exact"/>
        <w:rPr>
          <w:rFonts w:ascii="Times New Roman" w:cs="Times New Roman" w:eastAsia="Times New Roman" w:hAnsi="Times New Roman"/>
          <w:sz w:val="18"/>
          <w:szCs w:val="18"/>
          <w:color w:val="auto"/>
        </w:rPr>
      </w:pPr>
    </w:p>
    <w:p>
      <w:pPr>
        <w:jc w:val="both"/>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 brought by or before any legal or governmental entity now pending or, to the knowledge of the Company, threatened, against or affecting the Company or any of its subsidiaries, which would be expected, individually or in the aggregate, to result in a Material Adverse Change. No material labor dispute with the employees of the Company or any of its subsidiaries, or, to the knowledge of the Company, with the employees of any principal supplier, manufacturer, customer or contractor of the Company, exists or is threatened or imminent.</w:t>
      </w:r>
    </w:p>
    <w:p>
      <w:pPr>
        <w:spacing w:after="0" w:line="80"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otherwise disclosed in the Registration Statement or the Prospectus, the Company and its subsidiaries own, or have obtained valid and enforceable licenses for, the inventions, patent applications, patents, trademarks, trade names, service names, copyrights, trade secrets and other intellectual property described in the Registration Statement and the Prospectus as being owned or licensed by them or which are necessary for the conduct of their respective businesses as currently conducted or as currently proposed to be conducted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and, to the Company’s knowledge, the conduct of their respective businesses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 or one or more of its subsidiaries; and (ii) there is no infringement by third parties of any Intellectual Property. There is no pending or threatened in writing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70" w:right="539" w:bottom="1440" w:gutter="0" w:footer="0" w:header="0"/>
        </w:sectPr>
      </w:pPr>
    </w:p>
    <w:bookmarkStart w:id="14" w:name="page15"/>
    <w:bookmarkEnd w:id="14"/>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The product candidates described in the Registration Statement and the Prospectus as under development by the Company or any subsidiary fall within the scope of the claims of one or more patents owned by, or exclusively licensed to, the Company or any subsidiary.</w:t>
      </w:r>
    </w:p>
    <w:p>
      <w:pPr>
        <w:spacing w:after="0" w:line="71" w:lineRule="exact"/>
        <w:rPr>
          <w:sz w:val="20"/>
          <w:szCs w:val="20"/>
          <w:color w:val="auto"/>
        </w:rPr>
      </w:pPr>
    </w:p>
    <w:p>
      <w:pPr>
        <w:ind w:right="100" w:firstLine="436"/>
        <w:spacing w:after="0" w:line="255"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Except as otherwise disclosed in the Prospectus, the Company and each subsidiary possess such valid and current certificates, authorizations or permits required by state, federal or foreign regulatory agencies or bodies to conduct their respective businesses as currently conducted and as described in the Registration Statement or the Prospectus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where the failure to or possess or obtain the same would not reasonably be expected to result in Material Adverse Change. Neither the Company nor any of its subsidiaries is in violation of, or in default under, any of the Permits or has received any notice of proceedings relating to the revocation or modification of, or non-compliance with, any such certificate, authorization or permit, except for such violation, defaults or proceedings relating to the revocation or modification of, or non-compliance with any such Permits, that would not reasonably be expected to result in Material Adverse Change.</w:t>
      </w:r>
    </w:p>
    <w:p>
      <w:pPr>
        <w:spacing w:after="0" w:line="80"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xml:space="preserve">. Except as otherwise disclosed in the Prospectus, the Company and its subsidiaries has good and marketable title to all of the real and personal property and other assets reflected as owned in the financial statements referred to in </w:t>
      </w:r>
      <w:r>
        <w:rPr>
          <w:rFonts w:ascii="Times New Roman" w:cs="Times New Roman" w:eastAsia="Times New Roman" w:hAnsi="Times New Roman"/>
          <w:sz w:val="18"/>
          <w:szCs w:val="18"/>
          <w:u w:val="single" w:color="auto"/>
          <w:color w:val="auto"/>
        </w:rPr>
        <w:t>Section 2(m)</w:t>
      </w:r>
      <w:r>
        <w:rPr>
          <w:rFonts w:ascii="Times New Roman" w:cs="Times New Roman" w:eastAsia="Times New Roman" w:hAnsi="Times New Roman"/>
          <w:sz w:val="18"/>
          <w:szCs w:val="18"/>
          <w:color w:val="auto"/>
        </w:rPr>
        <w:t xml:space="preserve"> above (or elsewhere in the Registration Statement or the Prospectus, in each case free and clear of any security interests, mortgages, liens, encumbrances, equities, adverse claims and other defects. The real property, improvements, equipment and personal property held under lease by the Company or of its subsidiary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5" w:name="page16"/>
    <w:bookmarkEnd w:id="15"/>
    <w:p>
      <w:pPr>
        <w:ind w:firstLine="436"/>
        <w:spacing w:after="0" w:line="255"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Law Compliance</w:t>
      </w:r>
      <w:r>
        <w:rPr>
          <w:rFonts w:ascii="Times New Roman" w:cs="Times New Roman" w:eastAsia="Times New Roman" w:hAnsi="Times New Roman"/>
          <w:sz w:val="18"/>
          <w:szCs w:val="18"/>
          <w:color w:val="auto"/>
        </w:rPr>
        <w:t>. The Company and its subsidiaries have filed all necessary federal, state and foreign income and franchise tax returns required to be filed by them or have properly requested extensions thereof and have paid all material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w:t>
      </w:r>
    </w:p>
    <w:p>
      <w:pPr>
        <w:spacing w:after="0" w:line="2"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2(m)</w:t>
      </w:r>
      <w:r>
        <w:rPr>
          <w:rFonts w:ascii="Times New Roman" w:cs="Times New Roman" w:eastAsia="Times New Roman" w:hAnsi="Times New Roman"/>
          <w:sz w:val="18"/>
          <w:szCs w:val="18"/>
          <w:color w:val="auto"/>
        </w:rPr>
        <w:t xml:space="preserve"> above in respect of all federal, state and foreign income and franchise taxes for all periods as to which the tax liability of the Company or any of its subsidiaries has not been finally determined.</w:t>
      </w:r>
    </w:p>
    <w:p>
      <w:pPr>
        <w:spacing w:after="0" w:line="73" w:lineRule="exact"/>
        <w:rPr>
          <w:rFonts w:ascii="Times New Roman" w:cs="Times New Roman" w:eastAsia="Times New Roman" w:hAnsi="Times New Roman"/>
          <w:sz w:val="18"/>
          <w:szCs w:val="18"/>
          <w:color w:val="auto"/>
        </w:rPr>
      </w:pPr>
    </w:p>
    <w:p>
      <w:pPr>
        <w:ind w:right="240" w:firstLine="436"/>
        <w:spacing w:after="0" w:line="266"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00" w:firstLine="436"/>
        <w:spacing w:after="0" w:line="254" w:lineRule="auto"/>
        <w:tabs>
          <w:tab w:leader="none" w:pos="7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otherwise disclosed in the Prospectus,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spacing w:after="0" w:line="83" w:lineRule="exact"/>
        <w:rPr>
          <w:rFonts w:ascii="Times New Roman" w:cs="Times New Roman" w:eastAsia="Times New Roman" w:hAnsi="Times New Roman"/>
          <w:sz w:val="18"/>
          <w:szCs w:val="18"/>
          <w:color w:val="auto"/>
        </w:rPr>
      </w:pPr>
    </w:p>
    <w:p>
      <w:pPr>
        <w:ind w:firstLine="436"/>
        <w:spacing w:after="0" w:line="261" w:lineRule="auto"/>
        <w:tabs>
          <w:tab w:leader="none" w:pos="7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 Compliance with Regulation M</w:t>
      </w:r>
      <w:r>
        <w:rPr>
          <w:rFonts w:ascii="Times New Roman" w:cs="Times New Roman" w:eastAsia="Times New Roman" w:hAnsi="Times New Roman"/>
          <w:sz w:val="18"/>
          <w:szCs w:val="18"/>
          <w:color w:val="auto"/>
        </w:rPr>
        <w:t>. Neither the Company nor any of its subsidiaries has taken, directly or indirectly, any action designed to or that might cause or result in stabilization or manipulation of the price of the Common Shares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Common Shares, whether to facilitate the sale or resale of the Shares or otherwise, and has taken no action which would directly or indirectly violate Regulation M.</w:t>
      </w:r>
    </w:p>
    <w:p>
      <w:pPr>
        <w:spacing w:after="0" w:line="71" w:lineRule="exact"/>
        <w:rPr>
          <w:rFonts w:ascii="Times New Roman" w:cs="Times New Roman" w:eastAsia="Times New Roman" w:hAnsi="Times New Roman"/>
          <w:sz w:val="18"/>
          <w:szCs w:val="18"/>
          <w:color w:val="auto"/>
        </w:rPr>
      </w:pPr>
    </w:p>
    <w:p>
      <w:pPr>
        <w:ind w:right="60" w:firstLine="436"/>
        <w:spacing w:after="0" w:line="282" w:lineRule="auto"/>
        <w:tabs>
          <w:tab w:leader="none" w:pos="7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53" w:lineRule="exact"/>
        <w:rPr>
          <w:rFonts w:ascii="Times New Roman" w:cs="Times New Roman" w:eastAsia="Times New Roman" w:hAnsi="Times New Roman"/>
          <w:sz w:val="18"/>
          <w:szCs w:val="18"/>
          <w:color w:val="auto"/>
        </w:rPr>
      </w:pPr>
    </w:p>
    <w:p>
      <w:pPr>
        <w:ind w:right="120" w:firstLine="436"/>
        <w:spacing w:after="0" w:line="258" w:lineRule="auto"/>
        <w:tabs>
          <w:tab w:leader="none" w:pos="7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rules and any letters, filings or other supplemental information provided to FINRA pursuant to the FINRA rules is true, complete and correct. The Company meets the requirements for use of Form S-3 under the Securities Act specified in FINRA Rule 5110(h)(1).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6" w:name="page17"/>
    <w:bookmarkEnd w:id="16"/>
    <w:p>
      <w:pPr>
        <w:ind w:right="80" w:firstLine="436"/>
        <w:spacing w:after="0" w:line="261" w:lineRule="auto"/>
        <w:tabs>
          <w:tab w:leader="none" w:pos="7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Unlawful Contributions or Other Payments</w:t>
      </w:r>
      <w:r>
        <w:rPr>
          <w:rFonts w:ascii="Times New Roman" w:cs="Times New Roman" w:eastAsia="Times New Roman" w:hAnsi="Times New Roman"/>
          <w:sz w:val="18"/>
          <w:szCs w:val="18"/>
          <w:color w:val="auto"/>
        </w:rPr>
        <w:t>. Except as otherwise disclosed in the Prospectus, neither the Company nor any of its subsidiaries nor, to the best of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spacing w:after="0" w:line="71" w:lineRule="exact"/>
        <w:rPr>
          <w:rFonts w:ascii="Times New Roman" w:cs="Times New Roman" w:eastAsia="Times New Roman" w:hAnsi="Times New Roman"/>
          <w:sz w:val="18"/>
          <w:szCs w:val="18"/>
          <w:color w:val="auto"/>
        </w:rPr>
      </w:pPr>
    </w:p>
    <w:p>
      <w:pPr>
        <w:ind w:right="40" w:firstLine="436"/>
        <w:spacing w:after="0" w:line="252" w:lineRule="auto"/>
        <w:tabs>
          <w:tab w:leader="none" w:pos="7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as described in the Prospectus and except as would not be reasonably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Company and its subsidiaries have all permits, authorizations and approvals required under any applicable Environmental Laws and are each in compliance with their requirements, (iii) there are no pending administrative, regulatory or judicial actions, suits, demands, demand letters, claims, liens, notices of noncompliance or violation, investigation or proceedings, and to the Company’s knowledge, no such matters have been threatened in writing,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89" w:lineRule="exact"/>
        <w:rPr>
          <w:rFonts w:ascii="Times New Roman" w:cs="Times New Roman" w:eastAsia="Times New Roman" w:hAnsi="Times New Roman"/>
          <w:sz w:val="18"/>
          <w:szCs w:val="18"/>
          <w:color w:val="auto"/>
        </w:rPr>
      </w:pPr>
    </w:p>
    <w:p>
      <w:pPr>
        <w:ind w:firstLine="436"/>
        <w:spacing w:after="0" w:line="256" w:lineRule="auto"/>
        <w:tabs>
          <w:tab w:leader="none" w:pos="7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Review of Costs of Environmental Compliance</w:t>
      </w:r>
      <w:r>
        <w:rPr>
          <w:rFonts w:ascii="Times New Roman" w:cs="Times New Roman" w:eastAsia="Times New Roman" w:hAnsi="Times New Roman"/>
          <w:sz w:val="18"/>
          <w:szCs w:val="18"/>
          <w:color w:val="auto"/>
        </w:rPr>
        <w:t>. 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be expected, individually or in the aggregate, to result in a Material Adverse Change.</w:t>
      </w:r>
    </w:p>
    <w:p>
      <w:pPr>
        <w:spacing w:after="0" w:line="79" w:lineRule="exact"/>
        <w:rPr>
          <w:rFonts w:ascii="Times New Roman" w:cs="Times New Roman" w:eastAsia="Times New Roman" w:hAnsi="Times New Roman"/>
          <w:sz w:val="18"/>
          <w:szCs w:val="18"/>
          <w:color w:val="auto"/>
        </w:rPr>
      </w:pPr>
    </w:p>
    <w:p>
      <w:pPr>
        <w:ind w:right="140" w:firstLine="436"/>
        <w:spacing w:after="0" w:line="266" w:lineRule="auto"/>
        <w:tabs>
          <w:tab w:leader="none" w:pos="7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Except as otherwise disclosed in the Prospectus,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their “ERISA Affiliates” (as defined below) are in compliance in all material respects with ERISA.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78" w:lineRule="exact"/>
        <w:rPr>
          <w:sz w:val="20"/>
          <w:szCs w:val="20"/>
          <w:color w:val="auto"/>
        </w:rPr>
      </w:pPr>
    </w:p>
    <w:p>
      <w:pPr>
        <w:ind w:right="100" w:firstLine="436"/>
        <w:spacing w:after="0" w:line="282"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53" w:lineRule="exact"/>
        <w:rPr>
          <w:rFonts w:ascii="Times New Roman" w:cs="Times New Roman" w:eastAsia="Times New Roman" w:hAnsi="Times New Roman"/>
          <w:sz w:val="18"/>
          <w:szCs w:val="18"/>
          <w:color w:val="auto"/>
        </w:rPr>
      </w:pPr>
    </w:p>
    <w:p>
      <w:pPr>
        <w:ind w:right="360" w:firstLine="436"/>
        <w:spacing w:after="0" w:line="266"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67" w:lineRule="exact"/>
        <w:rPr>
          <w:rFonts w:ascii="Times New Roman" w:cs="Times New Roman" w:eastAsia="Times New Roman" w:hAnsi="Times New Roman"/>
          <w:sz w:val="18"/>
          <w:szCs w:val="18"/>
          <w:color w:val="auto"/>
        </w:rPr>
      </w:pPr>
    </w:p>
    <w:p>
      <w:pPr>
        <w:ind w:right="160" w:firstLine="436"/>
        <w:spacing w:after="0" w:line="312" w:lineRule="auto"/>
        <w:tabs>
          <w:tab w:leader="none" w:pos="78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Company and its subsidiaries have been and are in compliance with all applicable laws, rules and regulations, except where failure to be so in compliance could not reasonably be expected, individually or in the aggregate, to result in a Material Adverse Change.</w:t>
      </w:r>
    </w:p>
    <w:p>
      <w:pPr>
        <w:spacing w:after="0" w:line="31" w:lineRule="exact"/>
        <w:rPr>
          <w:rFonts w:ascii="Times New Roman" w:cs="Times New Roman" w:eastAsia="Times New Roman" w:hAnsi="Times New Roman"/>
          <w:sz w:val="17"/>
          <w:szCs w:val="17"/>
          <w:color w:val="auto"/>
        </w:rPr>
      </w:pPr>
    </w:p>
    <w:p>
      <w:pPr>
        <w:ind w:right="60" w:firstLine="436"/>
        <w:spacing w:after="0" w:line="261"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Restrictions</w:t>
      </w:r>
      <w:r>
        <w:rPr>
          <w:rFonts w:ascii="Times New Roman" w:cs="Times New Roman" w:eastAsia="Times New Roman" w:hAnsi="Times New Roman"/>
          <w:sz w:val="18"/>
          <w:szCs w:val="18"/>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71" w:lineRule="exact"/>
        <w:rPr>
          <w:rFonts w:ascii="Times New Roman" w:cs="Times New Roman" w:eastAsia="Times New Roman" w:hAnsi="Times New Roman"/>
          <w:sz w:val="18"/>
          <w:szCs w:val="18"/>
          <w:color w:val="auto"/>
        </w:rPr>
      </w:pPr>
    </w:p>
    <w:p>
      <w:pPr>
        <w:ind w:right="20" w:firstLine="436"/>
        <w:spacing w:after="0" w:line="256" w:lineRule="auto"/>
        <w:tabs>
          <w:tab w:leader="none" w:pos="8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and Anti-Bribery Laws</w:t>
      </w:r>
      <w:r>
        <w:rPr>
          <w:rFonts w:ascii="Times New Roman" w:cs="Times New Roman" w:eastAsia="Times New Roman" w:hAnsi="Times New Roman"/>
          <w:sz w:val="18"/>
          <w:szCs w:val="18"/>
          <w:color w:val="auto"/>
        </w:rPr>
        <w:t>.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18" w:name="page19"/>
    <w:bookmarkEnd w:id="18"/>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79" w:lineRule="exact"/>
        <w:rPr>
          <w:sz w:val="20"/>
          <w:szCs w:val="20"/>
          <w:color w:val="auto"/>
        </w:rPr>
      </w:pPr>
    </w:p>
    <w:p>
      <w:pPr>
        <w:ind w:right="40" w:firstLine="436"/>
        <w:spacing w:after="0" w:line="256"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9" w:lineRule="exact"/>
        <w:rPr>
          <w:rFonts w:ascii="Times New Roman" w:cs="Times New Roman" w:eastAsia="Times New Roman" w:hAnsi="Times New Roman"/>
          <w:sz w:val="18"/>
          <w:szCs w:val="18"/>
          <w:color w:val="auto"/>
        </w:rPr>
      </w:pPr>
    </w:p>
    <w:p>
      <w:pPr>
        <w:ind w:right="20" w:firstLine="436"/>
        <w:spacing w:after="0" w:line="253"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color w:val="auto"/>
        </w:rPr>
        <w:t xml:space="preserve"> The preclinical tests and clinical trials, and other studies (collectively, “studies”) that are described in, or the results of which are referred to in, the Registration Statement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 Institutional Review Board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neither the Company nor any of its subsidiaries has received any notice of, or correspondence from, any Regulatory Agency requiring the termination, suspension or modification of any clinical trials that are described or referred to in the Registration Statement or the Prospectus; and the Company and its subsidiaries have each operated and currently are in compliance in all material respects with all applicable rules, regulations and policies of the Regulatory Agencies.</w:t>
      </w:r>
    </w:p>
    <w:p>
      <w:pPr>
        <w:spacing w:after="0" w:line="81" w:lineRule="exact"/>
        <w:rPr>
          <w:rFonts w:ascii="Times New Roman" w:cs="Times New Roman" w:eastAsia="Times New Roman" w:hAnsi="Times New Roman"/>
          <w:sz w:val="18"/>
          <w:szCs w:val="18"/>
          <w:color w:val="auto"/>
        </w:rPr>
      </w:pPr>
    </w:p>
    <w:p>
      <w:pPr>
        <w:ind w:firstLine="436"/>
        <w:spacing w:after="0" w:line="258"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9" w:name="page20"/>
    <w:bookmarkEnd w:id="1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located, organized or resident in a country or territory that is the subject or the target of Sanctions, including, without limitation, the so-called Donetsk People’s Republic, the so-called Luhansk People’s Republic, the Crimea region and the non-government controlled areas of the Zaporizhzhia and Kherson Regions of Ukraine (or any other Covered Region of Ukraine identified pursuant to Executive Order 14065), Cuba, Iran, North Korea, and Syria (the “</w:t>
      </w:r>
      <w:r>
        <w:rPr>
          <w:rFonts w:ascii="Times New Roman" w:cs="Times New Roman" w:eastAsia="Times New Roman" w:hAnsi="Times New Roman"/>
          <w:sz w:val="18"/>
          <w:szCs w:val="18"/>
          <w:b w:val="1"/>
          <w:bCs w:val="1"/>
          <w:color w:val="auto"/>
        </w:rPr>
        <w:t>Sanctioned Territories</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Territory.</w:t>
      </w:r>
    </w:p>
    <w:p>
      <w:pPr>
        <w:spacing w:after="0" w:line="86" w:lineRule="exact"/>
        <w:rPr>
          <w:sz w:val="20"/>
          <w:szCs w:val="20"/>
          <w:color w:val="auto"/>
        </w:rPr>
      </w:pPr>
    </w:p>
    <w:p>
      <w:pPr>
        <w:ind w:right="260" w:firstLine="436"/>
        <w:spacing w:after="0" w:line="282" w:lineRule="auto"/>
        <w:tabs>
          <w:tab w:leader="none" w:pos="7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is in compliance, in all material respects, with all applicable provisions of the Sarbanes-Oxley Act of 2002 and the rules and regulations promulgated thereunder.</w:t>
      </w:r>
    </w:p>
    <w:p>
      <w:pPr>
        <w:spacing w:after="0" w:line="53"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7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Transfer Taxes, Etc</w:t>
      </w:r>
      <w:r>
        <w:rPr>
          <w:rFonts w:ascii="Times New Roman" w:cs="Times New Roman" w:eastAsia="Times New Roman" w:hAnsi="Times New Roman"/>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67" w:lineRule="exact"/>
        <w:rPr>
          <w:rFonts w:ascii="Times New Roman" w:cs="Times New Roman" w:eastAsia="Times New Roman" w:hAnsi="Times New Roman"/>
          <w:sz w:val="18"/>
          <w:szCs w:val="18"/>
          <w:color w:val="auto"/>
        </w:rPr>
      </w:pPr>
    </w:p>
    <w:p>
      <w:pPr>
        <w:ind w:right="100" w:firstLine="436"/>
        <w:spacing w:after="0" w:line="252" w:lineRule="auto"/>
        <w:tabs>
          <w:tab w:leader="none" w:pos="7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0" w:name="page21"/>
    <w:bookmarkEnd w:id="20"/>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75" w:lineRule="exact"/>
        <w:rPr>
          <w:sz w:val="20"/>
          <w:szCs w:val="20"/>
          <w:color w:val="auto"/>
        </w:rPr>
      </w:pPr>
    </w:p>
    <w:p>
      <w:pPr>
        <w:ind w:left="4" w:right="20" w:firstLine="436"/>
        <w:spacing w:after="0" w:line="267" w:lineRule="auto"/>
        <w:tabs>
          <w:tab w:leader="none" w:pos="70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Data Privacy Laws</w:t>
      </w:r>
      <w:r>
        <w:rPr>
          <w:rFonts w:ascii="Times New Roman" w:cs="Times New Roman" w:eastAsia="Times New Roman" w:hAnsi="Times New Roman"/>
          <w:sz w:val="17"/>
          <w:szCs w:val="17"/>
          <w:color w:val="auto"/>
        </w:rPr>
        <w:t>.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material compliance with, the European Union General Data Protection Regulation (“</w:t>
      </w:r>
      <w:r>
        <w:rPr>
          <w:rFonts w:ascii="Times New Roman" w:cs="Times New Roman" w:eastAsia="Times New Roman" w:hAnsi="Times New Roman"/>
          <w:sz w:val="17"/>
          <w:szCs w:val="17"/>
          <w:b w:val="1"/>
          <w:bCs w:val="1"/>
          <w:color w:val="auto"/>
        </w:rPr>
        <w:t>GDPR</w:t>
      </w:r>
      <w:r>
        <w:rPr>
          <w:rFonts w:ascii="Times New Roman" w:cs="Times New Roman" w:eastAsia="Times New Roman" w:hAnsi="Times New Roman"/>
          <w:sz w:val="17"/>
          <w:szCs w:val="17"/>
          <w:color w:val="auto"/>
        </w:rPr>
        <w:t>”) (EU 2016/679) (collectively, the “</w:t>
      </w:r>
      <w:r>
        <w:rPr>
          <w:rFonts w:ascii="Times New Roman" w:cs="Times New Roman" w:eastAsia="Times New Roman" w:hAnsi="Times New Roman"/>
          <w:sz w:val="17"/>
          <w:szCs w:val="17"/>
          <w:b w:val="1"/>
          <w:bCs w:val="1"/>
          <w:color w:val="auto"/>
        </w:rPr>
        <w:t>Privacy Laws</w:t>
      </w:r>
      <w:r>
        <w:rPr>
          <w:rFonts w:ascii="Times New Roman" w:cs="Times New Roman" w:eastAsia="Times New Roman" w:hAnsi="Times New Roman"/>
          <w:sz w:val="17"/>
          <w:szCs w:val="17"/>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7"/>
          <w:szCs w:val="17"/>
          <w:b w:val="1"/>
          <w:bCs w:val="1"/>
          <w:color w:val="auto"/>
        </w:rPr>
        <w:t>Policies</w:t>
      </w:r>
      <w:r>
        <w:rPr>
          <w:rFonts w:ascii="Times New Roman" w:cs="Times New Roman" w:eastAsia="Times New Roman" w:hAnsi="Times New Roman"/>
          <w:sz w:val="17"/>
          <w:szCs w:val="17"/>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currently conducting or paying for, in whole or in part, any investigation, remediation, or other corrective action pursuant to any Privacy Law; or</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party to any order, decree, or agreement that imposes any obligation or liability under any Privacy Law.</w:t>
      </w:r>
    </w:p>
    <w:p>
      <w:pPr>
        <w:spacing w:after="0" w:line="98" w:lineRule="exact"/>
        <w:rPr>
          <w:rFonts w:ascii="Times New Roman" w:cs="Times New Roman" w:eastAsia="Times New Roman" w:hAnsi="Times New Roman"/>
          <w:sz w:val="18"/>
          <w:szCs w:val="18"/>
          <w:color w:val="auto"/>
        </w:rPr>
      </w:pPr>
    </w:p>
    <w:p>
      <w:pPr>
        <w:ind w:left="4" w:firstLine="436"/>
        <w:spacing w:after="0" w:line="282" w:lineRule="auto"/>
        <w:tabs>
          <w:tab w:leader="none" w:pos="7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Underwriting Agreements</w:t>
      </w:r>
      <w:r>
        <w:rPr>
          <w:rFonts w:ascii="Times New Roman" w:cs="Times New Roman" w:eastAsia="Times New Roman" w:hAnsi="Times New Roman"/>
          <w:sz w:val="18"/>
          <w:szCs w:val="18"/>
          <w:color w:val="auto"/>
        </w:rPr>
        <w:t>. The Company is not a party to any agreement with an agent or underwriter for any other “at the market” or continuous equity transaction.</w:t>
      </w:r>
    </w:p>
    <w:p>
      <w:pPr>
        <w:spacing w:after="0" w:line="53" w:lineRule="exact"/>
        <w:rPr>
          <w:rFonts w:ascii="Times New Roman" w:cs="Times New Roman" w:eastAsia="Times New Roman" w:hAnsi="Times New Roman"/>
          <w:sz w:val="18"/>
          <w:szCs w:val="18"/>
          <w:color w:val="auto"/>
        </w:rPr>
      </w:pPr>
    </w:p>
    <w:p>
      <w:pPr>
        <w:ind w:left="4" w:firstLine="436"/>
        <w:spacing w:after="0" w:line="253" w:lineRule="auto"/>
        <w:tabs>
          <w:tab w:leader="none" w:pos="7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The Company and its subsidiaries are, and at all times have been, in compliance with all applicable Health Care Laws.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as applicable to the Company and its subsidiaries: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w:t>
      </w:r>
    </w:p>
    <w:p>
      <w:pPr>
        <w:spacing w:after="0" w:line="12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4"/>
          </w:cols>
          <w:pgMar w:left="436" w:top="270" w:right="559" w:bottom="1440" w:gutter="0" w:footer="0" w:header="0"/>
        </w:sectPr>
      </w:pPr>
    </w:p>
    <w:bookmarkStart w:id="21" w:name="page22"/>
    <w:bookmarkEnd w:id="21"/>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88"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68"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The Company acknowledges that the Agent and, for purposes of the opinions to be delivered pursuant to </w:t>
      </w:r>
      <w:r>
        <w:rPr>
          <w:rFonts w:ascii="Times New Roman" w:cs="Times New Roman" w:eastAsia="Times New Roman" w:hAnsi="Times New Roman"/>
          <w:sz w:val="17"/>
          <w:szCs w:val="17"/>
          <w:u w:val="single" w:color="auto"/>
          <w:color w:val="auto"/>
        </w:rPr>
        <w:t>Section 4(o)</w:t>
      </w:r>
      <w:r>
        <w:rPr>
          <w:rFonts w:ascii="Times New Roman" w:cs="Times New Roman" w:eastAsia="Times New Roman" w:hAnsi="Times New Roman"/>
          <w:sz w:val="17"/>
          <w:szCs w:val="17"/>
          <w:color w:val="auto"/>
        </w:rPr>
        <w:t xml:space="preserve"> hereof, counsel to the Company and counsel to the Agent, will rely upon the accuracy and truthfulness of the foregoing representations and hereby consents to such reliance.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ISSUANCE AND SALE OF COMMON SHARES</w:t>
      </w:r>
    </w:p>
    <w:p>
      <w:pPr>
        <w:spacing w:after="0" w:line="121" w:lineRule="exact"/>
        <w:rPr>
          <w:sz w:val="20"/>
          <w:szCs w:val="20"/>
          <w:color w:val="auto"/>
        </w:rPr>
      </w:pPr>
    </w:p>
    <w:p>
      <w:pPr>
        <w:ind w:firstLine="436"/>
        <w:spacing w:after="0" w:line="261"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Securities</w:t>
      </w:r>
      <w:r>
        <w:rPr>
          <w:rFonts w:ascii="Times New Roman" w:cs="Times New Roman" w:eastAsia="Times New Roman" w:hAnsi="Times New Roman"/>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Issuances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70" w:right="519" w:bottom="1440" w:gutter="0" w:footer="0" w:header="0"/>
        </w:sectPr>
      </w:pPr>
    </w:p>
    <w:bookmarkStart w:id="22" w:name="page23"/>
    <w:bookmarkEnd w:id="22"/>
    <w:p>
      <w:pPr>
        <w:ind w:left="4" w:right="120" w:firstLine="436"/>
        <w:spacing w:after="0" w:line="254" w:lineRule="auto"/>
        <w:tabs>
          <w:tab w:leader="none" w:pos="65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Notice</w:t>
      </w:r>
      <w:r>
        <w:rPr>
          <w:rFonts w:ascii="Times New Roman" w:cs="Times New Roman" w:eastAsia="Times New Roman" w:hAnsi="Times New Roman"/>
          <w:sz w:val="18"/>
          <w:szCs w:val="18"/>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have been satisfied, the Company may exercise its right to request an issuance of Shares by delivering to the Agent an Issuance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in no event may the Company deliver an Issuance Notice to the extent that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80" w:lineRule="exact"/>
        <w:rPr>
          <w:rFonts w:ascii="Times New Roman" w:cs="Times New Roman" w:eastAsia="Times New Roman" w:hAnsi="Times New Roman"/>
          <w:sz w:val="18"/>
          <w:szCs w:val="18"/>
          <w:color w:val="auto"/>
        </w:rPr>
      </w:pPr>
    </w:p>
    <w:p>
      <w:pPr>
        <w:ind w:left="4" w:firstLine="436"/>
        <w:spacing w:after="0" w:line="258" w:lineRule="auto"/>
        <w:tabs>
          <w:tab w:leader="none" w:pos="70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Efforts</w:t>
      </w:r>
      <w:r>
        <w:rPr>
          <w:rFonts w:ascii="Times New Roman" w:cs="Times New Roman" w:eastAsia="Times New Roman" w:hAnsi="Times New Roman"/>
          <w:sz w:val="18"/>
          <w:szCs w:val="18"/>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75"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Offer and Sale</w:t>
      </w:r>
      <w:r>
        <w:rPr>
          <w:rFonts w:ascii="Times New Roman" w:cs="Times New Roman" w:eastAsia="Times New Roman" w:hAnsi="Times New Roman"/>
          <w:sz w:val="18"/>
          <w:szCs w:val="18"/>
          <w:color w:val="auto"/>
        </w:rPr>
        <w:t>. The Shares may be offered and sold (A) in privately negotiated transactions with the consent of the Company;</w:t>
      </w:r>
    </w:p>
    <w:p>
      <w:pPr>
        <w:spacing w:after="0" w:line="27" w:lineRule="exact"/>
        <w:rPr>
          <w:rFonts w:ascii="Times New Roman" w:cs="Times New Roman" w:eastAsia="Times New Roman" w:hAnsi="Times New Roman"/>
          <w:sz w:val="18"/>
          <w:szCs w:val="18"/>
          <w:color w:val="auto"/>
        </w:rPr>
      </w:pPr>
    </w:p>
    <w:p>
      <w:pPr>
        <w:ind w:left="4" w:right="100" w:hanging="4"/>
        <w:spacing w:after="0" w:line="253" w:lineRule="auto"/>
        <w:tabs>
          <w:tab w:leader="none" w:pos="2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80"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74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to the Company</w:t>
      </w:r>
      <w:r>
        <w:rPr>
          <w:rFonts w:ascii="Times New Roman" w:cs="Times New Roman" w:eastAsia="Times New Roman" w:hAnsi="Times New Roman"/>
          <w:sz w:val="18"/>
          <w:szCs w:val="18"/>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67"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Each issuance of Shares will be settled on the applicable Settlement Date for such issuance of Shares and, subject to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23" w:name="page24"/>
    <w:bookmarkEnd w:id="23"/>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sell Shares to the Agent as principal at a price agreed upon at each relevant time Shares are sold pursuant to this Agreement (each, a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436"/>
        <w:spacing w:after="0" w:line="253" w:lineRule="auto"/>
        <w:tabs>
          <w:tab w:leader="none" w:pos="7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or Termination of Sales</w:t>
      </w:r>
      <w:r>
        <w:rPr>
          <w:rFonts w:ascii="Times New Roman" w:cs="Times New Roman" w:eastAsia="Times New Roman" w:hAnsi="Times New Roman"/>
          <w:sz w:val="18"/>
          <w:szCs w:val="18"/>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cs="Times New Roman" w:eastAsia="Times New Roman" w:hAnsi="Times New Roman"/>
          <w:sz w:val="18"/>
          <w:szCs w:val="18"/>
          <w:u w:val="single" w:color="auto"/>
          <w:color w:val="auto"/>
        </w:rPr>
        <w:t>Section 3(b)(v)</w:t>
      </w:r>
      <w:r>
        <w:rPr>
          <w:rFonts w:ascii="Times New Roman" w:cs="Times New Roman" w:eastAsia="Times New Roman" w:hAnsi="Times New Roman"/>
          <w:sz w:val="18"/>
          <w:szCs w:val="18"/>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firstLine="436"/>
        <w:spacing w:after="0" w:line="261" w:lineRule="auto"/>
        <w:tabs>
          <w:tab w:leader="none" w:pos="7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Placement, Etc.</w:t>
      </w:r>
      <w:r>
        <w:rPr>
          <w:rFonts w:ascii="Times New Roman" w:cs="Times New Roman" w:eastAsia="Times New Roman" w:hAnsi="Times New Roman"/>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71" w:lineRule="exact"/>
        <w:rPr>
          <w:rFonts w:ascii="Times New Roman" w:cs="Times New Roman" w:eastAsia="Times New Roman" w:hAnsi="Times New Roman"/>
          <w:sz w:val="18"/>
          <w:szCs w:val="18"/>
          <w:color w:val="auto"/>
        </w:rPr>
      </w:pPr>
    </w:p>
    <w:p>
      <w:pPr>
        <w:ind w:right="220" w:firstLine="436"/>
        <w:spacing w:after="0" w:line="266" w:lineRule="auto"/>
        <w:tabs>
          <w:tab w:leader="none" w:pos="8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68" w:lineRule="exact"/>
        <w:rPr>
          <w:sz w:val="20"/>
          <w:szCs w:val="20"/>
          <w:color w:val="auto"/>
        </w:rPr>
      </w:pPr>
    </w:p>
    <w:p>
      <w:pPr>
        <w:jc w:val="both"/>
        <w:ind w:right="20" w:firstLine="436"/>
        <w:spacing w:after="0" w:line="266"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18"/>
          <w:szCs w:val="18"/>
          <w:u w:val="single" w:color="auto"/>
          <w:color w:val="auto"/>
        </w:rPr>
        <w:t>Section 3(b)(vi))</w:t>
      </w:r>
      <w:r>
        <w:rPr>
          <w:rFonts w:ascii="Times New Roman" w:cs="Times New Roman" w:eastAsia="Times New Roman" w:hAnsi="Times New Roman"/>
          <w:sz w:val="18"/>
          <w:szCs w:val="18"/>
          <w:color w:val="auto"/>
        </w:rPr>
        <w:t xml:space="preserve"> by the Agent deducting the Selling Commission from the applicable Issuance Amount.</w:t>
      </w:r>
    </w:p>
    <w:p>
      <w:pPr>
        <w:spacing w:after="0" w:line="67"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4" w:name="page25"/>
    <w:bookmarkEnd w:id="24"/>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18"/>
          <w:szCs w:val="18"/>
          <w:b w:val="1"/>
          <w:bCs w:val="1"/>
          <w:color w:val="auto"/>
        </w:rPr>
        <w:t>Blue Sky Survey</w:t>
      </w:r>
      <w:r>
        <w:rPr>
          <w:rFonts w:ascii="Times New Roman" w:cs="Times New Roman" w:eastAsia="Times New Roman" w:hAnsi="Times New Roman"/>
          <w:sz w:val="18"/>
          <w:szCs w:val="18"/>
          <w:color w:val="auto"/>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$75,000 in connection with execution of this Agreement; (B) $25,000 in connection with each Triggering Event Date (as defined below) on which the Company is required to provide a certificate pursuant to </w:t>
      </w:r>
      <w:r>
        <w:rPr>
          <w:rFonts w:ascii="Times New Roman" w:cs="Times New Roman" w:eastAsia="Times New Roman" w:hAnsi="Times New Roman"/>
          <w:sz w:val="18"/>
          <w:szCs w:val="18"/>
          <w:u w:val="single" w:color="auto"/>
          <w:color w:val="auto"/>
        </w:rPr>
        <w:t>Section 4(o)(ii)</w:t>
      </w:r>
      <w:r>
        <w:rPr>
          <w:rFonts w:ascii="Times New Roman" w:cs="Times New Roman" w:eastAsia="Times New Roman" w:hAnsi="Times New Roman"/>
          <w:sz w:val="18"/>
          <w:szCs w:val="18"/>
          <w:color w:val="auto"/>
        </w:rPr>
        <w:t xml:space="preserve">; and (C) $15,000 in connection with each Triggering Event Date on which the Company is required to provide a certificate pursuant to </w:t>
      </w:r>
      <w:r>
        <w:rPr>
          <w:rFonts w:ascii="Times New Roman" w:cs="Times New Roman" w:eastAsia="Times New Roman" w:hAnsi="Times New Roman"/>
          <w:sz w:val="18"/>
          <w:szCs w:val="18"/>
          <w:u w:val="single" w:color="auto"/>
          <w:color w:val="auto"/>
        </w:rPr>
        <w:t>Sections 4(o)(i)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ADDITIONAL COVENANTS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covenants and agrees with the Agent as follows, in addition to any other covenants and agreements made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firstLine="436"/>
        <w:spacing w:after="0" w:line="273" w:lineRule="auto"/>
        <w:tabs>
          <w:tab w:leader="none" w:pos="68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Act Compliance</w:t>
      </w:r>
      <w:r>
        <w:rPr>
          <w:rFonts w:ascii="Times New Roman" w:cs="Times New Roman" w:eastAsia="Times New Roman" w:hAnsi="Times New Roman"/>
          <w:sz w:val="17"/>
          <w:szCs w:val="17"/>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 w:cs="Times New Roman" w:eastAsia="Times New Roman" w:hAnsi="Times New Roman"/>
          <w:sz w:val="17"/>
          <w:szCs w:val="17"/>
          <w:b w:val="1"/>
          <w:bCs w:val="1"/>
          <w:color w:val="auto"/>
        </w:rPr>
        <w:t>Interim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Prospectus Supplement</w:t>
      </w:r>
      <w:r>
        <w:rPr>
          <w:rFonts w:ascii="Times New Roman" w:cs="Times New Roman" w:eastAsia="Times New Roman" w:hAnsi="Times New Roman"/>
          <w:sz w:val="17"/>
          <w:szCs w:val="17"/>
          <w:color w:val="auto"/>
        </w:rPr>
        <w:t>”), such summary information and, at least once a quarter and subject to this Section 4, file such Interim Prospectus Supplement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Rule 424(b) under the Securities Act (and within the time periods required by Rule 424(b) and Rule 430B under the Securities Act)).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ind w:firstLine="436"/>
        <w:spacing w:after="0" w:line="253"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Act Compliance</w:t>
      </w:r>
      <w:r>
        <w:rPr>
          <w:rFonts w:ascii="Times New Roman" w:cs="Times New Roman" w:eastAsia="Times New Roman" w:hAnsi="Times New Roman"/>
          <w:sz w:val="18"/>
          <w:szCs w:val="18"/>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81"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the Prospectus and Other Securities Act Matters</w:t>
      </w:r>
      <w:r>
        <w:rPr>
          <w:rFonts w:ascii="Times New Roman" w:cs="Times New Roman" w:eastAsia="Times New Roman" w:hAnsi="Times New Roman"/>
          <w:sz w:val="18"/>
          <w:szCs w:val="18"/>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86" w:lineRule="exact"/>
        <w:rPr>
          <w:rFonts w:ascii="Times New Roman" w:cs="Times New Roman" w:eastAsia="Times New Roman" w:hAnsi="Times New Roman"/>
          <w:sz w:val="18"/>
          <w:szCs w:val="18"/>
          <w:color w:val="auto"/>
        </w:rPr>
      </w:pPr>
    </w:p>
    <w:p>
      <w:pPr>
        <w:ind w:right="80" w:firstLine="436"/>
        <w:spacing w:after="0" w:line="255"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Review of Proposed Amendments and Supplements</w:t>
      </w:r>
      <w:r>
        <w:rPr>
          <w:rFonts w:ascii="Times New Roman" w:cs="Times New Roman" w:eastAsia="Times New Roman" w:hAnsi="Times New Roman"/>
          <w:sz w:val="18"/>
          <w:szCs w:val="18"/>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insofar as such proposed amendment or supplement relates to the transactions contemplated hereby,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80"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Free Writing Prospectus</w:t>
      </w:r>
      <w:r>
        <w:rPr>
          <w:rFonts w:ascii="Times New Roman" w:cs="Times New Roman" w:eastAsia="Times New Roman" w:hAnsi="Times New Roman"/>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26" w:name="page27"/>
    <w:bookmarkEnd w:id="26"/>
    <w:p>
      <w:pPr>
        <w:ind w:firstLine="436"/>
        <w:spacing w:after="0" w:line="252" w:lineRule="auto"/>
        <w:tabs>
          <w:tab w:leader="none" w:pos="6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Free Writing Prospectuses</w:t>
      </w:r>
      <w:r>
        <w:rPr>
          <w:rFonts w:ascii="Times New Roman" w:cs="Times New Roman" w:eastAsia="Times New Roman" w:hAnsi="Times New Roman"/>
          <w:sz w:val="18"/>
          <w:szCs w:val="18"/>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light of the circumstances prevailing at such subsequent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86"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Agent Free Writing Prospectuses</w:t>
      </w:r>
      <w:r>
        <w:rPr>
          <w:rFonts w:ascii="Times New Roman" w:cs="Times New Roman" w:eastAsia="Times New Roman" w:hAnsi="Times New Roman"/>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67" w:lineRule="exact"/>
        <w:rPr>
          <w:rFonts w:ascii="Times New Roman" w:cs="Times New Roman" w:eastAsia="Times New Roman" w:hAnsi="Times New Roman"/>
          <w:sz w:val="18"/>
          <w:szCs w:val="18"/>
          <w:color w:val="auto"/>
        </w:rPr>
      </w:pPr>
    </w:p>
    <w:p>
      <w:pPr>
        <w:jc w:val="both"/>
        <w:ind w:right="300" w:firstLine="436"/>
        <w:spacing w:after="0" w:line="270" w:lineRule="auto"/>
        <w:tabs>
          <w:tab w:leader="none" w:pos="69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Copies of Registration Statement and Prospectus</w:t>
      </w:r>
      <w:r>
        <w:rPr>
          <w:rFonts w:ascii="Times New Roman" w:cs="Times New Roman" w:eastAsia="Times New Roman" w:hAnsi="Times New Roman"/>
          <w:sz w:val="17"/>
          <w:szCs w:val="17"/>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w:t>
      </w:r>
    </w:p>
    <w:p>
      <w:pPr>
        <w:spacing w:after="0" w:line="2" w:lineRule="exact"/>
        <w:rPr>
          <w:rFonts w:ascii="Times New Roman" w:cs="Times New Roman" w:eastAsia="Times New Roman" w:hAnsi="Times New Roman"/>
          <w:sz w:val="17"/>
          <w:szCs w:val="17"/>
          <w:color w:val="auto"/>
        </w:rPr>
      </w:pPr>
    </w:p>
    <w:p>
      <w:pPr>
        <w:ind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7" w:name="page28"/>
    <w:bookmarkEnd w:id="2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80" w:lineRule="exact"/>
        <w:rPr>
          <w:sz w:val="20"/>
          <w:szCs w:val="20"/>
          <w:color w:val="auto"/>
        </w:rPr>
      </w:pPr>
    </w:p>
    <w:p>
      <w:pPr>
        <w:ind w:left="4" w:right="120" w:firstLine="436"/>
        <w:spacing w:after="0" w:line="254" w:lineRule="auto"/>
        <w:tabs>
          <w:tab w:leader="none" w:pos="65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80"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65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6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Reservation of Shares</w:t>
      </w:r>
      <w:r>
        <w:rPr>
          <w:rFonts w:ascii="Times New Roman" w:cs="Times New Roman" w:eastAsia="Times New Roman" w:hAnsi="Times New Roman"/>
          <w:sz w:val="18"/>
          <w:szCs w:val="18"/>
          <w:color w:val="auto"/>
        </w:rPr>
        <w:t>. (a) The Company will use its best efforts to maintain the listing of the Shares on the Principal Market; and</w:t>
      </w:r>
    </w:p>
    <w:p>
      <w:pPr>
        <w:spacing w:after="0" w:line="27" w:lineRule="exact"/>
        <w:rPr>
          <w:rFonts w:ascii="Times New Roman" w:cs="Times New Roman" w:eastAsia="Times New Roman" w:hAnsi="Times New Roman"/>
          <w:sz w:val="18"/>
          <w:szCs w:val="18"/>
          <w:color w:val="auto"/>
        </w:rPr>
      </w:pPr>
    </w:p>
    <w:p>
      <w:pPr>
        <w:ind w:left="4" w:right="320" w:hanging="4"/>
        <w:spacing w:after="0" w:line="260"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reserve and keep available at all times, free of preemptive rights, Shares for the purpose of enabling the Company to satisfy its obligations under this Agreement.</w:t>
      </w:r>
    </w:p>
    <w:p>
      <w:pPr>
        <w:spacing w:after="0" w:line="7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engage and maintain, at its expense, a registrar and transfer agent for the Shares.</w:t>
      </w:r>
    </w:p>
    <w:p>
      <w:pPr>
        <w:spacing w:after="0" w:line="117"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74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28" w:name="page29"/>
    <w:bookmarkEnd w:id="28"/>
    <w:p>
      <w:pPr>
        <w:ind w:firstLine="436"/>
        <w:spacing w:after="0" w:line="273" w:lineRule="auto"/>
        <w:tabs>
          <w:tab w:leader="none" w:pos="69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Times New Roman" w:cs="Times New Roman" w:eastAsia="Times New Roman" w:hAnsi="Times New Roman"/>
          <w:sz w:val="17"/>
          <w:szCs w:val="17"/>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63" w:lineRule="exact"/>
        <w:rPr>
          <w:rFonts w:ascii="Times New Roman" w:cs="Times New Roman" w:eastAsia="Times New Roman" w:hAnsi="Times New Roman"/>
          <w:sz w:val="17"/>
          <w:szCs w:val="17"/>
          <w:color w:val="auto"/>
        </w:rPr>
      </w:pPr>
    </w:p>
    <w:p>
      <w:pPr>
        <w:ind w:right="140" w:firstLine="436"/>
        <w:spacing w:after="0" w:line="282"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at Triggering Event Dates; Certificates.</w:t>
      </w:r>
      <w:r>
        <w:rPr>
          <w:rFonts w:ascii="Times New Roman" w:cs="Times New Roman" w:eastAsia="Times New Roman" w:hAnsi="Times New Roman"/>
          <w:sz w:val="18"/>
          <w:szCs w:val="18"/>
          <w:color w:val="auto"/>
        </w:rPr>
        <w:t xml:space="preserve"> The Company agrees that on or prior to the date of the first Issuance Notice and, during the term of this Agreement after the date of the first Issuance Notice, upon:</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5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71" w:lineRule="exact"/>
        <w:rPr>
          <w:rFonts w:ascii="Times New Roman" w:cs="Times New Roman" w:eastAsia="Times New Roman" w:hAnsi="Times New Roman"/>
          <w:sz w:val="18"/>
          <w:szCs w:val="18"/>
          <w:color w:val="auto"/>
        </w:rPr>
      </w:pPr>
    </w:p>
    <w:p>
      <w:pPr>
        <w:ind w:left="440" w:right="800" w:firstLine="419"/>
        <w:spacing w:after="0" w:line="282" w:lineRule="auto"/>
        <w:tabs>
          <w:tab w:leader="none" w:pos="114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an annual report on Form 10-K (including any Form 10-K/A containing amended financial information or a material amendment to the previously filed annual report on Form 10-K) of the Company;</w:t>
      </w:r>
    </w:p>
    <w:p>
      <w:pPr>
        <w:spacing w:after="0" w:line="53"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14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 quarterly report on Form 10-Q (including any Form 10-Q/A containing amended financial information or a material amendment to the previously filed quarterly report on Form 10-Q) of the Company; or</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5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(any such event, a “</w:t>
      </w:r>
      <w:r>
        <w:rPr>
          <w:rFonts w:ascii="Times New Roman" w:cs="Times New Roman" w:eastAsia="Times New Roman" w:hAnsi="Times New Roman"/>
          <w:sz w:val="18"/>
          <w:szCs w:val="18"/>
          <w:b w:val="1"/>
          <w:bCs w:val="1"/>
          <w:color w:val="auto"/>
        </w:rPr>
        <w:t>Triggering Event Date</w:t>
      </w:r>
      <w:r>
        <w:rPr>
          <w:rFonts w:ascii="Times New Roman" w:cs="Times New Roman" w:eastAsia="Times New Roman" w:hAnsi="Times New Roman"/>
          <w:sz w:val="18"/>
          <w:szCs w:val="18"/>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cs="Times New Roman" w:eastAsia="Times New Roman" w:hAnsi="Times New Roman"/>
          <w:sz w:val="18"/>
          <w:szCs w:val="18"/>
          <w:u w:val="single" w:color="auto"/>
          <w:color w:val="auto"/>
        </w:rPr>
        <w:t>Section 5(a)(iii)</w:t>
      </w:r>
      <w:r>
        <w:rPr>
          <w:rFonts w:ascii="Times New Roman" w:cs="Times New Roman" w:eastAsia="Times New Roman" w:hAnsi="Times New Roman"/>
          <w:sz w:val="18"/>
          <w:szCs w:val="18"/>
          <w:color w:val="auto"/>
        </w:rPr>
        <w:t xml:space="preserve"> hereof, and (C) containing any other certification that the Agent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29" w:name="page30"/>
    <w:bookmarkEnd w:id="29"/>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reasonably request. The requirement to provide a certificate under this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81" w:lineRule="exact"/>
        <w:rPr>
          <w:sz w:val="20"/>
          <w:szCs w:val="20"/>
          <w:color w:val="auto"/>
        </w:rPr>
      </w:pPr>
    </w:p>
    <w:p>
      <w:pPr>
        <w:ind w:firstLine="436"/>
        <w:spacing w:after="0" w:line="254"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the written legal opinion of Mintz, Levin, Cohn, Ferris, Glovsky and Popeo, P.C., counsel to the Company, and Paul Hastings LLP, counsel to the Agent,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80"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upon a material transaction or event requiring the filing of a current report on Form 8-K containing material amended financial information of the Company, including the restatement of the Company’s financial statements, which such events shall be considered a Triggering Event Date, the Company shall also cause a comfort letter to be furnished to the Agent prior to any additional sales of Shares.</w:t>
      </w:r>
    </w:p>
    <w:p>
      <w:pPr>
        <w:spacing w:after="0" w:line="86" w:lineRule="exact"/>
        <w:rPr>
          <w:rFonts w:ascii="Times New Roman" w:cs="Times New Roman" w:eastAsia="Times New Roman" w:hAnsi="Times New Roman"/>
          <w:sz w:val="18"/>
          <w:szCs w:val="18"/>
          <w:color w:val="auto"/>
        </w:rPr>
      </w:pPr>
    </w:p>
    <w:p>
      <w:pPr>
        <w:ind w:right="120" w:firstLine="436"/>
        <w:spacing w:after="0" w:line="266"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0" w:name="page31"/>
    <w:bookmarkEnd w:id="30"/>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72" w:lineRule="exact"/>
        <w:rPr>
          <w:sz w:val="20"/>
          <w:szCs w:val="20"/>
          <w:color w:val="auto"/>
        </w:rPr>
      </w:pPr>
    </w:p>
    <w:p>
      <w:pPr>
        <w:ind w:right="380" w:firstLine="436"/>
        <w:spacing w:after="0" w:line="312" w:lineRule="auto"/>
        <w:tabs>
          <w:tab w:leader="none" w:pos="67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Agent’s Own Account; Clients’ Account</w:t>
      </w:r>
      <w:r>
        <w:rPr>
          <w:rFonts w:ascii="Times New Roman" w:cs="Times New Roman" w:eastAsia="Times New Roman" w:hAnsi="Times New Roman"/>
          <w:sz w:val="17"/>
          <w:szCs w:val="17"/>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31" w:lineRule="exact"/>
        <w:rPr>
          <w:rFonts w:ascii="Times New Roman" w:cs="Times New Roman" w:eastAsia="Times New Roman" w:hAnsi="Times New Roman"/>
          <w:sz w:val="17"/>
          <w:szCs w:val="17"/>
          <w:color w:val="auto"/>
        </w:rPr>
      </w:pPr>
    </w:p>
    <w:p>
      <w:pPr>
        <w:ind w:right="280" w:firstLine="436"/>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53" w:lineRule="exact"/>
        <w:rPr>
          <w:rFonts w:ascii="Times New Roman" w:cs="Times New Roman" w:eastAsia="Times New Roman" w:hAnsi="Times New Roman"/>
          <w:sz w:val="18"/>
          <w:szCs w:val="18"/>
          <w:color w:val="auto"/>
        </w:rPr>
      </w:pPr>
    </w:p>
    <w:p>
      <w:pPr>
        <w:ind w:right="140" w:firstLine="436"/>
        <w:spacing w:after="0" w:line="255"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18"/>
          <w:szCs w:val="18"/>
          <w:b w:val="1"/>
          <w:bCs w:val="1"/>
          <w:color w:val="auto"/>
        </w:rPr>
        <w:t>Rule 102</w:t>
      </w:r>
      <w:r>
        <w:rPr>
          <w:rFonts w:ascii="Times New Roman" w:cs="Times New Roman" w:eastAsia="Times New Roman" w:hAnsi="Times New Roman"/>
          <w:sz w:val="18"/>
          <w:szCs w:val="18"/>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80"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w:t>
      </w:r>
      <w:r>
        <w:rPr>
          <w:rFonts w:ascii="Times New Roman" w:cs="Times New Roman" w:eastAsia="Times New Roman" w:hAnsi="Times New Roman"/>
          <w:sz w:val="18"/>
          <w:szCs w:val="18"/>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and (iii) modification of any outstanding options, warrants of any rights to purchase or acquire Common Shares.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CONDITIONS TO DELIVERY OF ISSUANCE NOTICES AND TO SETTLEMENT</w:t>
      </w:r>
    </w:p>
    <w:p>
      <w:pPr>
        <w:spacing w:after="0" w:line="121" w:lineRule="exact"/>
        <w:rPr>
          <w:sz w:val="20"/>
          <w:szCs w:val="20"/>
          <w:color w:val="auto"/>
        </w:rPr>
      </w:pPr>
    </w:p>
    <w:p>
      <w:pPr>
        <w:ind w:right="60" w:firstLine="436"/>
        <w:spacing w:after="0" w:line="261" w:lineRule="auto"/>
        <w:tabs>
          <w:tab w:leader="none" w:pos="68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18"/>
          <w:szCs w:val="18"/>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of each of the following conditions:</w:t>
      </w:r>
    </w:p>
    <w:p>
      <w:pPr>
        <w:spacing w:after="0" w:line="85"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 Performance by the Company</w:t>
      </w:r>
      <w:r>
        <w:rPr>
          <w:rFonts w:ascii="Times New Roman" w:cs="Times New Roman" w:eastAsia="Times New Roman" w:hAnsi="Times New Roman"/>
          <w:sz w:val="18"/>
          <w:szCs w:val="18"/>
          <w:color w:val="auto"/>
        </w:rPr>
        <w:t xml:space="preserve">. The Company shall have delivered the certificate required to be delivered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4(q)</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4(r)</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88"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Changes</w:t>
      </w:r>
      <w:r>
        <w:rPr>
          <w:rFonts w:ascii="Times New Roman" w:cs="Times New Roman" w:eastAsia="Times New Roman" w:hAnsi="Times New Roman"/>
          <w:sz w:val="18"/>
          <w:szCs w:val="18"/>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32" w:name="page33"/>
    <w:bookmarkEnd w:id="32"/>
    <w:p>
      <w:pPr>
        <w:ind w:left="960" w:hanging="532"/>
        <w:spacing w:after="0" w:line="253"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Suspension of Trading in or Delisting of Common Shares; Other Events</w:t>
      </w:r>
      <w:r>
        <w:rPr>
          <w:rFonts w:ascii="Times New Roman" w:cs="Times New Roman" w:eastAsia="Times New Roman" w:hAnsi="Times New Roman"/>
          <w:sz w:val="18"/>
          <w:szCs w:val="18"/>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79" w:lineRule="exact"/>
        <w:rPr>
          <w:sz w:val="20"/>
          <w:szCs w:val="20"/>
          <w:color w:val="auto"/>
        </w:rPr>
      </w:pPr>
    </w:p>
    <w:p>
      <w:pPr>
        <w:ind w:right="20" w:firstLine="436"/>
        <w:spacing w:after="0" w:line="258"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Required to be Delivered on each Issuance Notice Date</w:t>
      </w:r>
      <w:r>
        <w:rPr>
          <w:rFonts w:ascii="Times New Roman" w:cs="Times New Roman" w:eastAsia="Times New Roman" w:hAnsi="Times New Roman"/>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75" w:lineRule="exact"/>
        <w:rPr>
          <w:rFonts w:ascii="Times New Roman" w:cs="Times New Roman" w:eastAsia="Times New Roman" w:hAnsi="Times New Roman"/>
          <w:sz w:val="18"/>
          <w:szCs w:val="18"/>
          <w:color w:val="auto"/>
        </w:rPr>
      </w:pPr>
    </w:p>
    <w:p>
      <w:pPr>
        <w:ind w:right="360" w:firstLine="436"/>
        <w:spacing w:after="0" w:line="261"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Agent shall not have advised the Company that the Registration Statement, the Prospectus or the Times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INDEMNIFICATION AND CONTRIBUTION</w:t>
      </w:r>
    </w:p>
    <w:p>
      <w:pPr>
        <w:spacing w:after="0" w:line="121" w:lineRule="exact"/>
        <w:rPr>
          <w:sz w:val="20"/>
          <w:szCs w:val="20"/>
          <w:color w:val="auto"/>
        </w:rPr>
      </w:pPr>
    </w:p>
    <w:p>
      <w:pPr>
        <w:ind w:right="80" w:firstLine="436"/>
        <w:spacing w:after="0" w:line="254"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Agent</w:t>
      </w:r>
      <w:r>
        <w:rPr>
          <w:rFonts w:ascii="Times New Roman" w:cs="Times New Roman" w:eastAsia="Times New Roman" w:hAnsi="Times New Roman"/>
          <w:sz w:val="18"/>
          <w:szCs w:val="18"/>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70" w:right="499" w:bottom="1440" w:gutter="0" w:footer="0" w:header="0"/>
        </w:sectPr>
      </w:pPr>
    </w:p>
    <w:bookmarkStart w:id="33" w:name="page34"/>
    <w:bookmarkEnd w:id="3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under the caption “Plan of Distribution” in the Prospectus (the “</w:t>
      </w:r>
      <w:r>
        <w:rPr>
          <w:rFonts w:ascii="Times New Roman" w:cs="Times New Roman" w:eastAsia="Times New Roman" w:hAnsi="Times New Roman"/>
          <w:sz w:val="18"/>
          <w:szCs w:val="18"/>
          <w:b w:val="1"/>
          <w:bCs w:val="1"/>
          <w:color w:val="auto"/>
        </w:rPr>
        <w:t>Agent Information</w:t>
      </w:r>
      <w:r>
        <w:rPr>
          <w:rFonts w:ascii="Times New Roman" w:cs="Times New Roman" w:eastAsia="Times New Roman" w:hAnsi="Times New Roman"/>
          <w:sz w:val="18"/>
          <w:szCs w:val="18"/>
          <w:color w:val="auto"/>
        </w:rPr>
        <w:t xml:space="preserve">”). The indemnity agreement set forth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shall be in addition to any liabilities that the Company may otherwise have.</w:t>
      </w:r>
    </w:p>
    <w:p>
      <w:pPr>
        <w:spacing w:after="0" w:line="83" w:lineRule="exact"/>
        <w:rPr>
          <w:sz w:val="20"/>
          <w:szCs w:val="20"/>
          <w:color w:val="auto"/>
        </w:rPr>
      </w:pPr>
    </w:p>
    <w:p>
      <w:pPr>
        <w:ind w:firstLine="436"/>
        <w:spacing w:after="0" w:line="253"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4" w:name="page35"/>
    <w:bookmarkEnd w:id="3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the Agent Information, and to reimburse the Company and each such director, officer and controlling person for any and all reasonable and documented expenses (including the reasonable and documented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81" w:lineRule="exact"/>
        <w:rPr>
          <w:sz w:val="20"/>
          <w:szCs w:val="20"/>
          <w:color w:val="auto"/>
        </w:rPr>
      </w:pPr>
    </w:p>
    <w:p>
      <w:pPr>
        <w:ind w:right="20" w:firstLine="436"/>
        <w:spacing w:after="0" w:line="251"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 and Other Indemnification Procedures</w:t>
      </w:r>
      <w:r>
        <w:rPr>
          <w:rFonts w:ascii="Times New Roman" w:cs="Times New Roman" w:eastAsia="Times New Roman" w:hAnsi="Times New Roman"/>
          <w:sz w:val="18"/>
          <w:szCs w:val="18"/>
          <w:color w:val="auto"/>
        </w:rPr>
        <w:t xml:space="preserve">. Promptly after receipt by an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5" w:name="page36"/>
    <w:bookmarkEnd w:id="35"/>
    <w:p>
      <w:pPr>
        <w:ind w:left="4" w:firstLine="436"/>
        <w:spacing w:after="0" w:line="269" w:lineRule="auto"/>
        <w:tabs>
          <w:tab w:leader="none" w:pos="699"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Settlements</w:t>
      </w:r>
      <w:r>
        <w:rPr>
          <w:rFonts w:ascii="Times New Roman" w:cs="Times New Roman" w:eastAsia="Times New Roman" w:hAnsi="Times New Roman"/>
          <w:sz w:val="17"/>
          <w:szCs w:val="17"/>
          <w:color w:val="auto"/>
        </w:rPr>
        <w:t xml:space="preserve">. The indemnifying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xml:space="preserve"> hereof, the indemnifying party agrees that it shall be liable for any settlement of any proceeding effected without its written consent if</w:t>
      </w:r>
    </w:p>
    <w:p>
      <w:pPr>
        <w:spacing w:after="0" w:line="2" w:lineRule="exact"/>
        <w:rPr>
          <w:rFonts w:ascii="Times New Roman" w:cs="Times New Roman" w:eastAsia="Times New Roman" w:hAnsi="Times New Roman"/>
          <w:sz w:val="17"/>
          <w:szCs w:val="17"/>
          <w:color w:val="auto"/>
        </w:rPr>
      </w:pPr>
    </w:p>
    <w:p>
      <w:pPr>
        <w:ind w:left="4" w:right="60" w:hanging="4"/>
        <w:spacing w:after="0" w:line="252" w:lineRule="auto"/>
        <w:tabs>
          <w:tab w:leader="none" w:pos="2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81"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8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70" w:right="439" w:bottom="1440" w:gutter="0" w:footer="0" w:header="0"/>
        </w:sectPr>
      </w:pPr>
    </w:p>
    <w:bookmarkStart w:id="36" w:name="page37"/>
    <w:bookmarkEnd w:id="36"/>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any legal or other fees or expenses reasonably incurred by such party in connection with investigating or defending any action or claim. The provisions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with respect to notice of commencement of any action shall apply if a claim for contribution is to be made under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for purposes of indemnification.</w:t>
      </w:r>
    </w:p>
    <w:p>
      <w:pPr>
        <w:spacing w:after="0" w:line="7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Company and the Agent agree that it would not be just and equitable if contribution pursuant to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TERMINATION &amp; SURVIVAL</w:t>
      </w:r>
    </w:p>
    <w:p>
      <w:pPr>
        <w:spacing w:after="0" w:line="121" w:lineRule="exact"/>
        <w:rPr>
          <w:sz w:val="20"/>
          <w:szCs w:val="20"/>
          <w:color w:val="auto"/>
        </w:rPr>
      </w:pPr>
    </w:p>
    <w:p>
      <w:pPr>
        <w:ind w:right="20" w:firstLine="436"/>
        <w:spacing w:after="0" w:line="282"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Survival Following Termination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20" w:hanging="439"/>
        <w:spacing w:after="0" w:line="256" w:lineRule="auto"/>
        <w:tabs>
          <w:tab w:leader="none" w:pos="1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w:t>
      </w:r>
      <w:r>
        <w:rPr>
          <w:rFonts w:ascii="Times New Roman" w:cs="Times New Roman" w:eastAsia="Times New Roman" w:hAnsi="Times New Roman"/>
          <w:sz w:val="18"/>
          <w:szCs w:val="18"/>
          <w:u w:val="single" w:color="auto"/>
          <w:color w:val="auto"/>
        </w:rPr>
        <w:t>the Company any sale of Shares</w:t>
      </w:r>
      <w:r>
        <w:rPr>
          <w:rFonts w:ascii="Times New Roman" w:cs="Times New Roman" w:eastAsia="Times New Roman" w:hAnsi="Times New Roman"/>
          <w:sz w:val="18"/>
          <w:szCs w:val="18"/>
          <w:color w:val="auto"/>
        </w:rPr>
        <w:t xml:space="preserve">, the Company shall remain obligated to </w:t>
      </w:r>
      <w:r>
        <w:rPr>
          <w:rFonts w:ascii="Times New Roman" w:cs="Times New Roman" w:eastAsia="Times New Roman" w:hAnsi="Times New Roman"/>
          <w:sz w:val="18"/>
          <w:szCs w:val="18"/>
          <w:u w:val="single" w:color="auto"/>
          <w:color w:val="auto"/>
        </w:rPr>
        <w:t>comply with Section 3(b)(v)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respect to such Shares</w:t>
      </w:r>
      <w:r>
        <w:rPr>
          <w:rFonts w:ascii="Times New Roman" w:cs="Times New Roman" w:eastAsia="Times New Roman" w:hAnsi="Times New Roman"/>
          <w:sz w:val="18"/>
          <w:szCs w:val="18"/>
          <w:color w:val="auto"/>
        </w:rPr>
        <w:t xml:space="preserve"> and (B)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92" w:lineRule="exact"/>
        <w:rPr>
          <w:rFonts w:ascii="Times New Roman" w:cs="Times New Roman" w:eastAsia="Times New Roman" w:hAnsi="Times New Roman"/>
          <w:sz w:val="18"/>
          <w:szCs w:val="18"/>
          <w:color w:val="auto"/>
        </w:rPr>
      </w:pPr>
    </w:p>
    <w:p>
      <w:pPr>
        <w:ind w:left="1420" w:right="40" w:hanging="439"/>
        <w:spacing w:after="0" w:line="258" w:lineRule="auto"/>
        <w:tabs>
          <w:tab w:leader="none" w:pos="1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survival provision of </w:t>
      </w:r>
      <w:r>
        <w:rPr>
          <w:rFonts w:ascii="Times New Roman" w:cs="Times New Roman" w:eastAsia="Times New Roman" w:hAnsi="Times New Roman"/>
          <w:sz w:val="18"/>
          <w:szCs w:val="18"/>
          <w:u w:val="single" w:color="auto"/>
          <w:color w:val="auto"/>
        </w:rPr>
        <w:t>Section 7(b)(i)</w:t>
      </w:r>
      <w:r>
        <w:rPr>
          <w:rFonts w:ascii="Times New Roman" w:cs="Times New Roman" w:eastAsia="Times New Roman" w:hAnsi="Times New Roman"/>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 MISCELLANEOUS</w:t>
      </w:r>
    </w:p>
    <w:p>
      <w:pPr>
        <w:spacing w:after="0" w:line="121" w:lineRule="exact"/>
        <w:rPr>
          <w:sz w:val="20"/>
          <w:szCs w:val="20"/>
          <w:color w:val="auto"/>
        </w:rPr>
      </w:pPr>
    </w:p>
    <w:p>
      <w:pPr>
        <w:ind w:firstLine="436"/>
        <w:spacing w:after="0" w:line="253"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Releases and Disclosure</w:t>
      </w:r>
      <w:r>
        <w:rPr>
          <w:rFonts w:ascii="Times New Roman" w:cs="Times New Roman" w:eastAsia="Times New Roman" w:hAnsi="Times New Roman"/>
          <w:sz w:val="18"/>
          <w:szCs w:val="18"/>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83"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86" w:lineRule="exact"/>
        <w:rPr>
          <w:rFonts w:ascii="Times New Roman" w:cs="Times New Roman" w:eastAsia="Times New Roman" w:hAnsi="Times New Roman"/>
          <w:sz w:val="18"/>
          <w:szCs w:val="18"/>
          <w:color w:val="auto"/>
        </w:rPr>
      </w:pPr>
    </w:p>
    <w:p>
      <w:pPr>
        <w:ind w:right="100" w:firstLine="436"/>
        <w:spacing w:after="0" w:line="255"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Analyst Independence</w:t>
      </w:r>
      <w:r>
        <w:rPr>
          <w:rFonts w:ascii="Times New Roman" w:cs="Times New Roman" w:eastAsia="Times New Roman" w:hAnsi="Times New Roman"/>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6" w:right="459" w:bottom="1440" w:gutter="0" w:footer="0" w:header="0"/>
        </w:sectPr>
      </w:pPr>
    </w:p>
    <w:bookmarkStart w:id="38" w:name="page39"/>
    <w:bookmarkEnd w:id="38"/>
    <w:p>
      <w:pPr>
        <w:ind w:right="220" w:firstLine="436"/>
        <w:spacing w:after="0" w:line="282"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All communications hereunder shall be in writing and shall be mailed, hand delivered or telecopied and confirmed to the parties hereto as follows: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Agent: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MetLife Building</w:t>
      </w:r>
    </w:p>
    <w:p>
      <w:pPr>
        <w:spacing w:after="0" w:line="9" w:lineRule="exact"/>
        <w:rPr>
          <w:sz w:val="20"/>
          <w:szCs w:val="20"/>
          <w:color w:val="auto"/>
        </w:rPr>
      </w:pPr>
    </w:p>
    <w:p>
      <w:pPr>
        <w:ind w:left="980" w:right="8200" w:firstLine="7"/>
        <w:spacing w:after="0" w:line="265" w:lineRule="auto"/>
        <w:tabs>
          <w:tab w:leader="none" w:pos="129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Park Avenue New York, NY 10166</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Attention: Siavosh Salimi and William A. Magioncalda.</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ProKidney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2000 Frontis Plaza Blvd.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250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Winston-Salem, NC 27103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Todd Girolamo</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Mintz, Levin, Cohn, Ferris, Glovksy and Popeo, P.C.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Jason S. McCaffrey.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436"/>
        <w:spacing w:after="0" w:line="289" w:lineRule="auto"/>
        <w:tabs>
          <w:tab w:leader="none" w:pos="68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w:t>
      </w:r>
      <w:r>
        <w:rPr>
          <w:rFonts w:ascii="Times New Roman" w:cs="Times New Roman" w:eastAsia="Times New Roman" w:hAnsi="Times New Roman"/>
          <w:sz w:val="17"/>
          <w:szCs w:val="17"/>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760"/>
          </w:cols>
          <w:pgMar w:left="440" w:top="270" w:right="699" w:bottom="1440" w:gutter="0" w:footer="0" w:header="0"/>
        </w:sectPr>
      </w:pPr>
    </w:p>
    <w:bookmarkStart w:id="39" w:name="page40"/>
    <w:bookmarkEnd w:id="39"/>
    <w:p>
      <w:pPr>
        <w:ind w:right="220" w:firstLine="436"/>
        <w:spacing w:after="0" w:line="261" w:lineRule="auto"/>
        <w:tabs>
          <w:tab w:leader="none" w:pos="6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Partial Unenforceability</w:t>
      </w:r>
      <w:r>
        <w:rPr>
          <w:rFonts w:ascii="Times New Roman" w:cs="Times New Roman" w:eastAsia="Times New Roman" w:hAnsi="Times New Roman"/>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71"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U.S. Special Resolutions Regimes</w:t>
      </w:r>
      <w:r>
        <w:rPr>
          <w:rFonts w:ascii="Times New Roman" w:cs="Times New Roman" w:eastAsia="Times New Roman" w:hAnsi="Times New Roman"/>
          <w:sz w:val="18"/>
          <w:szCs w:val="18"/>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 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w:t>
      </w:r>
    </w:p>
    <w:p>
      <w:pPr>
        <w:spacing w:after="0" w:line="6"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78"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Provisions</w:t>
      </w:r>
      <w:r>
        <w:rPr>
          <w:rFonts w:ascii="Times New Roman" w:cs="Times New Roman" w:eastAsia="Times New Roman" w:hAnsi="Times New Roman"/>
          <w:sz w:val="18"/>
          <w:szCs w:val="18"/>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0" w:name="page41"/>
    <w:bookmarkEnd w:id="40"/>
    <w:p>
      <w:pPr>
        <w:ind w:left="-40" w:firstLine="436"/>
        <w:spacing w:after="0" w:line="254" w:lineRule="auto"/>
        <w:tabs>
          <w:tab w:leader="none" w:pos="6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complying with the U.S. federal ESIGN Act of 2000, e.g., www.docusign.com or www.echosign.com).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Immediately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20"/>
          </w:cols>
          <w:pgMar w:left="480" w:top="270" w:right="499" w:bottom="1440" w:gutter="0" w:footer="0" w:header="0"/>
        </w:sectPr>
      </w:pPr>
    </w:p>
    <w:bookmarkStart w:id="41" w:name="page42"/>
    <w:bookmarkEnd w:id="4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James Coulston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by the Agent in New York, New York as of the date first above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Donald Lynaugh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700"/>
          </w:cols>
          <w:pgMar w:left="440" w:top="270" w:right="759" w:bottom="1440" w:gutter="0" w:footer="0" w:header="0"/>
        </w:sectPr>
      </w:pPr>
    </w:p>
    <w:bookmarkStart w:id="42" w:name="page43"/>
    <w:bookmarkEnd w:id="4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[__________]</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Reference is made to the Open Market Sale Agreement between ProKidney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dated as of July 14, 2025. The Company confirms that all conditions to the delivery of this Issuance Notice are satisfied as of the date hereof. Capitalized terms used herein and not defined shall have the respective meanings ascribed to such terms in the Sales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that the Base Registration Statement Expires: November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Delivery of Issuance Notice (determined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 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Issuance Amount (equal to the total Sales Price for such Shares):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-7620</wp:posOffset>
            </wp:positionV>
            <wp:extent cx="11430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Number of days in selling period: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-7620</wp:posOffset>
            </wp:positionV>
            <wp:extent cx="11430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First date of selling period: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1263650</wp:posOffset>
            </wp:positionH>
            <wp:positionV relativeFrom="paragraph">
              <wp:posOffset>-7620</wp:posOffset>
            </wp:positionV>
            <wp:extent cx="11430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Last date of selling period: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-7620</wp:posOffset>
            </wp:positionV>
            <wp:extent cx="11430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Settlement Date(s) if other than standard T+1 settlement: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2632075</wp:posOffset>
            </wp:positionH>
            <wp:positionV relativeFrom="paragraph">
              <wp:posOffset>-7620</wp:posOffset>
            </wp:positionV>
            <wp:extent cx="11430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Floor Price Limitation (in no event less than $1.00 without the prior written consent of the Agent, which consent may be withheld in the Agent’s sole discretion): $ ____ per share</w:t>
      </w:r>
    </w:p>
    <w:p>
      <w:pPr>
        <w:spacing w:after="0" w:line="18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Comments:</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17145</wp:posOffset>
            </wp:positionV>
            <wp:extent cx="62922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780"/>
          </w:cols>
          <w:pgMar w:left="440" w:top="266" w:right="679" w:bottom="1440" w:gutter="0" w:footer="0" w:header="0"/>
        </w:sectPr>
      </w:pPr>
    </w:p>
    <w:bookmarkStart w:id="43" w:name="page44"/>
    <w:bookmarkEnd w:id="43"/>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Culleton, M.D.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Coulston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Agent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Lynaugh</w:t>
      </w:r>
    </w:p>
    <w:p>
      <w:pPr>
        <w:sectPr>
          <w:pgSz w:w="11900" w:h="16838" w:orient="portrait"/>
          <w:cols w:equalWidth="0" w:num="1">
            <w:col w:w="10019"/>
          </w:cols>
          <w:pgMar w:left="440" w:top="266"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-119380</wp:posOffset>
            </wp:positionV>
            <wp:extent cx="728980" cy="908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90868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617-542-6000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www.mintz.com</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ProKidney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Frontis Plaza Blvd., Suite 250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Winston-Salem, NC 27103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We have acted as counsel to ProKidney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respect to certain matters in connection with the Registration Statement on Form S-3 (File No. 333-275701)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the related prospectus dated July 7, 2025 included within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prospectus supplement dated July 14, 2025, relating to the issue and sale of up to $200,000,000 of shares of the Company’s Class A common stock, par value $0.0001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each filed with the Commission pursuant to Rule 424(b) promulgated under the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Shares are to be sold by the Company in accordance with that certain Open Market Sales Agreement, dated July 14, 2025, between the Company and Jefferies LLC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 as described in the Prospectus.</w:t>
      </w:r>
    </w:p>
    <w:p>
      <w:pPr>
        <w:spacing w:after="0" w:line="189"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opinion, we have examined the Company’s Certificate of Incorporation and Bylaws, both as currently in effect, such other records of the corporate proceedings of the Company and certificates of the Company’s officers as we have deemed relevant, as well as the Registration Statement and the exhibits thereto and the Prospectus.</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w:t>
      </w:r>
    </w:p>
    <w:p>
      <w:pPr>
        <w:spacing w:after="0" w:line="284"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limitations set forth below, we are of the opinion that the Shares, when issued by the Company out of the Company’s duly authorized common stock and issued and delivered by the Company against payment therefor as contemplated by the Sales Agreement, on terms approved by the Board of Directors of the Company, or a duly authorized committee thereof, will be duly and validly issued, fully paid and nonassessable.</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officers of the Company, and other sources believed by us to be responsible.</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BOSTON   LOS ANGELES   MIAMI   NEW YORK   SAN DIEGO   SAN FRANCISCO   TORONTO   WASHINGTON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MINTZ, LEVIN, COHN, FERRIS, GLOVSKY AND POPEO, P.C.</w:t>
      </w:r>
    </w:p>
    <w:p>
      <w:pPr>
        <w:sectPr>
          <w:pgSz w:w="11900" w:h="16838" w:orient="portrait"/>
          <w:cols w:equalWidth="0" w:num="1">
            <w:col w:w="11020"/>
          </w:cols>
          <w:pgMar w:left="320" w:top="117"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MINTZ</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6631305</wp:posOffset>
            </wp:positionH>
            <wp:positionV relativeFrom="paragraph">
              <wp:posOffset>-119380</wp:posOffset>
            </wp:positionV>
            <wp:extent cx="368300" cy="4718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w:t>
      </w:r>
    </w:p>
    <w:p>
      <w:pPr>
        <w:spacing w:after="0" w:line="27" w:lineRule="exact"/>
        <w:rPr>
          <w:sz w:val="20"/>
          <w:szCs w:val="20"/>
          <w:color w:val="auto"/>
        </w:rPr>
      </w:pPr>
    </w:p>
    <w:p>
      <w:pPr>
        <w:ind w:firstLine="8"/>
        <w:spacing w:after="0" w:line="255"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under the Act and to the use of this firm’s name therein and in the Prospectus under the caption “Legal Matters.” In giving such consent, we do not hereby admit that we are in the category of persons whose consent is required under Section 7 of the Act or the rules and regulations of the Commission.</w:t>
      </w:r>
    </w:p>
    <w:p>
      <w:pPr>
        <w:spacing w:after="0" w:line="21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145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Mintz, Levin, Cohn, Ferris, Glovsky and Popeo, P.C.</w:t>
      </w:r>
    </w:p>
    <w:sectPr>
      <w:pgSz w:w="11900" w:h="16838" w:orient="portrait"/>
      <w:cols w:equalWidth="0" w:num="1">
        <w:col w:w="10940"/>
      </w:cols>
      <w:pgMar w:left="32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lowerLetter"/>
      <w:start w:val="1"/>
    </w:lvl>
  </w:abstractNum>
  <w:abstractNum w:abstractNumId="2">
    <w:nsid w:val="71F32454"/>
    <w:multiLevelType w:val="hybridMultilevel"/>
    <w:lvl w:ilvl="0">
      <w:lvlJc w:val="left"/>
      <w:lvlText w:val="(%1)"/>
      <w:numFmt w:val="decimal"/>
      <w:start w:val="3"/>
    </w:lvl>
    <w:lvl w:ilvl="1">
      <w:lvlJc w:val="left"/>
      <w:lvlText w:val="(%2)"/>
      <w:numFmt w:val="lowerLetter"/>
      <w:start w:val="1"/>
    </w:lvl>
  </w:abstractNum>
  <w:abstractNum w:abstractNumId="3">
    <w:nsid w:val="2CA88611"/>
    <w:multiLevelType w:val="hybridMultilevel"/>
    <w:lvl w:ilvl="0">
      <w:lvlJc w:val="left"/>
      <w:lvlText w:val="(%1)"/>
      <w:numFmt w:val="lowerLetter"/>
      <w:start w:val="2"/>
    </w:lvl>
  </w:abstractNum>
  <w:abstractNum w:abstractNumId="4">
    <w:nsid w:val="836C40E"/>
    <w:multiLevelType w:val="hybridMultilevel"/>
    <w:lvl w:ilvl="0">
      <w:lvlJc w:val="left"/>
      <w:lvlText w:val="(%1)"/>
      <w:numFmt w:val="lowerLetter"/>
      <w:start w:val="3"/>
    </w:lvl>
  </w:abstractNum>
  <w:abstractNum w:abstractNumId="5">
    <w:nsid w:val="2901D82"/>
    <w:multiLevelType w:val="hybridMultilevel"/>
    <w:lvl w:ilvl="0">
      <w:lvlJc w:val="left"/>
      <w:lvlText w:val="(%1)"/>
      <w:numFmt w:val="lowerLetter"/>
      <w:start w:val="5"/>
    </w:lvl>
  </w:abstractNum>
  <w:abstractNum w:abstractNumId="6">
    <w:nsid w:val="3A95F874"/>
    <w:multiLevelType w:val="hybridMultilevel"/>
    <w:lvl w:ilvl="0">
      <w:lvlJc w:val="left"/>
      <w:lvlText w:val="(%1)"/>
      <w:numFmt w:val="lowerLetter"/>
      <w:start w:val="7"/>
    </w:lvl>
  </w:abstractNum>
  <w:abstractNum w:abstractNumId="7">
    <w:nsid w:val="8138641"/>
    <w:multiLevelType w:val="hybridMultilevel"/>
    <w:lvl w:ilvl="0">
      <w:lvlJc w:val="left"/>
      <w:lvlText w:val="(%1)"/>
      <w:numFmt w:val="lowerLetter"/>
      <w:start w:val="13"/>
    </w:lvl>
  </w:abstractNum>
  <w:abstractNum w:abstractNumId="8">
    <w:nsid w:val="1E7FF521"/>
    <w:multiLevelType w:val="hybridMultilevel"/>
    <w:lvl w:ilvl="0">
      <w:lvlJc w:val="left"/>
      <w:lvlText w:val="(%1)"/>
      <w:numFmt w:val="lowerLetter"/>
      <w:start w:val="15"/>
    </w:lvl>
  </w:abstractNum>
  <w:abstractNum w:abstractNumId="9">
    <w:nsid w:val="7C3DBD3D"/>
    <w:multiLevelType w:val="hybridMultilevel"/>
    <w:lvl w:ilvl="0">
      <w:lvlJc w:val="left"/>
      <w:lvlText w:val="(%1)"/>
      <w:numFmt w:val="lowerLetter"/>
      <w:start w:val="18"/>
    </w:lvl>
  </w:abstractNum>
  <w:abstractNum w:abstractNumId="10">
    <w:nsid w:val="737B8DDC"/>
    <w:multiLevelType w:val="hybridMultilevel"/>
    <w:lvl w:ilvl="0">
      <w:lvlJc w:val="left"/>
      <w:lvlText w:val="(%1)"/>
      <w:numFmt w:val="lowerLetter"/>
      <w:start w:val="21"/>
    </w:lvl>
  </w:abstractNum>
  <w:abstractNum w:abstractNumId="11">
    <w:nsid w:val="6CEAF087"/>
    <w:multiLevelType w:val="hybridMultilevel"/>
    <w:lvl w:ilvl="0">
      <w:lvlJc w:val="left"/>
      <w:lvlText w:val="(%1)"/>
      <w:numFmt w:val="lowerLetter"/>
      <w:start w:val="23"/>
    </w:lvl>
  </w:abstractNum>
  <w:abstractNum w:abstractNumId="12">
    <w:nsid w:val="22221A70"/>
    <w:multiLevelType w:val="hybridMultilevel"/>
    <w:lvl w:ilvl="0">
      <w:lvlJc w:val="left"/>
      <w:lvlText w:val="(%1)"/>
      <w:numFmt w:val="lowerLetter"/>
      <w:start w:val="25"/>
    </w:lvl>
  </w:abstractNum>
  <w:abstractNum w:abstractNumId="13">
    <w:nsid w:val="4516DDE9"/>
    <w:multiLevelType w:val="hybridMultilevel"/>
    <w:lvl w:ilvl="0">
      <w:lvlJc w:val="left"/>
      <w:lvlText w:val="(%1)"/>
      <w:numFmt w:val="lowerLetter"/>
      <w:start w:val="27"/>
    </w:lvl>
  </w:abstractNum>
  <w:abstractNum w:abstractNumId="14">
    <w:nsid w:val="3006C83E"/>
    <w:multiLevelType w:val="hybridMultilevel"/>
    <w:lvl w:ilvl="0">
      <w:lvlJc w:val="left"/>
      <w:lvlText w:val="(%1)"/>
      <w:numFmt w:val="lowerLetter"/>
      <w:start w:val="31"/>
    </w:lvl>
  </w:abstractNum>
  <w:abstractNum w:abstractNumId="15">
    <w:nsid w:val="614FD4A1"/>
    <w:multiLevelType w:val="hybridMultilevel"/>
    <w:lvl w:ilvl="0">
      <w:lvlJc w:val="left"/>
      <w:lvlText w:val="(%1)"/>
      <w:numFmt w:val="lowerLetter"/>
      <w:start w:val="35"/>
    </w:lvl>
  </w:abstractNum>
  <w:abstractNum w:abstractNumId="16">
    <w:nsid w:val="419AC241"/>
    <w:multiLevelType w:val="hybridMultilevel"/>
    <w:lvl w:ilvl="0">
      <w:lvlJc w:val="left"/>
      <w:lvlText w:val="(%1)"/>
      <w:numFmt w:val="lowerLetter"/>
      <w:start w:val="40"/>
    </w:lvl>
  </w:abstractNum>
  <w:abstractNum w:abstractNumId="17">
    <w:nsid w:val="5577F8E1"/>
    <w:multiLevelType w:val="hybridMultilevel"/>
    <w:lvl w:ilvl="0">
      <w:lvlJc w:val="left"/>
      <w:lvlText w:val="(%1)"/>
      <w:numFmt w:val="lowerLetter"/>
      <w:start w:val="43"/>
    </w:lvl>
  </w:abstractNum>
  <w:abstractNum w:abstractNumId="18">
    <w:nsid w:val="440BADFC"/>
    <w:multiLevelType w:val="hybridMultilevel"/>
    <w:lvl w:ilvl="0">
      <w:lvlJc w:val="left"/>
      <w:lvlText w:val="%1"/>
      <w:numFmt w:val="lowerRoman"/>
      <w:start w:val="1"/>
    </w:lvl>
    <w:lvl w:ilvl="1">
      <w:lvlJc w:val="left"/>
      <w:lvlText w:val="(%2)"/>
      <w:numFmt w:val="lowerLetter"/>
      <w:start w:val="46"/>
    </w:lvl>
  </w:abstractNum>
  <w:abstractNum w:abstractNumId="19">
    <w:nsid w:val="5072367"/>
    <w:multiLevelType w:val="hybridMultilevel"/>
    <w:lvl w:ilvl="0">
      <w:lvlJc w:val="left"/>
      <w:lvlText w:val="(%1)"/>
      <w:numFmt w:val="lowerRoman"/>
      <w:start w:val="2"/>
    </w:lvl>
    <w:lvl w:ilvl="1">
      <w:lvlJc w:val="left"/>
      <w:lvlText w:val="(%2)"/>
      <w:numFmt w:val="lowerLetter"/>
      <w:start w:val="47"/>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1"/>
      <w:numFmt w:val="upperLetter"/>
      <w:start w:val="1"/>
    </w:lvl>
    <w:lvl w:ilvl="1">
      <w:lvlJc w:val="left"/>
      <w:lvlText w:val="(%2)"/>
      <w:numFmt w:val="lowerRoman"/>
      <w:start w:val="1"/>
    </w:lvl>
  </w:abstractNum>
  <w:abstractNum w:abstractNumId="22">
    <w:nsid w:val="7724C67E"/>
    <w:multiLevelType w:val="hybridMultilevel"/>
    <w:lvl w:ilvl="0">
      <w:lvlJc w:val="left"/>
      <w:lvlText w:val="(%1)"/>
      <w:numFmt w:val="upperLetter"/>
      <w:start w:val="2"/>
    </w:lvl>
    <w:lvl w:ilvl="1">
      <w:lvlJc w:val="left"/>
      <w:lvlText w:val="(%2)"/>
      <w:numFmt w:val="lowerRoman"/>
      <w:start w:val="4"/>
    </w:lvl>
  </w:abstractNum>
  <w:abstractNum w:abstractNumId="23">
    <w:nsid w:val="5C482A97"/>
    <w:multiLevelType w:val="hybridMultilevel"/>
    <w:lvl w:ilvl="0">
      <w:lvlJc w:val="left"/>
      <w:lvlText w:val="(%1)"/>
      <w:numFmt w:val="lowerRoman"/>
      <w:start w:val="6"/>
    </w:lvl>
  </w:abstractNum>
  <w:abstractNum w:abstractNumId="24">
    <w:nsid w:val="2463B9EA"/>
    <w:multiLevelType w:val="hybridMultilevel"/>
    <w:lvl w:ilvl="0">
      <w:lvlJc w:val="left"/>
      <w:lvlText w:val="(%1)"/>
      <w:numFmt w:val="lowerLetter"/>
      <w:start w:val="3"/>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2"/>
    </w:lvl>
  </w:abstractNum>
  <w:abstractNum w:abstractNumId="27">
    <w:nsid w:val="2D517796"/>
    <w:multiLevelType w:val="hybridMultilevel"/>
    <w:lvl w:ilvl="0">
      <w:lvlJc w:val="left"/>
      <w:lvlText w:val="(%1)"/>
      <w:numFmt w:val="lowerLetter"/>
      <w:start w:val="6"/>
    </w:lvl>
  </w:abstractNum>
  <w:abstractNum w:abstractNumId="28">
    <w:nsid w:val="580BD78F"/>
    <w:multiLevelType w:val="hybridMultilevel"/>
    <w:lvl w:ilvl="0">
      <w:lvlJc w:val="left"/>
      <w:lvlText w:val="%1"/>
      <w:numFmt w:val="lowerLetter"/>
      <w:start w:val="1"/>
    </w:lvl>
    <w:lvl w:ilvl="1">
      <w:lvlJc w:val="left"/>
      <w:lvlText w:val="(%2)"/>
      <w:numFmt w:val="lowerLetter"/>
      <w:start w:val="9"/>
    </w:lvl>
  </w:abstractNum>
  <w:abstractNum w:abstractNumId="29">
    <w:nsid w:val="153EA438"/>
    <w:multiLevelType w:val="hybridMultilevel"/>
    <w:lvl w:ilvl="0">
      <w:lvlJc w:val="left"/>
      <w:lvlText w:val="(%1)"/>
      <w:numFmt w:val="lowerLetter"/>
      <w:start w:val="2"/>
    </w:lvl>
    <w:lvl w:ilvl="1">
      <w:lvlJc w:val="left"/>
      <w:lvlText w:val="(%2)"/>
      <w:numFmt w:val="lowerLetter"/>
      <w:start w:val="12"/>
    </w:lvl>
  </w:abstractNum>
  <w:abstractNum w:abstractNumId="30">
    <w:nsid w:val="3855585C"/>
    <w:multiLevelType w:val="hybridMultilevel"/>
    <w:lvl w:ilvl="0">
      <w:lvlJc w:val="left"/>
      <w:lvlText w:val="(%1)"/>
      <w:numFmt w:val="lowerLetter"/>
      <w:start w:val="14"/>
    </w:lvl>
    <w:lvl w:ilvl="1">
      <w:lvlJc w:val="left"/>
      <w:lvlText w:val="(%2)"/>
      <w:numFmt w:val="upperLetter"/>
      <w:start w:val="1"/>
    </w:lvl>
  </w:abstractNum>
  <w:abstractNum w:abstractNumId="31">
    <w:nsid w:val="70A64E2A"/>
    <w:multiLevelType w:val="hybridMultilevel"/>
    <w:lvl w:ilvl="0">
      <w:lvlJc w:val="left"/>
      <w:lvlText w:val="(%1)"/>
      <w:numFmt w:val="lowerLetter"/>
      <w:start w:val="16"/>
    </w:lvl>
  </w:abstractNum>
  <w:abstractNum w:abstractNumId="32">
    <w:nsid w:val="6A2342EC"/>
    <w:multiLevelType w:val="hybridMultilevel"/>
    <w:lvl w:ilvl="0">
      <w:lvlJc w:val="left"/>
      <w:lvlText w:val="(%1)"/>
      <w:numFmt w:val="lowerLetter"/>
      <w:start w:val="19"/>
    </w:lvl>
  </w:abstractNum>
  <w:abstractNum w:abstractNumId="33">
    <w:nsid w:val="2A487CB0"/>
    <w:multiLevelType w:val="hybridMultilevel"/>
    <w:lvl w:ilvl="0">
      <w:lvlJc w:val="left"/>
      <w:lvlText w:val="%1"/>
      <w:numFmt w:val="lowerRoman"/>
      <w:start w:val="1"/>
    </w:lvl>
    <w:lvl w:ilvl="1">
      <w:lvlJc w:val="left"/>
      <w:lvlText w:val="(%2)"/>
      <w:numFmt w:val="lowerLetter"/>
      <w:start w:val="1"/>
    </w:lvl>
  </w:abstractNum>
  <w:abstractNum w:abstractNumId="34">
    <w:nsid w:val="1D4ED43B"/>
    <w:multiLevelType w:val="hybridMultilevel"/>
    <w:lvl w:ilvl="0">
      <w:lvlJc w:val="left"/>
      <w:lvlText w:val="%1"/>
      <w:numFmt w:val="lowerRoman"/>
      <w:start w:val="1"/>
    </w:lvl>
    <w:lvl w:ilvl="1">
      <w:lvlJc w:val="left"/>
      <w:lvlText w:val="(%2)"/>
      <w:numFmt w:val="lowerLetter"/>
      <w:start w:val="9"/>
    </w:lvl>
  </w:abstractNum>
  <w:abstractNum w:abstractNumId="35">
    <w:nsid w:val="725A06FB"/>
    <w:multiLevelType w:val="hybridMultilevel"/>
    <w:lvl w:ilvl="0">
      <w:lvlJc w:val="left"/>
      <w:lvlText w:val="%1"/>
      <w:numFmt w:val="lowerRoman"/>
      <w:start w:val="1"/>
    </w:lvl>
    <w:lvl w:ilvl="1">
      <w:lvlJc w:val="left"/>
      <w:lvlText w:val="(%2)"/>
      <w:numFmt w:val="lowerLetter"/>
      <w:start w:val="35"/>
    </w:lvl>
  </w:abstractNum>
  <w:abstractNum w:abstractNumId="36">
    <w:nsid w:val="2CD89A32"/>
    <w:multiLevelType w:val="hybridMultilevel"/>
    <w:lvl w:ilvl="0">
      <w:lvlJc w:val="left"/>
      <w:lvlText w:val="%1"/>
      <w:numFmt w:val="lowerRoman"/>
      <w:start w:val="1"/>
    </w:lvl>
    <w:lvl w:ilvl="1">
      <w:lvlJc w:val="left"/>
      <w:lvlText w:val="(%2)"/>
      <w:numFmt w:val="lowerLetter"/>
      <w:start w:val="61"/>
    </w:lvl>
  </w:abstractNum>
  <w:abstractNum w:abstractNumId="37">
    <w:nsid w:val="57E4CCAF"/>
    <w:multiLevelType w:val="hybridMultilevel"/>
    <w:lvl w:ilvl="0">
      <w:lvlJc w:val="left"/>
      <w:lvlText w:val="(%1)"/>
      <w:numFmt w:val="lowerRoman"/>
      <w:start w:val="4"/>
    </w:lvl>
  </w:abstractNum>
  <w:abstractNum w:abstractNumId="38">
    <w:nsid w:val="7A6D8D3C"/>
    <w:multiLevelType w:val="hybridMultilevel"/>
    <w:lvl w:ilvl="0">
      <w:lvlJc w:val="left"/>
      <w:lvlText w:val="(%1)"/>
      <w:numFmt w:val="lowerLetter"/>
      <w:start w:val="2"/>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2"/>
    </w:lvl>
  </w:abstractNum>
  <w:abstractNum w:abstractNumId="41">
    <w:nsid w:val="6DE91B18"/>
    <w:multiLevelType w:val="hybridMultilevel"/>
    <w:lvl w:ilvl="0">
      <w:lvlJc w:val="left"/>
      <w:lvlText w:val="(%1)"/>
      <w:numFmt w:val="lowerLetter"/>
      <w:start w:val="3"/>
    </w:lvl>
  </w:abstractNum>
  <w:abstractNum w:abstractNumId="42">
    <w:nsid w:val="38437FDB"/>
    <w:multiLevelType w:val="hybridMultilevel"/>
    <w:lvl w:ilvl="0">
      <w:lvlJc w:val="left"/>
      <w:lvlText w:val="%1"/>
      <w:numFmt w:val="lowerLetter"/>
      <w:start w:val="1"/>
    </w:lvl>
    <w:lvl w:ilvl="1">
      <w:lvlJc w:val="left"/>
      <w:lvlText w:val="(%2)"/>
      <w:numFmt w:val="lowerLetter"/>
      <w:start w:val="4"/>
    </w:lvl>
  </w:abstractNum>
  <w:abstractNum w:abstractNumId="43">
    <w:nsid w:val="7644A45C"/>
    <w:multiLevelType w:val="hybridMultilevel"/>
    <w:lvl w:ilvl="0">
      <w:lvlJc w:val="left"/>
      <w:lvlText w:val="(%1)"/>
      <w:numFmt w:val="lowerLetter"/>
      <w:start w:val="9"/>
    </w:lvl>
    <w:lvl w:ilvl="1">
      <w:lvlJc w:val="left"/>
      <w:lvlText w:val="(%2)"/>
      <w:numFmt w:val="lowerLetter"/>
      <w:start w:val="5"/>
    </w:lvl>
  </w:abstractNum>
  <w:abstractNum w:abstractNumId="44">
    <w:nsid w:val="32FFF902"/>
    <w:multiLevelType w:val="hybridMultilevel"/>
    <w:lvl w:ilvl="0">
      <w:lvlJc w:val="left"/>
      <w:lvlText w:val="(%1)"/>
      <w:numFmt w:val="lowerLetter"/>
      <w:start w:val="1"/>
    </w:lvl>
    <w:lvl w:ilvl="1">
      <w:lvlJc w:val="left"/>
      <w:lvlText w:val="(%2)"/>
      <w:numFmt w:val="lowerRoman"/>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4"/>
    </w:lvl>
  </w:abstractNum>
  <w:abstractNum w:abstractNumId="47">
    <w:nsid w:val="749ABB43"/>
    <w:multiLevelType w:val="hybridMultilevel"/>
    <w:lvl w:ilvl="0">
      <w:lvlJc w:val="left"/>
      <w:lvlText w:val="%1"/>
      <w:numFmt w:val="decimal"/>
      <w:start w:val="200"/>
    </w:lvl>
  </w:abstractNum>
  <w:abstractNum w:abstractNumId="48">
    <w:nsid w:val="3DC240FB"/>
    <w:multiLevelType w:val="hybridMultilevel"/>
    <w:lvl w:ilvl="0">
      <w:lvlJc w:val="left"/>
      <w:lvlText w:val="(%1)"/>
      <w:numFmt w:val="lowerLetter"/>
      <w:start w:val="5"/>
    </w:lvl>
  </w:abstractNum>
  <w:abstractNum w:abstractNumId="49">
    <w:nsid w:val="1BA026FA"/>
    <w:multiLevelType w:val="hybridMultilevel"/>
    <w:lvl w:ilvl="0">
      <w:lvlJc w:val="left"/>
      <w:lvlText w:val="(%1)"/>
      <w:numFmt w:val="lowerLetter"/>
      <w:start w:val="6"/>
    </w:lvl>
  </w:abstractNum>
  <w:abstractNum w:abstractNumId="50">
    <w:nsid w:val="79A1DEAA"/>
    <w:multiLevelType w:val="hybridMultilevel"/>
    <w:lvl w:ilvl="0">
      <w:lvlJc w:val="left"/>
      <w:lvlText w:val="(%1)"/>
      <w:numFmt w:val="lowerRoman"/>
      <w:start w:val="1"/>
    </w:lvl>
  </w:abstractNum>
  <w:abstractNum w:abstractNumId="51">
    <w:nsid w:val="75C6C33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2025-07-14T16:15:20Z</dcterms:created>
  <dcterms:modified xsi:type="dcterms:W3CDTF">2025-07-14T16:15:20Z</dcterms:modified>
</cp:coreProperties>
</file>