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U.S. Securities and Exchange Commission on August 26, 2022</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333-266683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98-1586514</w:t>
            </w:r>
          </w:p>
        </w:tc>
      </w:tr>
      <w:tr>
        <w:trPr>
          <w:trHeight w:val="148"/>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2000 Frontis Plaza Blvd., Ste 250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Winston-Salem, NC 27103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(336) 999-7028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Tim Bertram, Ph.D.</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ProKidney Corp.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2000 Frontis Plaza Blvd., Ste 250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Winston-Salem, NC 27103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(336) 999-7028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56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02"/>
        </w:trPr>
        <w:tc>
          <w:tcPr>
            <w:tcW w:w="28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Todd C. Girolamo, Esq.</w:t>
            </w: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rPr>
              <w:t>Megan N. Gates, Esq.</w:t>
            </w:r>
          </w:p>
        </w:tc>
      </w:tr>
      <w:tr>
        <w:trPr>
          <w:trHeight w:val="203"/>
        </w:trPr>
        <w:tc>
          <w:tcPr>
            <w:tcW w:w="28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ProKidney Corp.</w:t>
            </w: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w w:val="99"/>
              </w:rPr>
              <w:t>Jason S. McCaffrey, Esq.</w:t>
            </w:r>
          </w:p>
        </w:tc>
      </w:tr>
      <w:tr>
        <w:trPr>
          <w:trHeight w:val="203"/>
        </w:trPr>
        <w:tc>
          <w:tcPr>
            <w:tcW w:w="28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2000 Frontis Plaza Blvd., Ste 250</w:t>
            </w: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w w:val="99"/>
              </w:rPr>
              <w:t>Matthew T. Simpson, Esq.</w:t>
            </w:r>
          </w:p>
        </w:tc>
      </w:tr>
      <w:tr>
        <w:trPr>
          <w:trHeight w:val="203"/>
        </w:trPr>
        <w:tc>
          <w:tcPr>
            <w:tcW w:w="288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Winston-Salem, NC 27103</w:t>
            </w: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rPr>
              <w:t>Mintz, Levin, Cohn, Ferris, Glovsky and Popeo, P.C.</w:t>
            </w:r>
          </w:p>
        </w:tc>
      </w:tr>
      <w:tr>
        <w:trPr>
          <w:trHeight w:val="203"/>
        </w:trPr>
        <w:tc>
          <w:tcPr>
            <w:tcW w:w="28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Telephone: (336) 999-7028</w:t>
            </w: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rPr>
              <w:t>One Financial Center</w:t>
            </w:r>
          </w:p>
        </w:tc>
      </w:tr>
      <w:tr>
        <w:trPr>
          <w:trHeight w:val="203"/>
        </w:trPr>
        <w:tc>
          <w:tcPr>
            <w:tcW w:w="2880" w:type="dxa"/>
            <w:vAlign w:val="bottom"/>
          </w:tcPr>
          <w:p>
            <w:pPr>
              <w:spacing w:after="0"/>
              <w:rPr>
                <w:sz w:val="17"/>
                <w:szCs w:val="17"/>
                <w:color w:val="auto"/>
              </w:rPr>
            </w:pP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rPr>
              <w:t>Boston, Massachusetts 02111</w:t>
            </w:r>
          </w:p>
        </w:tc>
      </w:tr>
      <w:tr>
        <w:trPr>
          <w:trHeight w:val="212"/>
        </w:trPr>
        <w:tc>
          <w:tcPr>
            <w:tcW w:w="2880" w:type="dxa"/>
            <w:vAlign w:val="bottom"/>
          </w:tcPr>
          <w:p>
            <w:pPr>
              <w:spacing w:after="0"/>
              <w:rPr>
                <w:sz w:val="18"/>
                <w:szCs w:val="18"/>
                <w:color w:val="auto"/>
              </w:rPr>
            </w:pPr>
          </w:p>
        </w:tc>
        <w:tc>
          <w:tcPr>
            <w:tcW w:w="5640" w:type="dxa"/>
            <w:vAlign w:val="bottom"/>
          </w:tcPr>
          <w:p>
            <w:pPr>
              <w:jc w:val="center"/>
              <w:ind w:left="1918"/>
              <w:spacing w:after="0"/>
              <w:rPr>
                <w:sz w:val="20"/>
                <w:szCs w:val="20"/>
                <w:color w:val="auto"/>
              </w:rPr>
            </w:pPr>
            <w:r>
              <w:rPr>
                <w:rFonts w:ascii="Times New Roman" w:cs="Times New Roman" w:eastAsia="Times New Roman" w:hAnsi="Times New Roman"/>
                <w:sz w:val="16"/>
                <w:szCs w:val="16"/>
                <w:b w:val="1"/>
                <w:bCs w:val="1"/>
                <w:color w:val="auto"/>
                <w:w w:val="99"/>
              </w:rPr>
              <w:t>Telephone: (617) 542-6000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the effective date of this registration statement.</w:t>
      </w:r>
    </w:p>
    <w:p>
      <w:pPr>
        <w:spacing w:after="0" w:line="73" w:lineRule="exact"/>
        <w:rPr>
          <w:sz w:val="24"/>
          <w:szCs w:val="24"/>
          <w:color w:val="auto"/>
        </w:rPr>
      </w:pPr>
    </w:p>
    <w:p>
      <w:pPr>
        <w:ind w:left="120" w:right="4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 w:lineRule="exact"/>
        <w:rPr>
          <w:sz w:val="24"/>
          <w:szCs w:val="24"/>
          <w:color w:val="auto"/>
        </w:rPr>
      </w:pPr>
    </w:p>
    <w:p>
      <w:pPr>
        <w:ind w:left="120" w:right="4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6" w:lineRule="exact"/>
        <w:rPr>
          <w:sz w:val="24"/>
          <w:szCs w:val="24"/>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Section8(a) of the Securities Act of 1933, as amended, or until the Registration Statement shall become effective on such date as the Securities and Exchange Commission, acting pursuant to said Section8(a),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69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40"/>
        <w:spacing w:after="0" w:line="291" w:lineRule="auto"/>
        <w:rPr>
          <w:sz w:val="20"/>
          <w:szCs w:val="20"/>
          <w:color w:val="auto"/>
        </w:rPr>
      </w:pPr>
      <w:r>
        <w:rPr>
          <w:rFonts w:ascii="Times New Roman" w:cs="Times New Roman" w:eastAsia="Times New Roman" w:hAnsi="Times New Roman"/>
          <w:sz w:val="17"/>
          <w:szCs w:val="17"/>
          <w:b w:val="1"/>
          <w:bCs w:val="1"/>
          <w:color w:val="FF4338"/>
        </w:rPr>
        <w:t>The information in this preliminary prospectus is not complete and may be changed. The selling securityholders may not sell these securities until the registration statement filed with the Securities and Exchange Commission becomes effective. This preliminary prospectus is not an offer to sell these securities and it is not soliciting an offer to buy these securities in any state where the offer or sale is not permitted.</w:t>
      </w:r>
    </w:p>
    <w:p>
      <w:pPr>
        <w:spacing w:after="0" w:line="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26,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Up to 239,420,000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1" w:lineRule="exact"/>
        <w:rPr>
          <w:sz w:val="20"/>
          <w:szCs w:val="20"/>
          <w:color w:val="auto"/>
        </w:rPr>
      </w:pPr>
    </w:p>
    <w:p>
      <w:pPr>
        <w:ind w:left="120" w:right="40" w:firstLine="440"/>
        <w:spacing w:after="0"/>
        <w:rPr>
          <w:sz w:val="20"/>
          <w:szCs w:val="20"/>
          <w:color w:val="auto"/>
        </w:rPr>
      </w:pPr>
      <w:r>
        <w:rPr>
          <w:rFonts w:ascii="Times New Roman" w:cs="Times New Roman" w:eastAsia="Times New Roman" w:hAnsi="Times New Roman"/>
          <w:sz w:val="15"/>
          <w:szCs w:val="15"/>
          <w:color w:val="auto"/>
        </w:rPr>
        <w:t>This prospectus relates to (i) the resale from time to time by certain of the selling securityholders named in this prospectus (the “Selling Securityholders”) of 6,890,000 Class A ordinary shares, par value $0.0001 per share (“Class A ordinary shares”) of ProKidney Corp. (formerly known as Social Capital Suvretta Holdings Corp. III, “SCS” or the “Company”), collectively held by certain holders of the Company’s securities (the “Holders”) party to that certain Amended and Restated Registration Rights Agreement, dated as of July 11, 2022, by and among the Company, SCS Sponsor III LLC (the “Sponsor”), and the Holders (the “Amended and Restated Registration Rights Agreement”), their permitted transferees and certain Additional Holders (as defined in the Amended and Restated Registration Rights Agreement); (ii) the resale from time to time of 180,000,000 Class A ordinary shares issued or issuable to the ProKidney Unitholders pursuant to that certain Exchange Agreement, dated as of July 11, 2022, by and among the Company, ProKidney LP, and certain holders of the Company’s securities party thereto (the “Exchange Agreement”); (iii) the resale from time to time by certain of the Selling Securityholders of 52,480,000 Class A ordinary shares, purchased by certain investors at a purchase price of $10.00 per share, pursuant to subscription agreements with the Company; and (iv) the issuance by us and the resale from time to time by certain of the Selling Securityholders of 50,000 Class A ordinary shares reserved for issuance upon the settlement of restricted stock units.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such securities and the general manner in which the Selling Securityholders may offer or sell the securities. The prospectus supplement may also add, update or change information contained in this prospectus.</w:t>
      </w:r>
    </w:p>
    <w:p>
      <w:pPr>
        <w:spacing w:after="0" w:line="5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5"/>
          <w:szCs w:val="15"/>
          <w:color w:val="auto"/>
        </w:rPr>
        <w:t>We will not receive any proceeds from the sale of Class A ordinary shares by the Selling Securityholders. However, we will pay the expenses, other than any underwriting discounts and commissions, associated with the sale of securities pursuant to this prospectus.</w:t>
      </w:r>
    </w:p>
    <w:p>
      <w:pPr>
        <w:spacing w:after="0" w:line="57" w:lineRule="exact"/>
        <w:rPr>
          <w:sz w:val="20"/>
          <w:szCs w:val="20"/>
          <w:color w:val="auto"/>
        </w:rPr>
      </w:pPr>
    </w:p>
    <w:p>
      <w:pPr>
        <w:ind w:left="120" w:right="60" w:firstLine="440"/>
        <w:spacing w:after="0" w:line="238" w:lineRule="auto"/>
        <w:rPr>
          <w:sz w:val="20"/>
          <w:szCs w:val="20"/>
          <w:color w:val="auto"/>
        </w:rPr>
      </w:pPr>
      <w:r>
        <w:rPr>
          <w:rFonts w:ascii="Times New Roman" w:cs="Times New Roman" w:eastAsia="Times New Roman" w:hAnsi="Times New Roman"/>
          <w:sz w:val="15"/>
          <w:szCs w:val="15"/>
          <w:color w:val="auto"/>
        </w:rPr>
        <w:t>We are registering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You should read this prospectus and any prospectus supplement or amendment carefully before you invest in our securities.</w:t>
      </w:r>
    </w:p>
    <w:p>
      <w:pPr>
        <w:spacing w:after="0" w:line="98" w:lineRule="exact"/>
        <w:rPr>
          <w:sz w:val="20"/>
          <w:szCs w:val="20"/>
          <w:color w:val="auto"/>
        </w:rPr>
      </w:pPr>
    </w:p>
    <w:p>
      <w:pPr>
        <w:ind w:left="120" w:firstLine="440"/>
        <w:spacing w:after="0" w:line="227" w:lineRule="auto"/>
        <w:rPr>
          <w:sz w:val="20"/>
          <w:szCs w:val="20"/>
          <w:color w:val="auto"/>
        </w:rPr>
      </w:pPr>
      <w:r>
        <w:rPr>
          <w:rFonts w:ascii="Times New Roman" w:cs="Times New Roman" w:eastAsia="Times New Roman" w:hAnsi="Times New Roman"/>
          <w:sz w:val="15"/>
          <w:szCs w:val="15"/>
          <w:color w:val="auto"/>
        </w:rPr>
        <w:t>Our Class A ordinary shares are listed on the Nasdaq Capital Market under the symbol “PROK.” On August 25, 2022, the closing price of our Class A ordinary shares was $7.50. The ordinary shares held by the Selling Securityholders were purchased at prices no higher than $10.00 per share. In particular, (i) 6,250,000 Class B ordinary shares (which were converted into Class A ordinary shares on a one-for-one basis upon the closing of the business combination between the Company and ProKidney LP) collectively held by former holders of Class B ordinary shares were purchased at an effective price of $0.004 per share; (ii) the 52,480,000 Class A ordinary shares purchased pursuant to certain subscription agreements, 5,000,000 Class B ordinary shares acquired by Tolerantia, LLC and Control Empresarial de Capitales, S.A. de C.V. pursuant to their subscription agreements and their subsequent election to receive units in the Company (and a corresponding number of Class B ordinary shares) in lieu of Class A ordinary shares, and 640,000 private placement shares purchased by the Sponsor, registered for resale hereby were purchased at a price of $10.00 per share; (iii) 152,796,613 Class B ordinary shares, which are exchangeable for Class A ordinary shares pursuant to the Exchange Agreement, were purchased from ProKidney LP by certain of its holders at a price per share of $1.22, after adjusting for the recapitalization of Class A and Class B units in ProKidney LP into Class B ordinary shares (including Class B ordinary shares underlying restricted stock rights);</w:t>
      </w:r>
    </w:p>
    <w:p>
      <w:pPr>
        <w:spacing w:after="0" w:line="6" w:lineRule="exact"/>
        <w:rPr>
          <w:sz w:val="20"/>
          <w:szCs w:val="20"/>
          <w:color w:val="auto"/>
        </w:rPr>
      </w:pPr>
    </w:p>
    <w:p>
      <w:pPr>
        <w:ind w:left="120" w:right="40" w:hanging="4"/>
        <w:spacing w:after="0" w:line="231" w:lineRule="auto"/>
        <w:tabs>
          <w:tab w:leader="none" w:pos="379"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7,699,927 Class B ordinary shares (including Class B ordinary shares underlying restricted stock rights) were purchased from ProKidney LP by individual holders at a price per share of $1.11, after adjusting for the recapitalization mentioned in clause (iii); (v) 14,503,460 Class B ordinary shares (including Class B ordinary shares underlying restricted stock rights) were granted by ProKidney LP as compensation for services rendered, rather than purchased by individual holders; and (vi) 50,000 Class A ordinary shares were granted by the Company as compensation for services rendered, rather than purchased, in the form of restricted stock units. The sale or the possibility of sale of these securities trading in the public market may negatively impact the market price of 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0"/>
          <w:szCs w:val="20"/>
          <w:color w:val="auto"/>
        </w:rPr>
      </w:pPr>
    </w:p>
    <w:p>
      <w:pPr>
        <w:ind w:left="120" w:right="740" w:firstLine="440"/>
        <w:spacing w:after="0" w:line="266"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See “</w:t>
      </w:r>
      <w:r>
        <w:rPr>
          <w:rFonts w:ascii="Times New Roman" w:cs="Times New Roman" w:eastAsia="Times New Roman" w:hAnsi="Times New Roman"/>
          <w:sz w:val="15"/>
          <w:szCs w:val="15"/>
          <w:b w:val="1"/>
          <w:bCs w:val="1"/>
          <w:i w:val="1"/>
          <w:iCs w:val="1"/>
          <w:u w:val="single" w:color="auto"/>
          <w:color w:val="0000EE"/>
        </w:rPr>
        <w:t>Risk Factors</w:t>
      </w:r>
      <w:r>
        <w:rPr>
          <w:rFonts w:ascii="Times New Roman" w:cs="Times New Roman" w:eastAsia="Times New Roman" w:hAnsi="Times New Roman"/>
          <w:sz w:val="15"/>
          <w:szCs w:val="15"/>
          <w:b w:val="1"/>
          <w:bCs w:val="1"/>
          <w:color w:val="auto"/>
        </w:rPr>
        <w:t>” beginning on page 6 of this prospectus and in the other documents that are incorporated by reference in this prospectus.</w:t>
      </w:r>
    </w:p>
    <w:p>
      <w:pPr>
        <w:spacing w:after="0" w:line="5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5"/>
          <w:szCs w:val="15"/>
          <w:b w:val="1"/>
          <w:bCs w:val="1"/>
          <w:color w:val="auto"/>
        </w:rPr>
        <w:t>None of the Securities and Exchange Commission, any state securities commission or any other regulatory body has approved or disapproved of these securities, or determined if this prospectus is truthful or complete. Any representation to the contrary is a criminal offense.</w:t>
      </w:r>
    </w:p>
    <w:p>
      <w:pPr>
        <w:spacing w:after="0" w:line="50" w:lineRule="exact"/>
        <w:rPr>
          <w:sz w:val="20"/>
          <w:szCs w:val="20"/>
          <w:color w:val="auto"/>
        </w:rPr>
      </w:pPr>
    </w:p>
    <w:tbl>
      <w:tblPr>
        <w:tblLayout w:type="fixed"/>
        <w:tblInd w:w="4040" w:type="dxa"/>
        <w:tblCellMar>
          <w:top w:w="0" w:type="dxa"/>
          <w:left w:w="0" w:type="dxa"/>
          <w:bottom w:w="0" w:type="dxa"/>
          <w:right w:w="0" w:type="dxa"/>
        </w:tblCellMar>
      </w:tblP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The date of this prospectus is</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2022.</w:t>
            </w:r>
          </w:p>
        </w:tc>
      </w:tr>
    </w:tbl>
    <w:p>
      <w:pPr>
        <w:sectPr>
          <w:pgSz w:w="11900" w:h="16838" w:orient="portrait"/>
          <w:cols w:equalWidth="0" w:num="1">
            <w:col w:w="11100"/>
          </w:cols>
          <w:pgMar w:left="320" w:top="482" w:right="4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4"/>
                <w:szCs w:val="24"/>
                <w:color w:val="auto"/>
              </w:rPr>
            </w:pPr>
          </w:p>
        </w:tc>
      </w:tr>
      <w:tr>
        <w:trPr>
          <w:trHeight w:val="526"/>
        </w:trPr>
        <w:tc>
          <w:tcPr>
            <w:tcW w:w="120" w:type="dxa"/>
            <w:vAlign w:val="bottom"/>
          </w:tcPr>
          <w:p>
            <w:pPr>
              <w:spacing w:after="0"/>
              <w:rPr>
                <w:sz w:val="24"/>
                <w:szCs w:val="24"/>
                <w:color w:val="auto"/>
              </w:rPr>
            </w:pPr>
          </w:p>
        </w:tc>
        <w:tc>
          <w:tcPr>
            <w:tcW w:w="2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CERTAIN DEFINED TERMS</w:t>
            </w:r>
          </w:p>
        </w:tc>
        <w:tc>
          <w:tcPr>
            <w:tcW w:w="7540" w:type="dxa"/>
            <w:vAlign w:val="bottom"/>
            <w:gridSpan w:val="1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980" w:type="dxa"/>
            <w:vAlign w:val="bottom"/>
            <w:gridSpan w:val="5"/>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w:t>
            </w:r>
          </w:p>
        </w:tc>
      </w:tr>
      <w:tr>
        <w:trPr>
          <w:trHeight w:val="304"/>
        </w:trPr>
        <w:tc>
          <w:tcPr>
            <w:tcW w:w="120" w:type="dxa"/>
            <w:vAlign w:val="bottom"/>
          </w:tcPr>
          <w:p>
            <w:pPr>
              <w:spacing w:after="0"/>
              <w:rPr>
                <w:sz w:val="24"/>
                <w:szCs w:val="24"/>
                <w:color w:val="auto"/>
              </w:rPr>
            </w:pPr>
          </w:p>
        </w:tc>
        <w:tc>
          <w:tcPr>
            <w:tcW w:w="27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SUMMARY OF THE PROSPECTUS</w:t>
            </w:r>
          </w:p>
        </w:tc>
        <w:tc>
          <w:tcPr>
            <w:tcW w:w="7000" w:type="dxa"/>
            <w:vAlign w:val="bottom"/>
            <w:gridSpan w:val="1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480" w:type="dxa"/>
            <w:vAlign w:val="bottom"/>
            <w:gridSpan w:val="20"/>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180" w:type="dxa"/>
            <w:vAlign w:val="bottom"/>
            <w:gridSpan w:val="17"/>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5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18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4"/>
        </w:trPr>
        <w:tc>
          <w:tcPr>
            <w:tcW w:w="120" w:type="dxa"/>
            <w:vAlign w:val="bottom"/>
          </w:tcPr>
          <w:p>
            <w:pPr>
              <w:spacing w:after="0"/>
              <w:rPr>
                <w:sz w:val="24"/>
                <w:szCs w:val="24"/>
                <w:color w:val="auto"/>
              </w:rPr>
            </w:pPr>
          </w:p>
        </w:tc>
        <w:tc>
          <w:tcPr>
            <w:tcW w:w="7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NOTES TO UNAUDITED PRO FORMA CONDENSED COMBINED FINANCIAL INFORMATION</w:t>
            </w:r>
          </w:p>
        </w:tc>
        <w:tc>
          <w:tcPr>
            <w:tcW w:w="228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BUSINESS OF PROKIDNEY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04"/>
        </w:trPr>
        <w:tc>
          <w:tcPr>
            <w:tcW w:w="120" w:type="dxa"/>
            <w:vAlign w:val="bottom"/>
          </w:tcPr>
          <w:p>
            <w:pPr>
              <w:spacing w:after="0"/>
              <w:rPr>
                <w:sz w:val="24"/>
                <w:szCs w:val="24"/>
                <w:color w:val="auto"/>
              </w:rPr>
            </w:pPr>
          </w:p>
        </w:tc>
        <w:tc>
          <w:tcPr>
            <w:tcW w:w="89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DESCRIPTION OF PROKIDNEY SECURITIES</w:t>
            </w:r>
          </w:p>
        </w:tc>
        <w:tc>
          <w:tcPr>
            <w:tcW w:w="8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SECURITIES ACT RESTRICTIONS ON RESALE OF SECURITIES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04"/>
        </w:trPr>
        <w:tc>
          <w:tcPr>
            <w:tcW w:w="120" w:type="dxa"/>
            <w:vAlign w:val="bottom"/>
          </w:tcPr>
          <w:p>
            <w:pPr>
              <w:spacing w:after="0"/>
              <w:rPr>
                <w:sz w:val="24"/>
                <w:szCs w:val="24"/>
                <w:color w:val="auto"/>
              </w:rPr>
            </w:pPr>
          </w:p>
        </w:tc>
        <w:tc>
          <w:tcPr>
            <w:tcW w:w="34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1620" w:type="dxa"/>
            <w:vAlign w:val="bottom"/>
            <w:tcBorders>
              <w:top w:val="single" w:sz="8" w:color="0000EE"/>
            </w:tcBorders>
            <w:gridSpan w:val="3"/>
          </w:tcPr>
          <w:p>
            <w:pPr>
              <w:spacing w:after="0"/>
              <w:rPr>
                <w:sz w:val="24"/>
                <w:szCs w:val="24"/>
                <w:color w:val="auto"/>
              </w:rPr>
            </w:pPr>
          </w:p>
        </w:tc>
        <w:tc>
          <w:tcPr>
            <w:tcW w:w="466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04"/>
        </w:trPr>
        <w:tc>
          <w:tcPr>
            <w:tcW w:w="120" w:type="dxa"/>
            <w:vAlign w:val="bottom"/>
          </w:tcPr>
          <w:p>
            <w:pPr>
              <w:spacing w:after="0"/>
              <w:rPr>
                <w:sz w:val="24"/>
                <w:szCs w:val="24"/>
                <w:color w:val="auto"/>
              </w:rPr>
            </w:pPr>
          </w:p>
        </w:tc>
        <w:tc>
          <w:tcPr>
            <w:tcW w:w="25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SELLING SECURITYHOLDERS</w:t>
            </w:r>
          </w:p>
        </w:tc>
        <w:tc>
          <w:tcPr>
            <w:tcW w:w="7260" w:type="dxa"/>
            <w:vAlign w:val="bottom"/>
            <w:gridSpan w:val="13"/>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304"/>
        </w:trPr>
        <w:tc>
          <w:tcPr>
            <w:tcW w:w="120" w:type="dxa"/>
            <w:vAlign w:val="bottom"/>
          </w:tcPr>
          <w:p>
            <w:pPr>
              <w:spacing w:after="0"/>
              <w:rPr>
                <w:sz w:val="24"/>
                <w:szCs w:val="24"/>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8460" w:type="dxa"/>
            <w:vAlign w:val="bottom"/>
            <w:gridSpan w:val="19"/>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9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CERTAIN MATERIAL U.S. AND NON-U.S. FEDERAL INCOME TAX CONSIDERATIONS</w:t>
            </w:r>
          </w:p>
        </w:tc>
        <w:tc>
          <w:tcPr>
            <w:tcW w:w="284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24"/>
                <w:szCs w:val="24"/>
                <w:color w:val="auto"/>
              </w:rPr>
            </w:pPr>
          </w:p>
        </w:tc>
        <w:tc>
          <w:tcPr>
            <w:tcW w:w="7720" w:type="dxa"/>
            <w:vAlign w:val="bottom"/>
            <w:gridSpan w:val="16"/>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EXPERTS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304"/>
        </w:trPr>
        <w:tc>
          <w:tcPr>
            <w:tcW w:w="12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FS-1</w:t>
            </w:r>
          </w:p>
        </w:tc>
      </w:tr>
    </w:tbl>
    <w:p>
      <w:pPr>
        <w:spacing w:after="0" w:line="2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7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this offering or possession or distribution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15"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Registration Rights Agreement</w:t>
      </w:r>
      <w:r>
        <w:rPr>
          <w:rFonts w:ascii="Times New Roman" w:cs="Times New Roman" w:eastAsia="Times New Roman" w:hAnsi="Times New Roman"/>
          <w:sz w:val="18"/>
          <w:szCs w:val="18"/>
          <w:color w:val="auto"/>
        </w:rPr>
        <w:t>” means the Amended and Restated Registration Rights Agreement, dated as of July 11, 2022, by and among ProKidney, the Sponsor, certain ProKidney Unitholders and the other parties thereto;</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BLA</w:t>
      </w:r>
      <w:r>
        <w:rPr>
          <w:rFonts w:ascii="Times New Roman" w:cs="Times New Roman" w:eastAsia="Times New Roman" w:hAnsi="Times New Roman"/>
          <w:sz w:val="18"/>
          <w:szCs w:val="18"/>
          <w:color w:val="auto"/>
        </w:rPr>
        <w:t>” means Biologics License Application;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ProKidney;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refers to the transactions contemplated by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 Agreement</w:t>
      </w:r>
      <w:r>
        <w:rPr>
          <w:rFonts w:ascii="Times New Roman" w:cs="Times New Roman" w:eastAsia="Times New Roman" w:hAnsi="Times New Roman"/>
          <w:sz w:val="17"/>
          <w:szCs w:val="17"/>
          <w:color w:val="auto"/>
        </w:rPr>
        <w:t>” means the business combination agreement, dated as of January 18, 2022 by and between SCS and ProKidney</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LP;</w:t>
      </w:r>
    </w:p>
    <w:p>
      <w:pPr>
        <w:spacing w:after="0" w:line="205" w:lineRule="exact"/>
        <w:rPr>
          <w:sz w:val="20"/>
          <w:szCs w:val="20"/>
          <w:color w:val="auto"/>
        </w:rPr>
      </w:pPr>
    </w:p>
    <w:p>
      <w:pPr>
        <w:ind w:left="560" w:right="340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Cayman Islands Companies Act</w:t>
      </w:r>
      <w:r>
        <w:rPr>
          <w:rFonts w:ascii="Times New Roman" w:cs="Times New Roman" w:eastAsia="Times New Roman" w:hAnsi="Times New Roman"/>
          <w:sz w:val="18"/>
          <w:szCs w:val="18"/>
          <w:color w:val="auto"/>
        </w:rPr>
        <w:t>” means the Companies Act (as amended) of the Cayman Islands;; “</w:t>
      </w:r>
      <w:r>
        <w:rPr>
          <w:rFonts w:ascii="Times New Roman" w:cs="Times New Roman" w:eastAsia="Times New Roman" w:hAnsi="Times New Roman"/>
          <w:sz w:val="18"/>
          <w:szCs w:val="18"/>
          <w:i w:val="1"/>
          <w:iCs w:val="1"/>
          <w:color w:val="auto"/>
        </w:rPr>
        <w:t>CBER</w:t>
      </w:r>
      <w:r>
        <w:rPr>
          <w:rFonts w:ascii="Times New Roman" w:cs="Times New Roman" w:eastAsia="Times New Roman" w:hAnsi="Times New Roman"/>
          <w:sz w:val="18"/>
          <w:szCs w:val="18"/>
          <w:color w:val="auto"/>
        </w:rPr>
        <w:t>” means Center for Biologics Evaluation and Research; “</w:t>
      </w:r>
      <w:r>
        <w:rPr>
          <w:rFonts w:ascii="Times New Roman" w:cs="Times New Roman" w:eastAsia="Times New Roman" w:hAnsi="Times New Roman"/>
          <w:sz w:val="18"/>
          <w:szCs w:val="18"/>
          <w:i w:val="1"/>
          <w:iCs w:val="1"/>
          <w:color w:val="auto"/>
        </w:rPr>
        <w:t>cGMP</w:t>
      </w:r>
      <w:r>
        <w:rPr>
          <w:rFonts w:ascii="Times New Roman" w:cs="Times New Roman" w:eastAsia="Times New Roman" w:hAnsi="Times New Roman"/>
          <w:sz w:val="18"/>
          <w:szCs w:val="18"/>
          <w:color w:val="auto"/>
        </w:rPr>
        <w:t>” means current good manufacturing practices;</w:t>
      </w:r>
    </w:p>
    <w:p>
      <w:pPr>
        <w:spacing w:after="0" w:line="2"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means the second amended and restated memorandum and articles of association of the Company adopted by special resolution on 11 July 2022;</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CKD</w:t>
      </w:r>
      <w:r>
        <w:rPr>
          <w:rFonts w:ascii="Times New Roman" w:cs="Times New Roman" w:eastAsia="Times New Roman" w:hAnsi="Times New Roman"/>
          <w:sz w:val="18"/>
          <w:szCs w:val="18"/>
          <w:color w:val="auto"/>
        </w:rPr>
        <w:t>” means chronic kidney disease;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ProKidney Unitholders</w:t>
      </w:r>
      <w:r>
        <w:rPr>
          <w:rFonts w:ascii="Times New Roman" w:cs="Times New Roman" w:eastAsia="Times New Roman" w:hAnsi="Times New Roman"/>
          <w:sz w:val="18"/>
          <w:szCs w:val="18"/>
          <w:color w:val="auto"/>
        </w:rPr>
        <w:t>” means (i) the ProKidney Unitholders (other than PMEL) and (ii) the PMEL Post-Combination Unitholders;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means the Centers for Medicare &amp; Medicaid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means the estimated glomerular filtration rate;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EMA</w:t>
      </w:r>
      <w:r>
        <w:rPr>
          <w:rFonts w:ascii="Times New Roman" w:cs="Times New Roman" w:eastAsia="Times New Roman" w:hAnsi="Times New Roman"/>
          <w:sz w:val="18"/>
          <w:szCs w:val="18"/>
          <w:color w:val="auto"/>
        </w:rPr>
        <w:t>” means the European Medicines Agency;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means the exchange agreement, dated as of July 11, 2022, by and among SCS, ProKidney LP and the Closing ProKidney Unitholders;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FCA</w:t>
      </w:r>
      <w:r>
        <w:rPr>
          <w:rFonts w:ascii="Times New Roman" w:cs="Times New Roman" w:eastAsia="Times New Roman" w:hAnsi="Times New Roman"/>
          <w:sz w:val="18"/>
          <w:szCs w:val="18"/>
          <w:color w:val="auto"/>
        </w:rPr>
        <w:t>” means the federal False Claims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means the U.S. Foreign Corrupt Practices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FTC</w:t>
      </w:r>
      <w:r>
        <w:rPr>
          <w:rFonts w:ascii="Times New Roman" w:cs="Times New Roman" w:eastAsia="Times New Roman" w:hAnsi="Times New Roman"/>
          <w:sz w:val="18"/>
          <w:szCs w:val="18"/>
          <w:color w:val="auto"/>
        </w:rPr>
        <w:t>” means the Federal Trade Commission;</w:t>
      </w:r>
    </w:p>
    <w:p>
      <w:pPr>
        <w:spacing w:after="0" w:line="225" w:lineRule="exact"/>
        <w:rPr>
          <w:sz w:val="20"/>
          <w:szCs w:val="20"/>
          <w:color w:val="auto"/>
        </w:rPr>
      </w:pPr>
    </w:p>
    <w:p>
      <w:pPr>
        <w:ind w:left="560" w:right="4100"/>
        <w:spacing w:after="0" w:line="4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w:t>
      </w:r>
      <w:r>
        <w:rPr>
          <w:rFonts w:ascii="Times New Roman" w:cs="Times New Roman" w:eastAsia="Times New Roman" w:hAnsi="Times New Roman"/>
          <w:sz w:val="18"/>
          <w:szCs w:val="18"/>
          <w:i w:val="1"/>
          <w:iCs w:val="1"/>
          <w:color w:val="auto"/>
        </w:rPr>
        <w:t>GCPs</w:t>
      </w:r>
      <w:r>
        <w:rPr>
          <w:rFonts w:ascii="Times New Roman" w:cs="Times New Roman" w:eastAsia="Times New Roman" w:hAnsi="Times New Roman"/>
          <w:sz w:val="18"/>
          <w:szCs w:val="18"/>
          <w:color w:val="auto"/>
        </w:rPr>
        <w:t>” means Good Clinical Practices;</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w:t>
      </w:r>
      <w:r>
        <w:rPr>
          <w:rFonts w:ascii="Times New Roman" w:cs="Times New Roman" w:eastAsia="Times New Roman" w:hAnsi="Times New Roman"/>
          <w:sz w:val="18"/>
          <w:szCs w:val="18"/>
          <w:color w:val="auto"/>
        </w:rPr>
        <w:t>” means ProKidney Corp. GP Limited, which replaced Legacy GP as the general partner of ProKidney LP upon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Board</w:t>
      </w:r>
      <w:r>
        <w:rPr>
          <w:rFonts w:ascii="Times New Roman" w:cs="Times New Roman" w:eastAsia="Times New Roman" w:hAnsi="Times New Roman"/>
          <w:sz w:val="18"/>
          <w:szCs w:val="18"/>
          <w:color w:val="auto"/>
        </w:rPr>
        <w:t>” means the board of directors of GP;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means the Health Insurance Portability and Accountability Act of 1996;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means the Health Information Technology for Economic and Clinical Health Act;</w:t>
      </w:r>
    </w:p>
    <w:p>
      <w:pPr>
        <w:spacing w:after="0" w:line="225" w:lineRule="exact"/>
        <w:rPr>
          <w:sz w:val="20"/>
          <w:szCs w:val="20"/>
          <w:color w:val="auto"/>
        </w:rPr>
      </w:pPr>
    </w:p>
    <w:p>
      <w:pPr>
        <w:ind w:left="120" w:right="8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ProKidney Class A Units</w:t>
      </w:r>
      <w:r>
        <w:rPr>
          <w:rFonts w:ascii="Times New Roman" w:cs="Times New Roman" w:eastAsia="Times New Roman" w:hAnsi="Times New Roman"/>
          <w:sz w:val="18"/>
          <w:szCs w:val="18"/>
          <w:color w:val="auto"/>
        </w:rPr>
        <w:t>” means the units of ProKidney LP designated as “Class A Units” pursuant to the ProKidney Limited Partnership Agreement;</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ProKidney Class B Units</w:t>
      </w:r>
      <w:r>
        <w:rPr>
          <w:rFonts w:ascii="Times New Roman" w:cs="Times New Roman" w:eastAsia="Times New Roman" w:hAnsi="Times New Roman"/>
          <w:sz w:val="18"/>
          <w:szCs w:val="18"/>
          <w:color w:val="auto"/>
        </w:rPr>
        <w:t>” means the units of Prokidney LP designated as “Class B Units” pursuant to the ProKidney Limited Partnership Agreement;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GP</w:t>
      </w:r>
      <w:r>
        <w:rPr>
          <w:rFonts w:ascii="Times New Roman" w:cs="Times New Roman" w:eastAsia="Times New Roman" w:hAnsi="Times New Roman"/>
          <w:sz w:val="18"/>
          <w:szCs w:val="18"/>
          <w:color w:val="auto"/>
        </w:rPr>
        <w:t>” means ProKidney GP Limited, a private limited company incorporated under the laws of Ireland, which acted as the general partner of ProKidney LP prior to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GP Board</w:t>
      </w:r>
      <w:r>
        <w:rPr>
          <w:rFonts w:ascii="Times New Roman" w:cs="Times New Roman" w:eastAsia="Times New Roman" w:hAnsi="Times New Roman"/>
          <w:sz w:val="18"/>
          <w:szCs w:val="18"/>
          <w:color w:val="auto"/>
        </w:rPr>
        <w:t>” means the board of directors of Legacy GP;</w:t>
      </w:r>
    </w:p>
    <w:p>
      <w:pPr>
        <w:spacing w:after="0" w:line="22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Paired Interest</w:t>
      </w:r>
      <w:r>
        <w:rPr>
          <w:rFonts w:ascii="Times New Roman" w:cs="Times New Roman" w:eastAsia="Times New Roman" w:hAnsi="Times New Roman"/>
          <w:sz w:val="18"/>
          <w:szCs w:val="18"/>
          <w:color w:val="auto"/>
        </w:rPr>
        <w:t>” means one Post-Combination ProKidney Common Unit and one ProKidney Class B ordinary share, which are together exchangeable for one ProKidney Class A ordinary share or the cash equivalent thereunder under certain circumstances and subject to certain conditions pursuant to the Exchange Agreement;</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means the purchase of SCS Class A ordinary shares and/or Post-Combination ProKidney Common Units pursuant to the Subscription Agreements;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 Amount</w:t>
      </w:r>
      <w:r>
        <w:rPr>
          <w:rFonts w:ascii="Times New Roman" w:cs="Times New Roman" w:eastAsia="Times New Roman" w:hAnsi="Times New Roman"/>
          <w:sz w:val="18"/>
          <w:szCs w:val="18"/>
          <w:color w:val="auto"/>
        </w:rPr>
        <w:t>” means the aggregate gross purchase price received by SCS and ProKidney LP in the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those certain investors that participated in the PIPE Investment pursuant to the Subscription Agreements;</w:t>
      </w:r>
    </w:p>
    <w:p>
      <w:pPr>
        <w:spacing w:after="0" w:line="225"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 means SCS Class A ordinary shares purchased in the PIPE Investment, or in the case of the ProKidney Related PIPE Investors, the Post-Combination ProKidney Common Units (together with a corresponding number of SCS Class B ordinary shares, if applicable) purchased in lieu of SCS Class A ordinary shares in the PIPE Investment;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PMEL</w:t>
      </w:r>
      <w:r>
        <w:rPr>
          <w:rFonts w:ascii="Times New Roman" w:cs="Times New Roman" w:eastAsia="Times New Roman" w:hAnsi="Times New Roman"/>
          <w:sz w:val="18"/>
          <w:szCs w:val="18"/>
          <w:color w:val="auto"/>
        </w:rPr>
        <w:t>” means ProKidney Management Equity LLC, a Bermuda limited liability company;</w:t>
      </w:r>
    </w:p>
    <w:p>
      <w:pPr>
        <w:spacing w:after="0" w:line="225"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PMEL Existing Holders</w:t>
      </w:r>
      <w:r>
        <w:rPr>
          <w:rFonts w:ascii="Times New Roman" w:cs="Times New Roman" w:eastAsia="Times New Roman" w:hAnsi="Times New Roman"/>
          <w:sz w:val="18"/>
          <w:szCs w:val="18"/>
          <w:color w:val="auto"/>
        </w:rPr>
        <w:t>” means certain persons who, as members of PMEL, held an indirect interest in the Legacy Class B Units held by PMEL prior to the Closing;</w:t>
      </w:r>
    </w:p>
    <w:p>
      <w:pPr>
        <w:spacing w:after="0" w:line="15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PMEL Post-Combination Unitholders</w:t>
      </w:r>
      <w:r>
        <w:rPr>
          <w:rFonts w:ascii="Times New Roman" w:cs="Times New Roman" w:eastAsia="Times New Roman" w:hAnsi="Times New Roman"/>
          <w:sz w:val="18"/>
          <w:szCs w:val="18"/>
          <w:color w:val="auto"/>
        </w:rPr>
        <w:t>” means the PMEL Existing Holders, as well as their designees, or one or more holding persons or nominated persons who received Post-Combination ProKidney Common Units or PMEL RCUs on behalf of the PMEL Existing Holders in connection with the Business Combination;</w:t>
      </w:r>
    </w:p>
    <w:p>
      <w:pPr>
        <w:spacing w:after="0" w:line="17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PMEL RCUs</w:t>
      </w:r>
      <w:r>
        <w:rPr>
          <w:rFonts w:ascii="Times New Roman" w:cs="Times New Roman" w:eastAsia="Times New Roman" w:hAnsi="Times New Roman"/>
          <w:sz w:val="18"/>
          <w:szCs w:val="18"/>
          <w:color w:val="auto"/>
        </w:rPr>
        <w:t>” means the Restricted Common Units of ProKidney designated as “PMEL RCUs” pursuant to the Second Amended and Restated ProKidney Limited Partnership Agreement;</w:t>
      </w:r>
    </w:p>
    <w:p>
      <w:pPr>
        <w:spacing w:after="0" w:line="158"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Post-Combination ProKidney Common Units</w:t>
      </w:r>
      <w:r>
        <w:rPr>
          <w:rFonts w:ascii="Times New Roman" w:cs="Times New Roman" w:eastAsia="Times New Roman" w:hAnsi="Times New Roman"/>
          <w:sz w:val="18"/>
          <w:szCs w:val="18"/>
          <w:color w:val="auto"/>
        </w:rPr>
        <w:t>” means the units of ProKidney designated as “Common Units” pursuant to the Second Amended and Restated ProKidney Limited Partnership Agreement;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w:t>
      </w:r>
      <w:r>
        <w:rPr>
          <w:rFonts w:ascii="Times New Roman" w:cs="Times New Roman" w:eastAsia="Times New Roman" w:hAnsi="Times New Roman"/>
          <w:sz w:val="18"/>
          <w:szCs w:val="18"/>
          <w:color w:val="auto"/>
        </w:rPr>
        <w:t>” means (unless otherwise indicated) SCS after the Business Combination, including its name change from Social Capital Suvretta Holdings Corp. III to “ProKidney Corp.,” as applicable;</w:t>
      </w:r>
    </w:p>
    <w:p>
      <w:pPr>
        <w:spacing w:after="0" w:line="158"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Bermuda</w:t>
      </w:r>
      <w:r>
        <w:rPr>
          <w:rFonts w:ascii="Times New Roman" w:cs="Times New Roman" w:eastAsia="Times New Roman" w:hAnsi="Times New Roman"/>
          <w:sz w:val="18"/>
          <w:szCs w:val="18"/>
          <w:color w:val="auto"/>
        </w:rPr>
        <w:t>” means ProKidney LLC, a limited liability company incorporated under the laws of Bermuda in December 2018, which is currently a wholly owned subsidiary of ProKidney;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Class A ordinary shares</w:t>
      </w:r>
      <w:r>
        <w:rPr>
          <w:rFonts w:ascii="Times New Roman" w:cs="Times New Roman" w:eastAsia="Times New Roman" w:hAnsi="Times New Roman"/>
          <w:sz w:val="18"/>
          <w:szCs w:val="18"/>
          <w:color w:val="auto"/>
        </w:rPr>
        <w:t>” means ProKidney’s Class A ordinary shares,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Class B ordinary shares</w:t>
      </w:r>
      <w:r>
        <w:rPr>
          <w:rFonts w:ascii="Times New Roman" w:cs="Times New Roman" w:eastAsia="Times New Roman" w:hAnsi="Times New Roman"/>
          <w:sz w:val="18"/>
          <w:szCs w:val="18"/>
          <w:color w:val="auto"/>
        </w:rPr>
        <w:t>” means ProKidney’s Class B ordinary shares, par value $0.0001 per share;</w:t>
      </w:r>
    </w:p>
    <w:p>
      <w:pPr>
        <w:spacing w:after="0" w:line="22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Class B PMEL RSRs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PMEL RSRs</w:t>
      </w:r>
      <w:r>
        <w:rPr>
          <w:rFonts w:ascii="Times New Roman" w:cs="Times New Roman" w:eastAsia="Times New Roman" w:hAnsi="Times New Roman"/>
          <w:sz w:val="18"/>
          <w:szCs w:val="18"/>
          <w:color w:val="auto"/>
        </w:rPr>
        <w:t>” means the Restricted Stock Rights of ProKidney designated as “Class B PMEL RSRs” that were issued pursuant to the Business Combination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Employee Stock Purchase Plan</w:t>
      </w:r>
      <w:r>
        <w:rPr>
          <w:rFonts w:ascii="Times New Roman" w:cs="Times New Roman" w:eastAsia="Times New Roman" w:hAnsi="Times New Roman"/>
          <w:sz w:val="18"/>
          <w:szCs w:val="18"/>
          <w:color w:val="auto"/>
        </w:rPr>
        <w:t>” means the ProKidney Corp. Employee Stock Purchase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Incentive Equity Plan</w:t>
      </w:r>
      <w:r>
        <w:rPr>
          <w:rFonts w:ascii="Times New Roman" w:cs="Times New Roman" w:eastAsia="Times New Roman" w:hAnsi="Times New Roman"/>
          <w:sz w:val="18"/>
          <w:szCs w:val="18"/>
          <w:color w:val="auto"/>
        </w:rPr>
        <w:t>” means the ProKidney Corp. 2022 Incentive Equity Plan;</w:t>
      </w:r>
    </w:p>
    <w:p>
      <w:pPr>
        <w:spacing w:after="0" w:line="225" w:lineRule="exact"/>
        <w:rPr>
          <w:sz w:val="20"/>
          <w:szCs w:val="20"/>
          <w:color w:val="auto"/>
        </w:rPr>
      </w:pPr>
    </w:p>
    <w:p>
      <w:pPr>
        <w:ind w:left="12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ProKidney-KY</w:t>
      </w:r>
      <w:r>
        <w:rPr>
          <w:rFonts w:ascii="Times New Roman" w:cs="Times New Roman" w:eastAsia="Times New Roman" w:hAnsi="Times New Roman"/>
          <w:sz w:val="17"/>
          <w:szCs w:val="17"/>
          <w:color w:val="auto"/>
        </w:rPr>
        <w:t>” means ProKidney (formerly known as RegenMed (Cayman) Ltd. (d/b/a inRegen)), a clinical-stage cellular therapeutics company incorporated under the Cayman Islands Companies Act focused on the treatment of chronic renal disease and acquired by ProKidney in January 2019;</w:t>
      </w:r>
    </w:p>
    <w:p>
      <w:pPr>
        <w:spacing w:after="0" w:line="135"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Limited Partnership Agreement</w:t>
      </w:r>
      <w:r>
        <w:rPr>
          <w:rFonts w:ascii="Times New Roman" w:cs="Times New Roman" w:eastAsia="Times New Roman" w:hAnsi="Times New Roman"/>
          <w:sz w:val="18"/>
          <w:szCs w:val="18"/>
          <w:color w:val="auto"/>
        </w:rPr>
        <w:t>” means the First Amended and Restated Limited Partnership Agreement for a Limited Partnership Called ProKidney LP, dated as of January 17, 2022, by and among Tolerantia, LLC, Control Empresarial de Capitales, S.A. de C.V. (formerly Inversora Carso, S.A. de C.V.), PMEL and Legacy GP;</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LP</w:t>
      </w:r>
      <w:r>
        <w:rPr>
          <w:rFonts w:ascii="Times New Roman" w:cs="Times New Roman" w:eastAsia="Times New Roman" w:hAnsi="Times New Roman"/>
          <w:sz w:val="18"/>
          <w:szCs w:val="18"/>
          <w:color w:val="auto"/>
        </w:rPr>
        <w:t>” means ProKidney LP, a limited partnership organized under the laws of Ireland;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ordinary shares</w:t>
      </w:r>
      <w:r>
        <w:rPr>
          <w:rFonts w:ascii="Times New Roman" w:cs="Times New Roman" w:eastAsia="Times New Roman" w:hAnsi="Times New Roman"/>
          <w:sz w:val="18"/>
          <w:szCs w:val="18"/>
          <w:color w:val="auto"/>
        </w:rPr>
        <w:t>” means the ProKidney Class A ordinary shares and the ProKidney Class B ordinary shares;</w:t>
      </w:r>
    </w:p>
    <w:p>
      <w:pPr>
        <w:spacing w:after="0" w:line="225"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Promissory Notes</w:t>
      </w:r>
      <w:r>
        <w:rPr>
          <w:rFonts w:ascii="Times New Roman" w:cs="Times New Roman" w:eastAsia="Times New Roman" w:hAnsi="Times New Roman"/>
          <w:sz w:val="18"/>
          <w:szCs w:val="18"/>
          <w:color w:val="auto"/>
        </w:rPr>
        <w:t>” means the two promissory notes entered into by ProKidney LP on January 18, 2022, concurrently with the execution of the Business Combination Agreement, with certain ProKidney Unitholders pursuant to which such ProKidney Unitholders agreed to fund up to $100,000,000 in the aggregate to support the operational and financing needs of ProKidney LP prior to the Closing;</w:t>
      </w:r>
    </w:p>
    <w:p>
      <w:pPr>
        <w:spacing w:after="0" w:line="173" w:lineRule="exact"/>
        <w:rPr>
          <w:sz w:val="20"/>
          <w:szCs w:val="20"/>
          <w:color w:val="auto"/>
        </w:rPr>
      </w:pPr>
    </w:p>
    <w:p>
      <w:pPr>
        <w:ind w:left="120" w:right="7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Related PIPE Investors</w:t>
      </w:r>
      <w:r>
        <w:rPr>
          <w:rFonts w:ascii="Times New Roman" w:cs="Times New Roman" w:eastAsia="Times New Roman" w:hAnsi="Times New Roman"/>
          <w:sz w:val="18"/>
          <w:szCs w:val="18"/>
          <w:color w:val="auto"/>
        </w:rPr>
        <w:t>” means certain existing directors, officers and unitholders of ProKidney LP and/or its affiliates that participated in the PIPE Investment;</w:t>
      </w:r>
    </w:p>
    <w:p>
      <w:pPr>
        <w:spacing w:after="0" w:line="158" w:lineRule="exact"/>
        <w:rPr>
          <w:sz w:val="20"/>
          <w:szCs w:val="20"/>
          <w:color w:val="auto"/>
        </w:rPr>
      </w:pPr>
    </w:p>
    <w:p>
      <w:pPr>
        <w:ind w:left="120" w:right="9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 Unitholders</w:t>
      </w:r>
      <w:r>
        <w:rPr>
          <w:rFonts w:ascii="Times New Roman" w:cs="Times New Roman" w:eastAsia="Times New Roman" w:hAnsi="Times New Roman"/>
          <w:sz w:val="18"/>
          <w:szCs w:val="18"/>
          <w:color w:val="auto"/>
        </w:rPr>
        <w:t>” means any person who held units of ProKidney LP immediately prior to the consummation of the Business Combination;</w:t>
      </w:r>
    </w:p>
    <w:p>
      <w:pPr>
        <w:spacing w:after="0" w:line="15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ProKidney-US</w:t>
      </w:r>
      <w:r>
        <w:rPr>
          <w:rFonts w:ascii="Times New Roman" w:cs="Times New Roman" w:eastAsia="Times New Roman" w:hAnsi="Times New Roman"/>
          <w:sz w:val="18"/>
          <w:szCs w:val="18"/>
          <w:color w:val="auto"/>
        </w:rPr>
        <w:t>” means ProKidney, LLC (formerly known as Twin City Bio LLC), a Delaware limited liability company that provides contract development and manufacturing service for pharmaceutical and biotech companies focused on cell-based therapies and that was acquired by ProKidney LP in January 2019;</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REACT</w:t>
      </w:r>
      <w:r>
        <w:rPr>
          <w:rFonts w:ascii="Times New Roman" w:cs="Times New Roman" w:eastAsia="Times New Roman" w:hAnsi="Times New Roman"/>
          <w:sz w:val="18"/>
          <w:szCs w:val="18"/>
          <w:color w:val="auto"/>
        </w:rPr>
        <w:t>” means Renal Autologous Cell Therapy, the lead product candidate of ProKidney;</w:t>
      </w:r>
    </w:p>
    <w:p>
      <w:pPr>
        <w:spacing w:after="0" w:line="225"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Common Units</w:t>
      </w:r>
      <w:r>
        <w:rPr>
          <w:rFonts w:ascii="Times New Roman" w:cs="Times New Roman" w:eastAsia="Times New Roman" w:hAnsi="Times New Roman"/>
          <w:sz w:val="18"/>
          <w:szCs w:val="18"/>
          <w:color w:val="auto"/>
        </w:rPr>
        <w:t>” means the units of ProKidney LP designated as “Restricted Common Units” pursuant to the Second Amended and Restated ProKidney Limited Partnership Agreement;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Rights</w:t>
      </w:r>
      <w:r>
        <w:rPr>
          <w:rFonts w:ascii="Times New Roman" w:cs="Times New Roman" w:eastAsia="Times New Roman" w:hAnsi="Times New Roman"/>
          <w:sz w:val="18"/>
          <w:szCs w:val="18"/>
          <w:color w:val="auto"/>
        </w:rPr>
        <w:t>” means restricted stock rights in respect of ProKidney Class B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RMAT</w:t>
      </w:r>
      <w:r>
        <w:rPr>
          <w:rFonts w:ascii="Times New Roman" w:cs="Times New Roman" w:eastAsia="Times New Roman" w:hAnsi="Times New Roman"/>
          <w:sz w:val="18"/>
          <w:szCs w:val="18"/>
          <w:color w:val="auto"/>
        </w:rPr>
        <w:t>” means regenerative medicine advanced therapy;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SCS</w:t>
      </w:r>
      <w:r>
        <w:rPr>
          <w:rFonts w:ascii="Times New Roman" w:cs="Times New Roman" w:eastAsia="Times New Roman" w:hAnsi="Times New Roman"/>
          <w:sz w:val="18"/>
          <w:szCs w:val="18"/>
          <w:color w:val="auto"/>
        </w:rPr>
        <w:t>” means Social Capital Suvretta Holdings Corp. III, a Cayman Islands exempted company limited by shares (which, after the Closing, is known as ProKidney Corp.);</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SCS Class A ordinary shares</w:t>
      </w:r>
      <w:r>
        <w:rPr>
          <w:rFonts w:ascii="Times New Roman" w:cs="Times New Roman" w:eastAsia="Times New Roman" w:hAnsi="Times New Roman"/>
          <w:sz w:val="18"/>
          <w:szCs w:val="18"/>
          <w:color w:val="auto"/>
        </w:rPr>
        <w:t>” means Class A ordinary shares in the share capital of SCS,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SCS Class B ordinary shares</w:t>
      </w:r>
      <w:r>
        <w:rPr>
          <w:rFonts w:ascii="Times New Roman" w:cs="Times New Roman" w:eastAsia="Times New Roman" w:hAnsi="Times New Roman"/>
          <w:sz w:val="18"/>
          <w:szCs w:val="18"/>
          <w:color w:val="auto"/>
        </w:rPr>
        <w:t>” means Class B ordinary shares in the share capital of SCS,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Amended and Restated ProKidney Limited Partnership Agreement</w:t>
      </w:r>
      <w:r>
        <w:rPr>
          <w:rFonts w:ascii="Times New Roman" w:cs="Times New Roman" w:eastAsia="Times New Roman" w:hAnsi="Times New Roman"/>
          <w:sz w:val="18"/>
          <w:szCs w:val="18"/>
          <w:color w:val="auto"/>
        </w:rPr>
        <w:t>” means the second amended and restated limited partnership agreement of ProKidney LP, which went into effect upon the completion of the Business Combination;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SCS Sponsor III LLC, a Cayman Islands limited liability company;</w:t>
      </w:r>
    </w:p>
    <w:p>
      <w:pPr>
        <w:spacing w:after="0" w:line="22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Related PIPE Investor</w:t>
      </w:r>
      <w:r>
        <w:rPr>
          <w:rFonts w:ascii="Times New Roman" w:cs="Times New Roman" w:eastAsia="Times New Roman" w:hAnsi="Times New Roman"/>
          <w:sz w:val="18"/>
          <w:szCs w:val="18"/>
          <w:color w:val="auto"/>
        </w:rPr>
        <w:t>” refers to certain existing directors, officers and equityholders of, or investment funds managed by Suvretta Capital Management, LLC, SCS, the Sponsor and/or their respective affiliates that participated in the PIPE Investment (together with their permitted transferees);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SRC</w:t>
      </w:r>
      <w:r>
        <w:rPr>
          <w:rFonts w:ascii="Times New Roman" w:cs="Times New Roman" w:eastAsia="Times New Roman" w:hAnsi="Times New Roman"/>
          <w:sz w:val="18"/>
          <w:szCs w:val="18"/>
          <w:color w:val="auto"/>
        </w:rPr>
        <w:t>” means selected renal cell;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means the subscription agreements entered into by and between SCS and certain investors;</w:t>
      </w:r>
    </w:p>
    <w:p>
      <w:pPr>
        <w:spacing w:after="0" w:line="225"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 means the Tax Receivable Agreement, dated as of July 11, 2022, by and among SCS, the TRA party representative (as defined in the Tax Receivable Agreement) and the Closing ProKidney Unitholders;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 PIPE Investment</w:t>
      </w:r>
      <w:r>
        <w:rPr>
          <w:rFonts w:ascii="Times New Roman" w:cs="Times New Roman" w:eastAsia="Times New Roman" w:hAnsi="Times New Roman"/>
          <w:sz w:val="18"/>
          <w:szCs w:val="18"/>
          <w:color w:val="auto"/>
        </w:rPr>
        <w:t>” means any PIPE Investment made by a Third Party PIPE Investor;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 PIPE Investment Amount</w:t>
      </w:r>
      <w:r>
        <w:rPr>
          <w:rFonts w:ascii="Times New Roman" w:cs="Times New Roman" w:eastAsia="Times New Roman" w:hAnsi="Times New Roman"/>
          <w:sz w:val="18"/>
          <w:szCs w:val="18"/>
          <w:color w:val="auto"/>
        </w:rPr>
        <w:t>” means the aggregate gross purchase price received by SCS in the Third Party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 PIPE Investor</w:t>
      </w:r>
      <w:r>
        <w:rPr>
          <w:rFonts w:ascii="Times New Roman" w:cs="Times New Roman" w:eastAsia="Times New Roman" w:hAnsi="Times New Roman"/>
          <w:sz w:val="18"/>
          <w:szCs w:val="18"/>
          <w:color w:val="auto"/>
        </w:rPr>
        <w:t>” means any PIPE Investor who is not (i) a Sponsor Related PIPE Investor or (ii) a ProKidney Related PIPE Investor;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 means the Deed of Undertaking, dated February 14, 2022, made by Control Empresarial de Capitales, S.A. de C.V. (formerly Inversora Carso, S.A. de C.V.), a Mexican corporation.</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40"/>
          </w:cols>
          <w:pgMar w:left="320" w:top="482"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regarding, among other things, our plans, strategies and prospects, both business and financial. These statements are based on the beliefs and assumptions of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prospectus include, but are not limited to, statements about:</w:t>
      </w:r>
    </w:p>
    <w:p>
      <w:pPr>
        <w:spacing w:after="0" w:line="9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ordinary shares on the Nasdaq Capital Market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 and if approved,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REACT, our lead product candidate;</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manufacturing and supply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conduct, supervise and monitor a certain portion of our research and nonclinical testing and clinical trials for</w:t>
      </w:r>
    </w:p>
    <w:p>
      <w:pPr>
        <w:spacing w:after="0" w:line="38"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REACT;</w:t>
      </w:r>
    </w:p>
    <w:p>
      <w:pPr>
        <w:spacing w:after="0" w:line="112"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biologics market and in the area of treatment of kidney disease, many of which have greater financial and marketing resources than us;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the ability of each to serve those markets, either alone or in partnership with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with respect to computer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political and market conditions beyond our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ordinary shares,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960"/>
          </w:cols>
          <w:pgMar w:left="320" w:top="482" w:right="6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business with a transformative proprietary cell therapy platform that is capable of treating multiple chronic diseases of the kidney using a patient’s own cells. Our approach seeks to redefine the treatment of CKD by restoring kidney function and preventing or delaying the progression of CKD, rather than managing kidney failure. Our lead product candidate, REACT, is designed to stabilize or improve renal, or kidney, function in patients with chronically diseased kidneys. REACT is a product composed of a patient’s own SRCs, formulated into a product that is reinjected into the kidney by a minimally invasive outpatient procedure that can be repeated if necessary. Because REACT is a personalized treatment composed of a patient’s own, or autologous, SRCs, there is no need for treatment with immunosuppressive therapies, which are required during a patient’s lifetime when a patient receives a kidney transplant from another donor, or an allogeneic transplant. We are currently conducting a Phase 3 clinical trial and multiple Phase 2 clinical trials for REACT in patients with moderate to severe CKD caused by diabetes mellitus or congenital anomalies of the kidney and urinary tract.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Company was originally known as Social Capital Suvretta Holdings Corp. III. On July 11, 2022, we consummated the Business Combination pursuant to the terms of the Business Combination Agreement, dated as of January 18, 2022, by and between SCS and ProKidney LP, a limited partnership registered under the laws of Ireland, acting through its general partner ProKidney GP Limited, a private limited company incorporated under the laws of Ireland. In connection with the Business Combination, SCS changed its name to “ProKidney Corp.”</w:t>
      </w:r>
    </w:p>
    <w:p>
      <w:pPr>
        <w:spacing w:after="0" w:line="180"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As a consequence of the Business Combination, each SCS Class B ordinary share that was issued and outstanding as of immediately prior to the effective time of the Business Combination was converted, on a one-for-one basis, into ProKidney Class A ordinary shares.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addition, concurrently with the execution of the Business Combination Agreement, on January 18, 2022, SCS entered into the Subscription Agreements, pursuant to which the PIPE Investors purchased, immediately prior to the Closing, an aggregate of 52,480,000 Class A ordinary shares at a purchase price of $10.00 per share. Pursuant to their Subscription Agreements and their subsequent election to receive Post-Combination ProKidney Common Units (and a corresponding number of Class B ordinary shares) in lieu of Class A ordinary shares, Tolerantia and CEC purchased an aggregate of 5,000,000 Class B ordinary shares at a purchase price of $10 per share.</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each issued and outstanding Class B unit (each, a “ProKidney Class B Unit”) in ProKidney LP that had not vested pursuant to the terms of the applicable award agreement was recapitalized into one PMEL RCU, which would, when vested in accordance with the applicable award agreement, automatically convert into a Post-Combination ProKidney Common Unit (and the associated ProKidney Class B PMEL RSR would vest), and all other issued and outstanding Legacy Class A Units and Legacy Class B Units in ProKidney were recapitalized into an aggregate number of Post-Combination ProKidney Common Units equal to (x) 175,000,000 minus (y) the number of PMEL RCUs issued as described above.</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61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At the Closing, (i) ProKidney LP issued to SCS a number of Post-Combination ProKidney Common Units equal to the number of fully diluted outstanding SCS ordinary shares as of immediately prior to the Closing (but after giving effect to all redemptions of SCS Class A ordinary shares and the purchase of SCS Class A ordinary shares and/or Post-Combination ProKidney Common Units pursuant to the PIPE Investment), in exchange for (a) (x) ProKidney Class B ordinary shares, which shares have no economic rights but entitle the holders thereof to vote on all matters on which shareholders of ProKidney are entitled to vote generally, and (y) ProKidney Class B PMEL RSRs, which convert into ProKidney Class B ordinary shares upon the vesting of the associated PMEL RCUs, (b) an amount in cash equal to the aggregate proceeds obtained by SCS in the PIPE Investment and (c) an amount in cash equal to the aggregate proceeds available for release to SCS from SCS’s trust account (the “Trust Account”) (after giving effect to all redemptions of SCS Class A ordinary shares and after payment of any deferred underwriting commissions that were held in the Trust Account and payment of certain transaction expenses); (ii) ProKidney distributed to the Closing ProKidney Unitholders the ProKidney Class B ordinary shares and ProKidney Class B PMEL RSRs received pursuant to clause (i)(a) (x) and (y) above; and (iii) holders (the “Earnout Participants”) of Legacy ProKidney Class A Units received an aggregate of 17,500,000 Restricted Common Units (the “Earnout RCUs”) and 17,500,000 Restricted Stock Rights (the “Earnout RSRs”) (collectively, the “Earnout Rights”), which Earnout Rights will vest in three equal tranches upon the achievement of certain ProKidney share price milestones or certain change of control events. When vested, the Earnout RCUs will automatically convert into Post-Combination ProKidney Common Units and the associated Earnout RSRs will automatically convert into ProKidney Class B ordinary shares, respectively.</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Class A ordinary shares are listed for trading on Nasdaq under the symbols “PROK.”</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9" w:lineRule="exact"/>
        <w:rPr>
          <w:sz w:val="20"/>
          <w:szCs w:val="20"/>
          <w:color w:val="auto"/>
        </w:rPr>
      </w:pPr>
    </w:p>
    <w:p>
      <w:pPr>
        <w:ind w:left="300" w:right="60" w:firstLine="426"/>
        <w:spacing w:after="0" w:line="267"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6 before making a decision to invest in our securities. If any of these risks actually occurs, our business, financial condition and results of operations would likely be materially adversely affected. Some of the risks related to our business and industry are summarized below.</w:t>
      </w:r>
    </w:p>
    <w:p>
      <w:pPr>
        <w:spacing w:after="0" w:line="81" w:lineRule="exact"/>
        <w:rPr>
          <w:sz w:val="20"/>
          <w:szCs w:val="20"/>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expect to continue to incur significant net losses for the foreseeable future;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completed the Business Combination, we will continue to require substantial additional capital to finance our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any revenue to date, and may never become profitable;</w:t>
      </w:r>
    </w:p>
    <w:p>
      <w:pPr>
        <w:spacing w:after="0" w:line="130" w:lineRule="exact"/>
        <w:rPr>
          <w:rFonts w:ascii="Times New Roman" w:cs="Times New Roman" w:eastAsia="Times New Roman" w:hAnsi="Times New Roman"/>
          <w:sz w:val="18"/>
          <w:szCs w:val="18"/>
          <w:color w:val="auto"/>
        </w:rPr>
      </w:pPr>
    </w:p>
    <w:p>
      <w:pPr>
        <w:ind w:left="1240" w:hanging="415"/>
        <w:spacing w:after="0" w:line="289"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on the success of our lead product candidate, REACT, as well as any other future product candidates that we may advance into clinical development. REACT and our future product candidates will require significant additional clinical development and funding before we may be able to seek regulatory approval for and launch a product commercially;</w:t>
      </w:r>
    </w:p>
    <w:p>
      <w:pPr>
        <w:spacing w:after="0" w:line="63" w:lineRule="exact"/>
        <w:rPr>
          <w:rFonts w:ascii="Times New Roman" w:cs="Times New Roman" w:eastAsia="Times New Roman" w:hAnsi="Times New Roman"/>
          <w:sz w:val="17"/>
          <w:szCs w:val="17"/>
          <w:color w:val="auto"/>
        </w:rPr>
      </w:pPr>
    </w:p>
    <w:p>
      <w:pPr>
        <w:ind w:left="1240" w:right="7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is based on a novel technology, which makes it difficult to predict the time and cost of product development and of subsequently obtaining regulatory approval;</w:t>
      </w:r>
    </w:p>
    <w:p>
      <w:pPr>
        <w:spacing w:after="0" w:line="67"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complex and expensive process, with an uncertain outcome, and the results of nonclinical studies, previous clinical trials, or interim results of ongoing clinical trials of REACT and any of our future product candidates may not be predictive of future results. Further, we may encounter substantial delays in completing the development of REACT and any of our future product candidates;</w:t>
      </w:r>
    </w:p>
    <w:p>
      <w:pPr>
        <w:spacing w:after="0" w:line="85"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and increased regulatory scrutiny of autologous cell therapy using REACT may adversely impact the development or commercial success of our current and future product candidates;</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82"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33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our first Phase 3 clinical trial and may be unable to successfully complete it or any future clinical trials;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execution of our ongoing and future clinical trials may not support marketing approval;</w:t>
      </w:r>
    </w:p>
    <w:p>
      <w:pPr>
        <w:spacing w:after="0" w:line="130"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resources and access to capital, we must make decisions on the allocation of resources to certain programs and product candidates;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therapies are complex and difficult to manufacture, and we could experience manufacturing problems that result in delays in the development or commercialization of REACT, our lead product candidate, or otherwise harm our business;</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autologous cell therapy products are patient-specific, and we need to ensure that the correct product is administered to the correct patient;</w:t>
      </w:r>
    </w:p>
    <w:p>
      <w:pPr>
        <w:spacing w:after="0" w:line="67" w:lineRule="exact"/>
        <w:rPr>
          <w:rFonts w:ascii="Times New Roman" w:cs="Times New Roman" w:eastAsia="Times New Roman" w:hAnsi="Times New Roman"/>
          <w:sz w:val="18"/>
          <w:szCs w:val="18"/>
          <w:color w:val="auto"/>
        </w:rPr>
      </w:pPr>
    </w:p>
    <w:p>
      <w:pPr>
        <w:ind w:left="1240" w:right="8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of the manufacturing process and facility to produce REACT or disruptions in the manufacturing process may delay or disrupt our commercialization efforts;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 autologous ex vivo cell therapy supply chain is highly complex;</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effective tax rates or adverse outcomes resulting from examination of our income or other tax returns could adversely affect our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“controlled company” within the meaning of the Nasdaq rules, our shareholders may not have certain corporate governance protections that are available to shareholders of companies that are not controlled companies;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payments under the Tax Receivable Agreement may be substantial, and in certain cases, payments under the Tax Receivable Agreement may exceed the actual tax benefits that we realize or may be accelerated;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Cayman Islands exempted company, the rights of our shareholders may be different from the rights of shareholders governed by the laws of U.S. jurisdictions.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SCS was incorporated on February 25, 2021 as a Cayman Islands exempted company. It was formed for the purpose of entering into a merger, share exchange, asset acquisition, share purchase, reorganization or similar business combination with one or more businesses. As an exempted company, we have received a tax exemption undertaking from the Government of the Cayman Islands to the effect that, in accordance with Section 6 of the Tax Concessions Act (as amended) of the Cayman Islands, for a period of 30 years from the date of the undertaking, no law which is enacted in the Cayman Islands imposing any tax or duty to be levied on profits, income, gains or appreciations, or any tax in the nature of estate duty or inheritance tax, will apply to any property comprised in or any income arising under the company, or to the security holders thereof, in respect of any such property or income.</w:t>
      </w:r>
    </w:p>
    <w:p>
      <w:pPr>
        <w:spacing w:after="0" w:line="189"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On July 11, 2022, SCS and ProKidney LP completed the Business Combination, and SCS’s corporate name was changed to “ProKidney Corp.”</w:t>
      </w:r>
    </w:p>
    <w:p>
      <w:pPr>
        <w:spacing w:after="0" w:line="162"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combined structure was organized in an umbrella partnership-C corporation (a so called “Up-C” structure). ProKidney Corp. is a holding company, and our direct assets consist of Post-Combination ProKidney Common Units and all of the issued and outstanding equity interests of GP, which became the general partner of ProKidney LP upon the Closing. ProKidney Corp. controls GP, with the rights of management specified in the Second Amended and Restated ProKidney Limited Partnership Agreement.</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82"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2000 Frontis Plaza Blvd., Ste 250, Winston-Salem, North Carolina, and our telephone number is (336) 999-7028.</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300" w:right="60" w:firstLine="426"/>
        <w:spacing w:after="0" w:line="268" w:lineRule="auto"/>
        <w:rPr>
          <w:sz w:val="20"/>
          <w:szCs w:val="20"/>
          <w:color w:val="auto"/>
        </w:rPr>
      </w:pPr>
      <w:r>
        <w:rPr>
          <w:rFonts w:ascii="Times New Roman" w:cs="Times New Roman" w:eastAsia="Times New Roman" w:hAnsi="Times New Roman"/>
          <w:sz w:val="17"/>
          <w:szCs w:val="17"/>
          <w:color w:val="auto"/>
        </w:rPr>
        <w:t>Under the Nasdaq Listing Rules, a company of which more than 50% of the voting power for the election of directors is held by an individual, group or another company is a “controlled company.” Pursuant to the terms of the Voting Agreement, Tolerantia, LLC (“Tolerantia”) effectively controls a majority of the voting power of all of our outstanding ordinary shares with respect to the election, appointment or removal of any director. As a result, we are a “controlled company” within the meaning of the Nasdaq Listing Rules. A controlled company may elect not to comply with certain corporate governance standards, including the requirements that (i) a majority of its board of directors consist of independent directors, (ii) subject to the exception pursuant to Nasdaq Listing Rule 5605(b)(2), its board of directors have a compensation committee that is composed of at least two members, each of whom is an independent director,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by a nominating and corporate governance committee comprised solely of independent directors with a written charter addressing the committee’s purpose and responsibilities. Under the Business Combination Agreement, a majority of the directors on the Board were required to be “independent” directors for the purposes of the Nasdaq Listing Rules, but for at least some period following the Business Combination, we may utilize the other exemptions described above. If any of these exemptions are used, you may not have the same protections afforded to shareholders of companies that are subject to all of these corporate governance requirements. If we cease to be a “controlled company” and our shares continue to be listed on the Nasdaq, we will be required to comply with these standards and, depending on the Board’s independence determination with respect to our then-current directors, we may be required to add additional directors to the Board in order to achieve such compliance within the applicable transition period.</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94"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SCS’s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55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655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ProKidney Corp.</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Resale of Class A ordinary shares</w:t>
      </w:r>
    </w:p>
    <w:p>
      <w:pPr>
        <w:sectPr>
          <w:pgSz w:w="11900" w:h="16838" w:orient="portrait"/>
          <w:cols w:equalWidth="0" w:num="1">
            <w:col w:w="10880"/>
          </w:cols>
          <w:pgMar w:left="320" w:top="482" w:right="69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380" w:hanging="78"/>
        <w:spacing w:after="0" w:line="256" w:lineRule="auto"/>
        <w:rPr>
          <w:sz w:val="20"/>
          <w:szCs w:val="20"/>
          <w:color w:val="auto"/>
        </w:rPr>
      </w:pPr>
      <w:r>
        <w:rPr>
          <w:rFonts w:ascii="Times New Roman" w:cs="Times New Roman" w:eastAsia="Times New Roman" w:hAnsi="Times New Roman"/>
          <w:sz w:val="18"/>
          <w:szCs w:val="18"/>
          <w:color w:val="auto"/>
        </w:rPr>
        <w:t>Class A ordinary shares offered by the Selling Securityholders (representing the PIPE Shares purchased by certain PIPE Investors, shares issued or issuable pursuant to the vesting of restricted stock units, and shares issued or issuable pursuant to the Exchange Agreement)</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239,420,000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Class A ordinary shares to be offered by the Selling Securityholders.</w:t>
      </w:r>
    </w:p>
    <w:p>
      <w:pPr>
        <w:spacing w:after="0" w:line="189"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certain restrictions on transfer until the termination of applicable lock-up periods. See “</w:t>
      </w:r>
      <w:r>
        <w:rPr>
          <w:rFonts w:ascii="Times New Roman" w:cs="Times New Roman" w:eastAsia="Times New Roman" w:hAnsi="Times New Roman"/>
          <w:sz w:val="18"/>
          <w:szCs w:val="18"/>
          <w:i w:val="1"/>
          <w:iCs w:val="1"/>
          <w:color w:val="auto"/>
        </w:rPr>
        <w:t>Plan of Distribution —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ectPr>
          <w:pgSz w:w="11900" w:h="16838" w:orient="portrait"/>
          <w:cols w:equalWidth="0" w:num="2">
            <w:col w:w="4220" w:space="120"/>
            <w:col w:w="6540"/>
          </w:cols>
          <w:pgMar w:left="320" w:top="482" w:right="699" w:bottom="1440" w:gutter="0" w:footer="0" w:header="0"/>
          <w:type w:val="continuous"/>
        </w:sectPr>
      </w:pPr>
    </w:p>
    <w:p>
      <w:pPr>
        <w:spacing w:after="0" w:line="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Ticker Symbol</w:t>
      </w:r>
      <w:r>
        <w:rPr>
          <w:sz w:val="20"/>
          <w:szCs w:val="20"/>
          <w:color w:val="auto"/>
        </w:rPr>
        <w:tab/>
      </w:r>
      <w:r>
        <w:rPr>
          <w:rFonts w:ascii="Times New Roman" w:cs="Times New Roman" w:eastAsia="Times New Roman" w:hAnsi="Times New Roman"/>
          <w:sz w:val="17"/>
          <w:szCs w:val="17"/>
          <w:color w:val="auto"/>
        </w:rPr>
        <w:t>“PROK” for the Class A ordinary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82" w:right="6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80" w:lineRule="exact"/>
        <w:rPr>
          <w:sz w:val="20"/>
          <w:szCs w:val="20"/>
          <w:color w:val="auto"/>
        </w:rPr>
      </w:pPr>
    </w:p>
    <w:p>
      <w:pPr>
        <w:jc w:val="both"/>
        <w:ind w:left="120" w:right="4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otherwise requires, references in this section to “we,” “us,” “our” and the “Company” refer to ProKidney Corp. and its subsidiaries following the Business Combination and to ProKidney LP and its subsidiaries prior to the Business Combination, as the case may be.</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expect to continue to incur significant net losses for the foreseeable future.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We continue to incur significant research and development and other expenses related to our ongoing operations. For the three months ended June 30, 2022 and 2021 and for the six months ended June 30, 2022 and 2021, we reported a net loss of $22.1 million, $12.7 million, $89.6 million and $24.3 million, respectively. For the years ended December 31, 2021 and 2020, we reported a net loss of $55.1 million and $26.7 million, respectively. As of June 30, 2022 and December 31, 2021, we had an accumulated deficit of $251.1 million and $161.5 million, respectively. We have devoted substantially all of our resources and efforts to research and development, and we expect that it will be several years, if ever, before we generate revenue from product sales. Even if we receive marketing approval for and commercialize our lead product candidate, Renal Autologous Cell Therapy (“REACT”), we expect that we will continue to incur substantial research and development and other expenses to develop and market additional potential product candidates. These conditions raise substantial doubt about our ability to continue as a going concern for a period of at least one year from the date our financial statements are issued, and our independent registered public accounting firm has included an explanatory paragraph relating to our ability to continue as a going concern in its report on our audited financial statements included elsewhere in this prospectus.</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 REACT, is still in clinical testing. We expect to continue to incur significant losses for the foreseeable future, and we anticipate that our expenses will increase substantially if, and as, we:</w:t>
      </w:r>
    </w:p>
    <w:p>
      <w:pPr>
        <w:spacing w:after="0" w:line="67" w:lineRule="exact"/>
        <w:rPr>
          <w:sz w:val="20"/>
          <w:szCs w:val="20"/>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REACT and any other future product candidates through clinical development, and, if successful, later-stage clinical trials;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or interruptions to any future preclinical studies, our current clinical trials, our receipt of services from our third-party service providers on whom we rely, or our supply chain, including delays due to the COVID-19 pandemic, other health crises or events or circumstances beyond our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future product candidates that may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REACT and any future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discover and develop product candidates and line extensions;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the materials needed for clinical trials or, following receipt of necessary regulatory approvals, commercial sales, at our manufacturing facilities;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commercial-scale cGMP manufacturing facilities and partner with Contract Manufacturing Organizations (“CMOs”);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executives in clinical development, regulatory, manufacturing, quality control, quality assurance, scientific, public / investor relations general and administrative and management personnel;</w:t>
      </w:r>
    </w:p>
    <w:p>
      <w:pPr>
        <w:spacing w:after="0" w:line="67"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and manufacturing efforts, general and administrative functions and our operations as a public company;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domestic and global sales, marketing, medical affairs and distribution infrastructure to commercialize any products for which we may obtain marketing approval and intend to commercialize on our own or jointly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or product candidates.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products with significant market potential. This will require us to be successful in a range of challenging activities, including completing non-clinical studies and clinical trials, obtaining marketing approval for REACT and any future product candidates, manufacturing, marketing and selling products for which we may obtain marketing approval and satisfying any post-marketing requirements. Because of the numerous risks and uncertainties associated with biopharmaceutical product development, we are unable to accurately predict the timing or amount of increased expenses or when, or if, we will be able to achieve profitability.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2"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Having completed the Business Combination, we will continue to require substantial additional capital to finance our operations. If we are unable to raise such capital when needed, or on acceptable terms, we may be forced to delay, reduce and/or eliminate one or more of our research and product development programs, future commercialization efforts or other operations.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ongoing and planned clinical trials of REACT and any future product candidates that we may develop, seek regulatory approvals for REACT and our future product candidates, and manufacture,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product development programs or future commercialization efforts.</w:t>
      </w:r>
    </w:p>
    <w:p>
      <w:pPr>
        <w:spacing w:after="0" w:line="192" w:lineRule="exact"/>
        <w:rPr>
          <w:sz w:val="20"/>
          <w:szCs w:val="20"/>
          <w:color w:val="auto"/>
        </w:rPr>
      </w:pPr>
    </w:p>
    <w:p>
      <w:pPr>
        <w:jc w:val="both"/>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As of June 30, 2022, we had approximately $21.9 million in cash, cash equivalents and short-term investments. Based on our current operating plan, and having completed the Business Combination and accounting for $574.8 million received in the PIPE Investment, we believe that our cash, cash equivalents and short-term investments will be sufficient to fund our operating expenses and capital expenditure requirements through 2024.</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However,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monthly spending levels will vary based on new and ongoing development and corporate activities. Because the length of time and activities associated with development of REACT and any future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REACT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 of our clinical trials and the overall costs to finish the clinical trials due to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EMA and other comparable foreign regulatory authorities;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enter into and maintain collaboration agreements, including the terms of and timing of payments under any such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REACT or any of our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clinical,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our own commercial-scale cGMP manufacturing facility;</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REACT and any of our future product candidates for which we receive marketing approval;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we currently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shareholders. Further, to the extent that we raise additional capital through the sale of ordinary shares or securities convertible or exchangeable into ordinary shares,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REACT and any future product candidates, technologies, future revenue streams or research programs or grant licenses on terms that may not be favorable to us. We also may be required to seek collaborators for REACT or any of our future product candidates at an earlier stage than otherwise would be desirable or relinquish our rights to REACT and any future product candidates or technologies that we otherwise would seek to develop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REACT or any of our future product candidates or one or more of our other research and development initiatives. Any of the above events could significantly harm our business, prospects, financial condition and results of operations and cause the price of our ordinary shares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Research and Development of REACT and Our Future Product Candidates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any revenue to date, and may never become profitable.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were founded in 2018, have no products approved for commercial sale and have not generated any revenue. Our operations to date have been limited to organizing and staffing our company, business planning, raising capital, undertaking non-clinical studies, conducting clinical trials, developing a network of key opinion leaders, and performing research and development of REACT. Our approach to the discovery and development of product candidates is unproven, and we do not know whether we will be able to develop any products of commercial value. REACT and any other product candidates we develop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later-stage clinical trials leading to successful marketing authorization. We may be unable to obtain regulatory approval, manufacture a commercial scale product, or arrange for a third party to do so on our behalf, achieve market access, and acceptance with insurers and health care providers, or conduct sales and marketing activities necessary for successful product commercialization.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If and when one of our product candidates were to receive regulatory approval, we would need to transition from a company with a research and development focus to a company capable of supporting commercial activities. We may not be successful in such a transition. In addition, as a business with a limited operating history, we may encounter unforeseen expenses, difficulties, complications, delays and other known and unknown factors and risks frequently experienced by early-stage biopharmaceutical companies in rapidly evolving and complex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medical products.</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Due to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succeed in commercializing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shares and impair our ability to raise capital, maintain our research and development efforts, expand our business or continue our operations.</w:t>
      </w:r>
    </w:p>
    <w:p>
      <w:pPr>
        <w:spacing w:after="0" w:line="29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biologics and for the treatment of kidney disease is highly competitive. If we fail to effectively compete, our business, financial condition and operating results will suffer.</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face significant competition in the biologics market and in the area of treatment of kidney disease. We face competition from companies that develop and manufacture cell therapies, including major and specialty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pharmaceutical and biotechnology companies, developers of tubular and glomerular cell drug modulators, antifibrosis medications,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 We believe that our principal competitors include developers of SGLT2 inhibitors and Mineral Receptor Agonists (“MRAs”), which are small-molecule therapies recently approved to lower risks of CKD progression.</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Many of our current competitors may have competitive advantages over us, including significantly greater financial resources and expertise in research and development, pre-clinical testing, clinical trials, manufacturing, and marketing than we do.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the principal competitive factors in its target markets include:</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including sensitivity and specificity, and reproducibility of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offerings or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profile;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promotional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patient population;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of dosing and administration.</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cannot assure you that our products, if approved, will compete favorably or that we will be successful in the face of increasing competition from new products and technologies introduced by existing competitors or new companies entering our target markets. In addition, we cannot assure you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287"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lead product candidate, REACT, as well as any other future product candidates that we may advance into clinical development. REACT and our future product candidates will require significant additional clinical development and funding before we may be able to seek regulatory approval for and launch a product commercially.</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may never be able to develop marketable products. REACT, our lead product candidate, is in Phase 3 clinical development. We cannot offer any assurances or predict with any certainty that such Phase 3 clinical development will be successfully completed, that positive clinical data will be obtained from such Phase 3 clinical development efforts or that regulatory authorities will grant marketing approval for REACT, in any such case on the expected timelines. Furthermore, regulatory approvals for REACT, even if obtained, may limit the type of patients in which REACT may be used for CKD or otherwise require specific warning or labeling language, each of which may reduce the commercial potential of REACT. Even if approved, we might not be successful in commercializing REACT. Should we fail to obtain regulatory approvals for REACT or fail to successfully commercialize REACT upon such regulatory approvals, our business and financial condition could be materially harmed and we may be more heavily dependent on the success of our other therapeutic programs.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an organization, we have not previously conducted any later stage or pivotal clinical trials, have limited experience in preparing, submitting and pursuing regulatory filings and have not previously submitted a BLA for any product candidate. Before we can generate any revenue from sales of our lead product candidate, REACT, or any of our future product candidates, we must complete clinical development, regulatory review and approval in one or more jurisdictions. We also need to obtain substantial additional funding to support our continuing operations and pursue our growth strategy. In addition, if REACT or any of our future product candidates is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REACT or any of our future product candidates.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may experience setbacks that could delay or prevent regulatory approval of, or our ability to commercialize, REACT and any of our future product candidates, including:</w:t>
      </w:r>
    </w:p>
    <w:p>
      <w:pPr>
        <w:spacing w:after="0" w:line="67" w:lineRule="exact"/>
        <w:rPr>
          <w:sz w:val="20"/>
          <w:szCs w:val="20"/>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positive results from the clinical trials of others for product candidates similar to ours leading to their approval, leading to a decision or requirement to conduct additional preclinical testing or clinical trials or to abandon a program;</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patients or subjects in our clinical trials or by individuals using medicines or therapeutics that we, the FDA, other regulators or others view as relevant to the development of REACT or any of our future product candidates;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submitting Investigational New Drug Applications (“INDS”) or comparable foreign applications or delays or failure in obtaining the necessary approvals from regulators to commence a clinical trial, or a suspension or termination of a clinical trial once commenced;</w:t>
      </w:r>
    </w:p>
    <w:p>
      <w:pPr>
        <w:spacing w:after="0" w:line="45"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 including our clinical endpoints, and any requirement for additional confirmatory trials;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clinical trials, including due to the COVID-19 pandemic, and completion of clinical trials, including under the FDA’s GCPs, the guidelines from International Conference on Harmonization (“ICH Guidelines”), Good Laboratory Practices (“GLP”), and current Good Tissue Practices (“cGTPs”);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compliance with regulatory requirements, including cGMPs, and complying effectively with other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REACT or our future product candidates or other materials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with other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efficacy of REACT or our future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taking longer than anticipated;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trials being subjected to fraud or data capture failure or other technical mishaps leading to the invalidation of our trials;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trials not supporting application for conditional approval in the European Union, the Asia-Pacific region, and Latin America;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the impact of the spread of the COVID-19 pandemic, including the impact of COVID-19 on the FDA’s ability to continue its normal operations;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development generally or with respect to our technology in particular;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Health Technology Assessment (“HTA”) procedures with governmental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policy level review of REACT by CMS;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on our other ongoing or future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scientific discovery and technology of cell-based therapies and bioprocessing;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obsoleteness of manufacturing automation which could require a re-design of parts or equipment to ensure quality replacement component, the delays of which could cause significant delays in manufacturing and loss of sales.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evolving and ongoing COVID-19 global pandemic.</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business and operations may be adversely affected by the effects of the evolving COVID-19 virus, which was declared a global pandemic by the World Health Organization (“WHO”). The COVID-19 pandemic has resulted in travel and other restrictions to reduce the spread of the disease, including public health directives and orders in the United States and the European Union (“EU”)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trials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19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we have been able to effectively manage our supply chain and manufacturing capabilities despite the COVID-19 pandemic to date, we may experience related disruptions in the future that could severely impact our clinical trials, including: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with patient enrollment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a suspension in clinical trial site initiation, including difficulties in recruiting investigators, proceduralists and clinical staff;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ability to manufacture and deliver the required supply of REACT or future product candidates for clinical trials;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 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cancellation or postponement of elective procedures scheduled at our clinical trial sites and reduction in operating hours at a significant number of our clinical trial sites;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that among other things (i) may interrupt our ability to manufacture REACT and (ii) may require us to change the ways in which our clinical trials are conducted, which may result in unexpected costs, or to discontinue the clinical trials altogether;</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the ability or willingness of subjects to travel to trial sites for scheduled visits and laboratory testing due to limitations on travel imposed or recommended by federal or state governments, employers and others;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and other regulatory agencies to accept data from clinical trials in these affected geographies;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or shifts of government funding from regulatory agencies, university research and education.</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securities.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 care systems or the global economy as a whole. However, these impacts could adversely affect our business, financial condition, results of operations and growth prospects.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REACT is based on a novel technology, which makes it difficult to predict the time and cost of product development and of subsequently obtaining regulatory approval.</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cell therapy products are evolving and the FDA or other regulatory bodies may change the requirements, or identify different regulatory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pathways, for approval for REACT or any of our future product candidates. For example, the FDA has established the Office of Tissues and Advanced Therapies within CBER to consolidate the review of cell therapy and related products, and has established the Cellular, Tissue and Gene Therapies Advisory Committee to advise CBER in its review when called upon. It is possible that over time new or different divisions may be established or be granted the responsibility for regulating cell therapy products, including regenerative cell-based products, such as ours. Further, additional regulatory involvement from FDA advisory bodies, including the Cardio-Renal Advisory Committee, may delay review or make additional recommendations requiring further investigation. As a result, we may be required to change our regulatory strategy or to modify our applications for regulatory approval, which could delay and impair our ability to complete the non-clinical and clinical development and manufacture of, and obtain regulatory approval for, REACT or any future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REACT or any future product candidates or lead to significant post-approval limitations or restrictions.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regenerative renal cell-based therapies. To date, the FDA has approved a relatively small number of cell-based therapies for commercialization and no regenerative renal-based cell therapy has been approved for commercial use by any regulatory authority. The processes and requirements imposed by the FDA or other applicable regulatory authorities may cause delays and additional costs in obtaining approvals for marketing authorization for REACT or any future product candidates. Because our platform is novel, and cell-based therapies are relatively new, regulatory agencies may lack experience in evaluating product candidates like REACT. This novelty may lengthen the regulatory review process, including the time it takes for the FDA to review our IND applications if and when submitted, increase our development costs and delay or prevent commercialization of REACT. Additionally, advancing novel CKD therapies creates significant challenges for us, including:</w:t>
      </w:r>
    </w:p>
    <w:p>
      <w:pPr>
        <w:spacing w:after="0" w:line="97" w:lineRule="exact"/>
        <w:rPr>
          <w:sz w:val="20"/>
          <w:szCs w:val="20"/>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REACT and, as the clinical development program progresses, on observed side effects with REACT;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medical personnel on the proper use and delivery of REACT;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subjects in clinical trials;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a manufacturing process to support the clinical development of REACT.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REACT.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we advance REACT, we will be required to consult with the FDA and other regulatory authorities, and REACT will likely be reviewed by an FDA advisory committee. We also must comply with applicable requirements, and if we fail to do so, we may be required to delay or discontinue development of REACT. Delays or unexpected costs in obtaining, or the failure to obtain, the regulatory approval necessary to bring a potential product to market could impair our ability to generate sufficient product revenues to maintain our business.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adverse developments in preclinical studies or clinical trials conducted by others in the field of cell therapy products may cause the FDA, the EMA, and other regulatory bodies to revise the requirements for approval of any product candidates we may develop, and may otherwise negatively affect our ability to develop and commercialize REACT or future product candidates. Similarly, the European Commission may issue new guidelines concerning the development and marketing authorization for cell therapies and require that we comply with these new guidelines, which could require additional studies or clinical trials to support the marketing approval of REACT or any product candidates we may develop in the future or which could make our product candidates unable to successfully obtain approval.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regulatory review committees and advisory groups described above and the new guidelines they promulgate may lengthen the regulatory review process, require us to perform additional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complex and expensive process, with an uncertain outcome, and the results of nonclinical studies, previous clinical trials, or interim results of ongoing clinical trials of REACT and any of our future product candidates may not be predictive of future results. Further, we may encounter substantial delays in completing the development of REACT and any of our future product candidates.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product candidate, REACT, is in clinical development, and its risk of failure is high. The clinical trials, manufacturing and marketing of REACT or any of our future product candidates, if approved, will be, subject to extensive and rigorous review and regulation by numerous government authorities in the United States and in other countries where we intend to test and market REACT and any of our future product candidates. Before obtaining regulatory approvals for the commercial sale of REACT or any of our future product candidates, we must demonstrate through lengthy, complex and expensive testing and clinical trials that our product candidates are both safe and effective for use in each target indication. In particular, because REACT is subject to regulation as a biological product, we will need to demonstrate that it is safe, pure and potent for use in its target indication and lacks latent untoward cell effects. REACT and any other product candidate we may develop must demonstrate an adequate risk versus benefit profile in its intended patient population and for its intended use. The process of administration of REACT involves taking a small biopsy of tissue from the kidney. The risks associated with a biopsy include bleeding, pain and hematoma, or bruising.</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In particular, the general approach for FDA approval of a new therapeutic modality can include dispositive data from two well-controlled, Phase 3 clinical trials of the relevant product in the relevant patient population. Our Phase 3 development program may involve one to two thousand patients, have significant costs and take years to complete. A product candidate can fail at any stage of testing, even after observing promising signals of activity in earlier nonclinical studies or clinical trials. The outcome of nonclinical studies and early clinical trials of REACT and our future product candidates may not be predictive of the success of the Phase 3 registrational development program, and interim results of a clinical trial do not necessarily predict final results.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therapeutic products and there can be no assurance that any of our future clinical trials will ultimately be successful or support further clinical development of REACT or any of our future product candidates. Product candidates and delivery methods for cellular therapeutics and tissue engineered products that appear promising in the early phases of development may fail to reach the market for several reasons, including:</w:t>
      </w:r>
    </w:p>
    <w:p>
      <w:pPr>
        <w:spacing w:after="0" w:line="103" w:lineRule="exact"/>
        <w:rPr>
          <w:sz w:val="20"/>
          <w:szCs w:val="20"/>
          <w:color w:val="auto"/>
        </w:rPr>
      </w:pPr>
    </w:p>
    <w:p>
      <w:pPr>
        <w:ind w:left="1080" w:right="40" w:hanging="424"/>
        <w:spacing w:after="0" w:line="312"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nonclinical or preclinical studies or clinical trials may show the product candidates to be less effective than expected (e.g., a clinical trial could fail to meet its primary endpoint(s)) or to have unacceptable side effects or toxicities associated with the product or delivery method;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 and relevant;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mechanism of action, logistical constraints or other factors that make a product candidate uneconomical;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product candidates from being commercialized.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our earlier stage trials are open-label studies, where both the subject and investigator know whether the subject is receiving REACT or standard of care therapy. Most typically, open-label clinical trials test only the investigational product candidate and sometimes do so at different dose levels. Open-label clinical trials are subject to various limitations and biases that may exaggerate any therapeutic effect as subjects in open-label clinical trials are aware when they are receiving treatment. In addition, open-label clinical trials may be subject to an “investigator bias” where those assessing and reviewing the physiological outcomes of the clinical trials are aware of which subjects have received treatment and may interpret the information of the treated group more favorably given this knowledge. Given that our earlier stage trials include an open-label dosing design, while we believe our trials utilize objective assessment measures for measuring our endpoints and therefore are unlikely to be influenced in any manner by subject or investigator bias, it is unknown whether the open-label design may not be predictive of future clinical trial results with this or other product candidates for which we conduct an open-label clinical trial when studied in a controlled environment or with only objective endpoints.</w:t>
      </w:r>
    </w:p>
    <w:p>
      <w:pPr>
        <w:spacing w:after="0" w:line="19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Furthermore, the standards that the FDA and comparable foreign regulatory authorities use when regulating REACT require judgment and may change over time, which makes it difficult to predict with certainty how they will be applied. Any analysis we perform of data from nonclinical and clinical activities is subject to validation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Specifically, some countries, such as China, have enacted or are considering enacting restrictions on the import and export of human genetic materials, cells and tissues. Such laws and regulations could impair our ability to import and export human cells and cell-based therapies, which could have a material adverse impact on our business. We cannot predict whether legislative changes will be enacted,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pivotal trials required for the approval of REACT. We may experience delays in conducting any clinical trials, need to be redesigned, recruit and enroll subjects on time or be completed on schedule, or at all. Clinical trials can be delayed suspended or terminated for a variety of reasons, including in connection with:</w:t>
      </w:r>
    </w:p>
    <w:p>
      <w:pPr>
        <w:spacing w:after="0" w:line="81" w:lineRule="exact"/>
        <w:rPr>
          <w:sz w:val="20"/>
          <w:szCs w:val="20"/>
          <w:color w:val="auto"/>
        </w:rPr>
      </w:pPr>
    </w:p>
    <w:p>
      <w:pPr>
        <w:ind w:left="1080" w:right="4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standardizing or controlling a manufacturing process and quality criteria suitable for advanced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authorizations to conduct future clinical trials;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additional/future clinical trial sites or prospective CROs, the terms of which can be subject to extensive negotiation and may vary significantly among different clinical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or Ethics Committee approval at each additional/future trial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FDA’s GCP requirements, or applicable regulatory requirements in other countries;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or the delivery procedure that are viewed to outweigh its potential benefits;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which could result in improper storage, transport or development conditions for our product components, whose treatment is time-sensitive and temperature-sensitive and which are patient-specific;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manufacturing processes, which could lead to our inability to properly administer treatment.</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REACT or any of our future product candidates or significantly increase the cost of such trials, including:</w:t>
      </w:r>
    </w:p>
    <w:p>
      <w:pPr>
        <w:spacing w:after="0" w:line="67" w:lineRule="exact"/>
        <w:rPr>
          <w:sz w:val="20"/>
          <w:szCs w:val="20"/>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receive feedback from regulatory authorities that requires us to modify the design of our clinical trials;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REACT or our future product candidates may produce negative or inconclusive results, and we may decide, or regulators may require us, to conduct additional clinical trials or abandon development programs;</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REACT or our future product candidates may be larger than we anticipate, enrollment in these clinical trials may be slower than we anticipate or subjects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REACT or our future product candidates for various reasons, including non-compliance with regulatory requirements, a finding that REACT or our future product candidates have undesirable side effects or other unexpected characteristics, or a finding that the subjects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REACT or our future product candidates may be greater than we anticipate and we may not have funds to cover the costs;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REACT or our future product candidates or other materials necessary to conduct clinical trials of our product candidates may be insufficient or inadequate;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REACT or our future product candidates, or such requirements may not be as we anticipate;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REACT or any of our future product candidates beyond those that we currently contemplate, if we are unable to successfully complete clinical trials of REACT or our future product candidates or other testing, if the results of these trials or tests are not positive or are only modestly positive or if there are safety concerns, we may:</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REACT or any of our future product candidates or not obtain marketing approval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Risk Evaluation and Mitigation Strategy (“REMS”);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REACT or one of our future product candidates, changes in governmental regulations or administrative actions or lack of adequate funding to continue the clinical trial.</w:t>
      </w:r>
    </w:p>
    <w:p>
      <w:pPr>
        <w:spacing w:after="0" w:line="187"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REACT, our lead product candidate, will require extensive clinical testing before we are prepared to submit a BLA or MAA for regulatory approval. We cannot predict with any certainty if or when we might complete the clinical development for REACT and submit a BLA or MAA for regulatory approval of REACT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currently conducting clinical trials in foreign countries, as well as in the United States. If we continue to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from foreign regulatory agencies may differ from that required to obtain FDA approval. Approval by the FDA does not ensure approval by regulatory authorities outside the United States and vice versa.</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82"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87"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topline data or interim analyses from our nonclinical studies and clinical trials that may be announced or published from time to time may change as more data becomes available and will remain subject to audit and verification procedures that could result in material changes in the final data.</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disclosed interim analyses of certain ongoing clinical trials and may continue to disclose publicly interim or topline data from its nonclinical studies and clinical trials in the future. These interim updates will be based on a preliminary analysis of then-available data, and the results and related findings and conclusions will be subject to change following a more comprehensive review of the data related to the particular study or trial. We will be required to make assumptions, estimations, calculations and conclusions as part of our analyses of data, and we may not have received or had the opportunity to fully and carefully evaluate all data. As a result, the interim or topline results that we may report might differ from future results of the same studies or trials, or different conclusions or considerations may qualify such results, once additional data have been received and fully evaluated. Interim and topline data will remain subject to audit and verification procedures that may result in the final data being materially different from the data we previously published. As a result, any interim or topline data should be viewed with caution until the final data are available. Interim data from clinical trials that we may complete will be subject to the risk that one or more of the clinical outcomes may materially change as patient enrollment continues and more patient data becomes available.</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or topline data that we report differ from actual results, or if others, including regulatory authorities, disagree with the conclusions reached, our ability to obtain approval for, and commercialize, our product candidate may be harmed, which could harm our business, operating results, prospects or financial condition.</w:t>
      </w:r>
    </w:p>
    <w:p>
      <w:pPr>
        <w:spacing w:after="0" w:line="29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authorities are lengthy, time-consuming and inherently unpredictable. If we are not able to obtain required regulatory approval for REACT, our lead product candidate, or any of our future product candidates, our business may be materially and adversely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biologic product candidates in the United States until we receive regulatory approval of a BLA from the FDA, and we cannot market it in the European Union until we receive approval from the FDA or approval for a MAA from the EMA, or other required regulatory approval in other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countries. To date, we have had only limited discussions with the regulatory agencies of the United States, the European Union, Argentina, Israel, Canada and Brazil regarding clinical development programs or regulatory approval for any product candidate within such jurisdictions.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biologic product candidate in the United States or abroad, we must demonstrate with substantial evidence from well-controlled clinical trials, and to the satisfaction of the FDA, EMA or other foreign regulatory agencies, that such product candidates are safe and effective for their intended uses. Results from nonclinical or preclinical studies and clinical trials may be interpreted differently by different regulatory agencies. Even if we believe the nonclinical or clinical data for REACT are promising, such data may be insufficient to support approval by the FDA and other regulatory authorities. The FDA may also require us to conduct additional nonclinical studies or clinical trials for REACT either prior to or after approval, or it may object to elements of our clinical development programs.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REACT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of third-party suppliers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Of the large number of product candidates developed by biologics manufacturers,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REACT or any of our future product candidates, which would significantly harm our business, financial condition, results of operations and prospects.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REACT. Our business is dependent on our ability to successfully complete nonclinical and clinical development of, obtain regulatory approval for, and, if approved, successfully commercialize REACT and any future product candidates in a timely manner.</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REACT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 candidates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nonclinical studies and clinical trials may fail to demonstrate substantial evidence of the safety and efficacy of REACT or our future product candidates, or serious adverse or unacceptable side effects may be identified during the development of REACT or any of our future product candidates, which could prevent, delay or limit the scope of regulatory approval of REACT or any of our future product candidates, limit their commercialization, increase our costs or necessitate the abandonment or limitation of the development of REACT or our future product candidates.</w:t>
      </w:r>
    </w:p>
    <w:p>
      <w:pPr>
        <w:spacing w:after="0" w:line="5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obtain the requisite regulatory approvals for the commercial sale of REACT and any of our future product candidates, we must demonstrate through lengthy, complex and expensive nonclinical testing and clinical trials that our product candidates are safe, pure and potent for use in each target indication. Nonclinical testing and clinical trials are expensive and time consuming, and their outcomes are inherently uncertain. Failures can occur at any time during the development process. The outcome of nonclinical studies and early clinical trials may not be predictive of the results of later clinical trials, and interim results of a clinical trial do not necessarily predict final results. Moreover, nonclinical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REACT is safe and potent for its intended uses.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autologous cell therapy products include thrombocytopenia, chills, anemia, febrile neutropenia, diarrhea, neutropenia, vomiting, hypotension, dyspnea, cytokine release syndrome and neurotoxicity. Side effects may be unrecognized and mismanaged by medical personnel and considered unrelated due to unfamiliarity with REACT. REACT treatment necessitates a renal biopsy to obtain tissue to manufacture the bioactive component and injections to deposit the REACT into the kidney. Each intervention poses the risk of adverse events from renal bleeding that may require hospitalization, blood transfusion or surgical intervention.</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 severe bleed was observed in one patient which led to the adoption of a noncutting needle design for the REACT procedure. Since then, no injection-related adverse events have been observed. If, however, any other adverse events, or other unexpected serious adverse events, occur, our clinical trials could be suspended or terminated. If we cannot demonstrate that any adverse events experienced by subjects enrolled in our current and planned clinical trials were not caused by our product candidate, the FDA, EMA or other foreign regulatory authorities could order us to cease further development of, or deny approval of, our product candidate for any or all targeted indications. Even if we are able to demonstrate that any serious adverse events experienced by subjects enrolled in our current and planned clinical trials are not product-related, such occurrences could affect patient recruitment or the ability of enrolled subjects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9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Furthermore, if REACT or any of our future product candidates is associated with undesirable effects in nonclinical studies or clinical trials or have characteristics that are unexpected, we may decide or be required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perform additional nonclinical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 FDA, EMA, Paul-Ehrlich-Institut, an Agency of the German Federal Ministry of Health, Medical Products Agency, the government agency in Sweden, Brazilian Health Regulatory Agency, an IRB, or an independent ethics committee (“IEC”)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Additionally, if REACT or any of our future product candidates receives marketing approval, and we or others identify undesirable side effects caused by such products, a number of potentially significant negative consequences could result, including:</w:t>
      </w:r>
    </w:p>
    <w:p>
      <w:pPr>
        <w:spacing w:after="0" w:line="67" w:lineRule="exact"/>
        <w:rPr>
          <w:sz w:val="20"/>
          <w:szCs w:val="20"/>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nonclinical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agencies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autologous cell therapy using REACT may adversely impact the development or commercial success of our current and future product candidates.</w:t>
      </w:r>
    </w:p>
    <w:p>
      <w:pPr>
        <w:spacing w:after="0" w:line="5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 clinical and commercial success of REACT will depend in part on public acceptance of the use of autologous cell therapy for treatment of kidney disease. Any adverse public attitudes about the use of REACT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6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REACT or any of our future product candidates or demand for any products once approved. Adverse events in our or others’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clinical trials, even if not ultimately attributable to our product candidates, and the resulting publicity could result in increased governmental regulation, unfavorable public perception, potential regulatory delays in the testing or approval of REACT or our future product candidates, stricter labeling requirements for those product candidates that are approved and a decrease in demand for any such product candidates, all of which would have a negative impact on our business and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conducting our first Phase 3 clinical trial and may be unable to successfully complete it or any future clinical trials.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conduct of a Phase 3 clinical trial is a complicated process. Although members of our management team have conducted Phase 3 clinical trials in the past while employed at other companies, we as a company are currently conducting our first Phase 3 trial, and as a result may require more time and incur greater costs than we anticipate. Failure to include the correct treatment regimen, complete, or delays in, our Phase 3 clinical trial could prevent us from or delay us in commencing future clinical trials for REACT, obtaining regulatory approval of and commercializing REACT, which would adversely impact our financial performance. In addition, some of our competitors are currently conducting clinical trials for product candidates that treat the same indications as REACT, and patients who are otherwise eligible for our clinical trials may instead enroll in clinical trials of our competitors’ product candidates.</w:t>
      </w:r>
    </w:p>
    <w:p>
      <w:pPr>
        <w:spacing w:after="0" w:line="29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6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Clinical trials may be subject to delays as a result of patient enrollment taking longer than anticipated or greater than anticipated subject withdrawal. We may not be able to initiate or continue clinical trials for REACT or our future product candidates if we are unable to locate and enroll a sufficient number of eligible patients to participate in these trials as required by the FDA or foreign regulatory authorities. We cannot predict how successful we will be at enrolling subjects in future clinical trials. The enrollment of patients depends on many factors, including:</w:t>
      </w:r>
    </w:p>
    <w:p>
      <w:pPr>
        <w:spacing w:after="0" w:line="8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demographics of the patient population required for analysis of the clinical trial’s primary endpoints and the process for identifying patients;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the COVID-19 pandemic, including difficulties in initiating clinical sites, enrolling and retaining subjects, diversion of health care resources away from clinical trials, travel or quarantine policies that may be implemented, and other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subjects to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product candidates’ clinical trials;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clinical trial subject informed consents;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clinical trials will drop out of the trials before completion.</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example, we are initially developing REACT for the treatment of CKD due to diabetes or congenital anomalies of kidney and urinary tract. In the United States, CKD is estimated to affect over 38 million adults. We may encounter difficulties enrolling subjects in our clinical trials of REACT due, in part, to the stringent inclusion criteria for subjects, the novelty of the treatment modality and the fact that it involves a physically invasive procedure. In addition, our clinical trials may compete with other clinical trials for product candidates that are in the same therapeutic areas as REACT, and this competition may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may reduce the number of patients who are available for our clinical trials in such clinical trial site.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Delays in patient enrollment may result in increased costs or may affect the timing or outcome of our future clinical trials, which could prevent completion of these trials and adversely affect our ability to advance the development of REACT or any of our future product candidates. Furthermore, we expect to rely on CROs and clinical trial sites to ensure the proper and timely conduct of our clinical trials and we will have limited influence over their performance.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due to the follow-up period of at least 24 months and the requirement for on-site visits, subjects may drop out of our clinical trials at a higher rate than we anticipate or may elect to participate in alternative clinical trials sponsored by our competitors with product candidates that treat the same indications as REACT and any future product candidates. Even if we are able to enroll a sufficient number of subjects for our clinical trials, we may have difficulty maintaining enrollment of such subjects in our clinical trials.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design or execution of our ongoing and future clinical trials may not support marketing approval.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by investigators and subject to protocol requirements and the rate of dropout among clinical trial subjects. We do not know whether any clinical trials we conduct will demonstrate consistent or adequate efficacy and safety to obtain marketing approval to market REACT or any of our future product candidates.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marketing approval will be obtained for REACT or any of our future product candidates. REACT may not be approved even if it achieves its primary endpoints in our Phase 3 clinical trials or registrational trials. The FDA or comparable foreign regulatory authorities may disagree with our trial designs and our interpretation of data from nonclinical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REACT or any of our future product candidates, if approved.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RMAT Designation from the FDA for REACT, but this may not lead to a faster development or regulatory review process, and such designation does not increase the likelihood that any of our product candidates will receive marketing approval in the United States and the FDA may withdraw such designation.</w:t>
      </w:r>
    </w:p>
    <w:p>
      <w:pPr>
        <w:spacing w:after="0" w:line="6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evaluate regulatory strategies that could enable us to take advantage of expedited development pathways for REACT, including the RMAT designation that we have already received, although we cannot be certain that REACT will qualify for any additional expedited development pathways or that regulatory authorities will grant, or allow us to maintain, the relevant designations.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RMAT designation is intended to expedite the development and review of product candidates that are designed to treat serious or life-threatening diseases and unmet need when “preliminary clinical evidence indicates that a product candidate may demonstrate substantial improvement over existing therapies on one or more clinically significant endpoints, such as substantial treatment effects observed early in clinical development.” The designation of REACT with expedited designation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cell therapy program, beginning as early as Phase 1; organizational commitment involving senior managers; and eligibility for rolling review and priority review if supported by clinical data at the time of the submission of the BLA.</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Cell and gene therapies, therapeutic tissue engineered products, human cell and tissue products, and combination products using any such therapies or products that are intended to treat, modify, reverse, or cure a serious or life-threatening disease or condition are eligible for designation by the FDA as RMATs. The RMAT designation is intended to facilitate efficient development and expedite review of regenerative medicine therapies by offering eligibility for priority review or accelerated approval, as well as early interactions with FDA to discuss any potential surrogate or intermediate endpoint to be used to support accelerated approval.</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applied for RMAT designation for REACT, which was granted by the FDA on October 28, 2021. As contemplated by the RMAT designation and as directed by the FDA, we requested a comprehensive, multidisciplinary Type B meeting with the FDA to review the status of preclinical and clinical development and manufacturing of REACT, and to discuss the planned clinical program intended to support approval of the product candidate. The FDA provided detailed written responses to our questions included in the meeting request, and the Type B meeting was held in March 2022. As a result of that meeting, we will continue to advance the USA clinical development program with the benefit of enhanced clarity as to the FDA’s expectations and requirements for a registrational program, including the design of the trials needed for approval, manufacturing assays, and comparability studies. The FDA’s input is more fully set forth under the heading “Phase 3 Clinical Development (REGEN-006 and REGEN-016)” in the section titled “</w:t>
      </w:r>
      <w:r>
        <w:rPr>
          <w:rFonts w:ascii="Times New Roman" w:cs="Times New Roman" w:eastAsia="Times New Roman" w:hAnsi="Times New Roman"/>
          <w:sz w:val="18"/>
          <w:szCs w:val="18"/>
          <w:i w:val="1"/>
          <w:iCs w:val="1"/>
          <w:color w:val="auto"/>
        </w:rPr>
        <w:t>Business of ProKidney.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Even though we obtained RMAT designation in October 2021, such a designation does not change the standards for product approval, and there is no assurance that this designation will result in expedited review or approval or that the approved indication will not be narrower than the indication covered by RMAT designation. Thus, even though RMAT designation was granted for REACT, we may not experience a faster development process, review or marketing approval compared to conventional FDA procedures. The FDA may withdraw RMAT designation if it believes that the product no longer meets the qualifying criteria. It is also possible that the FDA could provide further input on our trial design, in which case our timelines to completion of the clinical development of REACT could be delayed. Our business may be harmed if we are unable to avail ourselves of these or any other expedited development and regulatory pathways.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only focused on the development of REACT for the treatment of CKD.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continue to conduct additional clinical trials for REACT outside the United States, and the FDA and similar foreign regulatory authorities may not accept data from such trials conducted in locations outside of their jurisdiction.</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conducted additional clinical trials for REACT in the Asia-Pacific region, European Union, and Latin America, and may in the future continue to conduct clinical trials outside the United States, including in South America, Australia, New Zealand, or other foreign jurisdictions. The acceptance of data from clinical trials conducted outside the United States by the FDA may be subject to certain conditions or may be rejected.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clinical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REACT not receiving approval or clearance for commercialization in the applicable jurisdiction.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research programs may initially show promise in identifying potential product candidates, yet fail to yield product candidates for clinical development for a number of reasons, including: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such product candidates with the pharmacological properties that we desire or attractive pharmacokinetics;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and develop a suitable manufacturing process;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If we are unable to identify suitable compounds for clinical development, we will not be able to obtain product revenue in future periods, which likely would result in significant harm to our financial position and adversely impact our share price.</w:t>
      </w:r>
    </w:p>
    <w:p>
      <w:pPr>
        <w:spacing w:after="0" w:line="280"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may seek to accelerate our development timelines, including by initiating certain clinical trials of REACT or our future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REACT or our future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or never achieved.</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REACT or any of our future product candidates.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REACT and Our Future Product Candidates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Cell therapies are complex and difficult to manufacture, and we could experience manufacturing problems that result in delays in the development or commercialization of REACT, our lead product candidate, or otherwise harm our business.</w:t>
      </w:r>
    </w:p>
    <w:p>
      <w:pPr>
        <w:spacing w:after="0" w:line="5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manufacture of cell therapy products is technically complex and necessitates substantial expertise and capital investment. Production difficulties caused by unforeseen events may delay the availability of material for our clinical trials. Further, we are not aware of any other cell therapy that has been manufactured for a market of the anticipated size for REACT. If REACT is approved for commercial sale, as to which no assurance can be given, we may be unable to meet market demand for the product in a timely manner due to the complex processes that are involved in its manufacturing.</w:t>
      </w:r>
    </w:p>
    <w:p>
      <w:pPr>
        <w:spacing w:after="0" w:line="16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Additionally, all entities involved in the preparation of therapeutics for clinical trials or commercial sale are subject to extensive cGMP, state and federal regulations, as well as foreign requirements when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REACT that may not be detectable in final product testing. We must supply all necessary documentation in support of a BLA or MAA on a timely basis. Our facilities and quality systems, including those of any third parties we contract with to manufacture any critical component of the final product, must pass</w:t>
      </w:r>
    </w:p>
    <w:p>
      <w:pPr>
        <w:spacing w:after="0" w:line="5"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a pre-approval inspection for compliance with the applicable regulations as a condition of regulatory approval of REACT or any of our other potential products. In addition, the FDA and other regulatory authorities may, at any time, audit or inspect a manufacturing facility involved with the preparation of REACT or our other potential products or the associated quality systems for compliance with the regulations applicable to the activities being conducted at such facilities, and they could put a hold on one or more of our clinical trials if our facilities, or those of our contracted third parties, do not pass such audits or inspections. If such facilities do not pass a pre-approval plant inspection, FDA approval of the products will not be granted. Any failure to adhere to or document compliance with such regulatory requirements could lead to a delay or interruption in the availability of REACT for clinical trials or enforcement action from the FDA, EMA or foreign regulatory authorities. If we or our suppliers were to fail to comply with the requirements of the FDA, EMA or other regulatory authority, it could result in regulatory actions or sanctions being imposed on us, including the issuance of FDA Form 483 notices of inspectional observations, warning letters or untitled letters,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REACT. Our potential future dependence upon others for the manufacture of REACT may also adversely affect our future profit margins and our ability to commercialize REACT or any future product candidates that receive regulatory approval on a timely and competitive basis.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REACT is manufactured using technically complex processes requiring specialized equipment and facilities, highly specific raw materials, autologous cells collected from patients, and reagents, and the process involves various production constraints. Even though we aim to have backup supplies of raw materials and reagents whenever possible, we cannot be certain they will be sufficient if our primary sources are unavailable. A shortage of a critical raw material or reagent, or a technical issue during manufacturing may lead to delays in clinical development or commercialization plans. Any changes in the manufacturing of components of the raw materials we use could result in unanticipated or unfavorable effects in our manufacturing processes, resulting in delays.</w:t>
      </w:r>
    </w:p>
    <w:p>
      <w:pPr>
        <w:spacing w:after="0" w:line="187"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Delays or failures in the manufacture of cell therapies can result in a patient being unable to receive their cell therapy or a requirement to re-manufacture which itself then causes delays in manufacture for other patients. Any delay or failure or inability to manufacture on a timely basis can adversely affect a patient’s outcomes and delay the timelines for our clinical trials. Such delays or failure or inability to manufacture can result from:</w:t>
      </w:r>
    </w:p>
    <w:p>
      <w:pPr>
        <w:spacing w:after="0" w:line="63" w:lineRule="exact"/>
        <w:rPr>
          <w:sz w:val="20"/>
          <w:szCs w:val="20"/>
          <w:color w:val="auto"/>
        </w:rPr>
      </w:pPr>
    </w:p>
    <w:p>
      <w:pPr>
        <w:ind w:left="1080" w:right="1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equipment or reagent failure, failure in any step of the manufacturing process, failure to maintain a cGMP environment or failure in quality systems applicable to manufacture, sterility failures, or contamination during process;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associated with the collection of a patient’s autologous cells or other samples, shipping that material to analytical laboratories, and shipping the final cell therapy back to the location using cold chain distribution where it will be administered to the patient, manufacturing issues associated with the differences in patient starting materials, inconsistency in cell growth and variability in product characteristics;</w:t>
      </w:r>
    </w:p>
    <w:p>
      <w:pPr>
        <w:spacing w:after="0" w:line="8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end manufacture of the cell therapy, which may lead to regulatory authorities placing a hold on a clinical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trial or requesting further information on the process, which could in turn result in delays to the clinical trials;</w:t>
      </w:r>
    </w:p>
    <w:p>
      <w:pPr>
        <w:spacing w:after="0" w:line="131" w:lineRule="exact"/>
        <w:rPr>
          <w:sz w:val="20"/>
          <w:szCs w:val="20"/>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including issues associated with the differences between patients’ autologous cells or characteristics, interruptions to process, contamination, failure to supply patient apheresis material within required timescales (for example, as a result of an import or export hold-up) or supplier error;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have enough manufacturing slots to manufacture cell therapies for patients as and when those patients require manufacture;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starting materials or to manufacture starting materials;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supply chain, which may require us to find an alternative manufacturer or supplier for one or more components that we need in the manufacture of REACT, which would in turn require such manufacturer or supplier to be qualified through a BLA and/or MAA supplement, could lead the regulatory agencies to require additional studies if a new manufacturer is relied upon for commercial production, and may involve substantial costs and delays related to switching manufacturers;</w:t>
      </w:r>
    </w:p>
    <w:p>
      <w:pPr>
        <w:spacing w:after="0" w:line="85"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cell therapies, or the inability to find alternative manufacturing capability in a timely fashion;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contamination of patient starting material, requiring the starting material to be obtained again from the patient or the manufacturing process to be re-started; and</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modify or make changes to any manufacturing process, which may also require comparability testing that delays our ability to make the required modifications or perform any required comparability testing in a timely fashion, require further regulatory approval or require successful tech transfer to CMOs to continue manufacturing.</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REACT, cause us to incur higher costs and prevent us from commercializing REACT successfully, if approved.</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current costs of manufacturing REACT for use in our ongoing Phase 2 RMCL-002 study are approximately $100,000 per patient. We anticipate that these costs will be lower for our Phase 3 trials and that the costs will continue to decrease by up to 50% from the costs of manufacturing REACT for our Phase 2 RMCL-002 study as we manufacture REACT at commercial scale with implementation of automation, bioprocess developments, formulation improvements and streamlining of the supply chain. We expect to utilize automation in all aspects of manufacturing ranging from tissue processing, cell expansion and renal cell selection to formulation and filling of the final product. We will also extend automation to other manufacturing activities, including warehouse operations and supply chain. In addition, we intend to improve bioprocess development to further reduce manufacturing costs of the commercial REACT product, assuming receipt of necessary regulatory approvals. Culture media represents the highest cost in REACT processing, and we are exploring reduced culture media usage via bioprocess and automation improvements. Further, our final commercial REACT product is planned to be a cryopreserved formulation, which is projected to reduce manufacturing costs compared to our fresh REACT formulation. We expect to leverage bulk purchasing to actively negotiate pricing of materials to further drive cost reductions. However, there can be no assurance that the manufacturing costs for our Phase 3 trials when we manufacture REACT at commercial scale will actually be lower than for our ongoing Phase 2 RMCL-002 study.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REACT in a manner that results in lower costs.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our own manufacturing capabilities, which may result in increased costs being incurred by us.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manufacturing facility for REACT is within our Winston-Salem facility in North Carolina, and this facility currently manufactures SRCs for use in our clinical trials. Regulatory authorities, in particular the FDA, might not continue to approve our ability to manufacture SRCs or other cell therapies at the Winston-Salem facility.</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ability to successfully manufacture our own cell therapies at the Winston-Salem facility within a reasonable period of time and within currently projected costs is dependent on a number of factors, including:</w:t>
      </w:r>
    </w:p>
    <w:p>
      <w:pPr>
        <w:spacing w:after="0" w:line="67" w:lineRule="exact"/>
        <w:rPr>
          <w:sz w:val="20"/>
          <w:szCs w:val="20"/>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the required employees at a suitable level and experience and within required timescales and to maintain employment of such required employees;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the facility and for the manufacture of cell therapies at the facility and to satisfy regulatory authorities on an ongoing basis;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reliably and reproducibly and to timescales sufficient to support required patient administration;</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in compliance with the applicable regulatory requirements, including requirements applicable in both the United States and the European Union, including cGMP, enforced by the FDA and state regulatory authorities;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internal quality controls and processes sufficient to enable manufacture and supply of cell therapies at our Winston-Salem facility;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comparability with currently used manufacturing processes and for such comparability data to be accepted by the appropriate regulatory authorities;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ongoing development, including equipment requirements necessary for successful manufacture of cell therapies at our facility.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delay or failure in manufacture at our facility could result in delays to the supply of cell therapies for our clinical trials. Should we become unable to produce cell therapies for use in our clinical trials or be unable to produce cell therapies at the required level, then we will be unable to support such clinical trials until alternative manufacturing capability is secured.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autologous cell therapy products are patient-specific, and we need to ensure that the correct product is administered to the correct patient.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Administration of autologous cell therapies is patient-specific and personalized medicine. The process requires careful handling of patient-specific products and fail-safe tracking to ensure that the tracking process is without error and that patient samples are tracked from patient collection, through manufacturing and re-administration to the same patient. While such mechanisms are in place, should the tracking process fail, whether at our own facility, a third-party facility or at any point in the manufacturing and supply process, a patient could receive another patient’s SRCs, resulting in significant toxicity and potentially patient fatality. We will need to invest in enhanced systems, such as bar coding, to further ensure fail-safe tracking. There is always a risk of a failure in any such system. Inability to develop or adopt an acceptable fail-safe tracking methodology and handling regime may delay or prevent us from receiving regulatory approval and/or result in significant toxicity and potentially patient fatality if a patient receives another patient’s SRCs. This risk may be increased where autologous cell therapies are used in clinical trials that we do not control or sponsor and, should an error be made in the administration of our autologous cell therapies in such clinical trials, this could affect the steps required in our own clinical trials and manufacturing process requiring the addition of further tracking mechanisms to ensure fail-safe tracking. The tracking systems required to further ensure safe patient administration may also require enhanced procedures and administration to satisfy other regulatory requirements, for example, data protection requirements in Europe. The need to ensure tracking systems are adequate and to</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comply with these additional regulatory requirements may result in delay to the start of clinical trials or the need to obtain additional regulatory licenses or consents prior to starting such trials.</w:t>
      </w:r>
    </w:p>
    <w:p>
      <w:pPr>
        <w:spacing w:after="0" w:line="26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the manufacturing process and facility to produce REACT or disruptions in the manufacturing process may delay or disrupt our commercialization efforts. Very few cGMP cell therapy manufacturing facilities in the United States have received approval from the FDA for the manufacture of an approved cell therapy product.</w:t>
      </w:r>
    </w:p>
    <w:p>
      <w:pPr>
        <w:spacing w:after="0" w:line="6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Before we can begin to commercially manufacture REACT or any of our future product candidates, we must obtain regulatory approval from the FDA for our manufacturing processes and for the facility in which manufacturing is performed. A manufacturing authorization must also be obtained from the appropriate EU regulatory authorities prior to commercialization in the European Union. Very few cGMP cell therapy manufacturing facilities in the United States have received approval from the FDA for the manufacture of an approved cell therapy product and, therefore, the timeframe required for us to obtain regulatory approval for our product candidates is uncertain. In addition, we must pass a pre-approval inspection of the manufacturing facility, including any facilities that produce any component of REACT, by the FDA and other relevant regulatory authorities before REACT or any of our future cell therapy product candidates can obtain marketing approval. In response to the COVID-19 pandemic, on March 10, 2020, the FDA announced its intention to postpone most inspections of foreign manufacturing facilities while local, national and international conditions warrant. On March 18, 2020, the FDA announced its intention to temporarily postpone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therapeutic manufacturing facilities and clinical research sites. According to the guidance, the FDA intends to request such remote interactive evaluations in situations where an in-person inspection would not be prioritized or deemed mission-critical, or where direct inspection is otherwise limited by travel restrictions, but where the FDA determines that remote evaluation would still be appropriate. However, on December 29, 2021, the FDA announced that due to the rapid spread of the COVID-19 omicron variant, certain inspections, such as domestic and foreign preapproval, surveillance, and for-cause inspections that are not deemed mission-critical, would be postponed through January 19, 2022, and that the agency would reassess plans to resume foreign inspections. Should the FDA determine that an inspection is necessary for approval of a new drug application (“NDA”)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Regulatory authorities outside the United States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0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order to obtain approval, we will need to ensure that all of our processes, quality systems, methods, equipment, policies and procedures are compliant with cGMP and other applicable regulations, and perform extensive audits of vendors, contract laboratories, and suppliers. If any of our vendors, contract laboratories, or suppliers is found to be out of compliance with cGMP or other applicable regulations relating to REACT, we may experience delays or disruptions in manufacturing while we work with such third parties to remedy the violation or while we work to identify suitable replacement vendors. The cGMP requirements govern, among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other things, quality control of the manufacturing process and documentation policies and procedures. In complying with cGMP regulations, we will be obligated to spend time, money and effort in production, record keeping and quality control to assure that the product meets applicable specifications and other requirements. If we fail to comply with these requirements, we may be subject to regulatory enforcement actions or other legal sanctions and may not be permitted to sell any products that we may develop.</w:t>
      </w:r>
    </w:p>
    <w:p>
      <w:pPr>
        <w:spacing w:after="0" w:line="180"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have experience as a company managing a complex supply chain or satisfying manufacturing-related regulatory requirements.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FDA, the EMA and other foreign regulatory authorities may require us to submit samples of any lot of any approved product together with the protocols showing the results of applicable lot release tests at any time. Under some circumstances, the FDA, the EMA or other foreign regulatory authorities may require that we not distribute a product lot until the relevant agency authorizes its release. Slight deviations in the manufacturing process, including those affecting quality attributes and stability, may result in unacceptable changes in a cell therapy product that could lead to lot failures or product recalls. Lot failures or product recalls could cause us to delay product launches or clinical trials, which could be costly to us and otherwise harm our business, financial condition, results of operations and prospects. Problems in our manufacturing processes could restrict our ability to meet market demand for our products.</w:t>
      </w:r>
    </w:p>
    <w:p>
      <w:pPr>
        <w:spacing w:after="0" w:line="29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an autologous ex vivo cell therapy supply chain is highly complex. We must identify, engage, and coordinate with treatment centers where patients’ cellular source material must be collected, prepared and transported to the manufacturing facility and the cryopreserved therapeutic product must be returned to the treatment center for administration to the patient using controlled temperature shipping containers.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Once collected from the patient, the cellular source material must be prepared and stored according to specified procedures. While we intend to standardize the processes at treatment centers, if there is a deviation of the processes, the cellular source material from a patient could be adversely impacted and potentially result in manufacturing failures. The patient’s cellular materials must be transported to the manufacturing facility using a shipping container that maintains the material at a sufficiently cold temperature and must typically be delivered and processed within four days of collection. While we intend to use reputable couriers and agents for the transport of such materials, if the shipping container is opened or damaged such that the appropriate storage/shipping temperature is not maintained, the cellular source material may be adversely impacted and it may not be feasible to manufacture a cell therapy product for the patient. Similarly, if a shipment is delayed due to adverse weather, misrouting, being held up at a customs point, COVID-19 impacts or other events, the cellular source material may not be delivered within a time window that will allow for its use for the successful manufacture of a cell therapy product.</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Similarly, the patient’s autologous cell therapy product must be returned to the clinical site for administration to the patient using a specialized shipping container that maintains the material at a very low temperature. While we intend to use reputable couriers and agents for the transport of our products, if the shipping container is opened or damaged such that the very low temperature is not maintained, the cell therapy product may be adversely impacted and it may not be feasible to administer it to the patient or, if administered, it could cause harm to the patient. Similarly, if a shipment is delayed due to adverse weather, misrouting, being held up at a customs point, COVID-19 impacts or other events, and is not delivered to the clinical site within the time period that the very low temperature is maintained, the cell therapy product may be adversely affected and be unable to be administered or, if administered, could cause harm to the patient.</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be delayed or unable to identify, engage, successfully coordinate with or qualify treatment centers in the regions we are targeting as part of our commercial launch strategy, which could delay or prevent patients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from receiving cell therapy treatments, if approved. For example, due to COVID-19-related travel restrictions, some in-person visits to qualify certain potential treatment centers were postponed or required to take place remotely. If our treatment centers fail to perform satisfactorily, we may suffer reputational, operational, and business harm.</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Any of the above events, should they happen, could adversely affect our development timelines and our business, financial condition, results of operations and prospects.</w:t>
      </w:r>
    </w:p>
    <w:p>
      <w:pPr>
        <w:spacing w:after="0" w:line="26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that are necessary for the conduct of clinical trials of REACT, our lead product candidate, and the loss of these third-party suppliers or their inability to supply us with sufficient quantities of adequate materials, or to do so at acceptable quality levels and on a timely basis, could harm our business.</w:t>
      </w:r>
    </w:p>
    <w:p>
      <w:pPr>
        <w:spacing w:after="0" w:line="67"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Manufacturing REACT, our lead product candidate,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REACT.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or interruption in receiving key materials and equipment to support clinical or commercial manufacturing. Any significant delay or interruption in the supply of components or sub-assemblies, or our inability to obtain substitute components, sub-assemblies or materials from alternate sources at acceptable prices in a timely manner, could impair our ability to meet the demand of our customers and harm our business.</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The supply of the reagents and other specialty materials and equipment that are necessary to produce REACT could be reduced or interrupted at any time. In such case, identifying and engaging an alternative supplier could result in delay, and we may not be able to find other acceptable suppliers on acceptable terms, or at all. Switching suppliers may involve substantial costs and is likely to result in a delay in our desired clinical and commercial timelines. If we change suppliers for commercial production, applicable regulatory agencies may require us to conduct additional studies or trials. If key suppliers are lost, or if the supply of the materials is diminished or discontinued, we may not be able to develop, manufacture and market REACT in a timely and competitive manner, or at all. An inability to continue to source products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REACT, which could adversely and materially affect our product sales and operating results or our ability to conduct clinical trials, either of which could significantly harm our business.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or equipment on commercially reasonable terms, or at all, and if we are unable to alter our process in a commercially viable manner to avoid the use of such materials or equipment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development,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subjects prior to undertaking more advanced clinical trials. These factors could cause the delay of nonclinical studies or clinical trials, regulatory submissions, required approvals or commercialization of REACT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future product candidates that we develop, cause us to incur higher costs and prevent us from commercializing our product candidates successfully.</w:t>
      </w:r>
    </w:p>
    <w:p>
      <w:pPr>
        <w:spacing w:after="0" w:line="329"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microbial contamination in the manufacturing process for our cell-based product, shortages of raw materials or failure of any of our key suppliers to deliver necessary components could result in delays in our clinical development or marketing schedules.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Given the nature of cell product manufacturing, there is a risk of microbial contamination. Any microbial contamination could adversely affect our ability to produce, release or administer our cell therapies on schedule and could, therefore, harm our results of operations and cause reputational damage.</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processes are derived from biologic sources. Such raw materials are difficult to procure and may be subject to contamination or recall. A material shortage, contamination, recall or restriction on the use of biologically derived substances in the manufacture of REACT could adversely impact or disrupt the commercial manufacturing or the production of clinical material, which could adversely affect our development timelines and our business, financial condition, results of operations and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REACT requires cryopreservation with specific storage, handling and administration at the clinical sites.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REACT requires cryopreservation and must be stored at very low temperatures in specialized freezers or specialized shipping containers until immediately prior to use. For administration, the cryopreserved product container must be carefully removed from storage, rapidly thawed under controlled temperature conditions in an area proximal to the patient’s bedside and immediately administered to the patient. The handling, thawing and administration of the cryopreserved cell therapy product must be performed according to specific instructions, typically using specific disposables, and some steps must be completed within specific time periods. Failure to correctly handle the product, follow the instructions for thawing and administration and or failure to administer the product within the specified period post-thaw could negatively impact the efficacy and or safety of the product.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trials to marketing approval and commercialization, various aspects of the development program, such as manufacturing methods and the product’s formulation, may be altered along the way in an effort to optimize yield, manufacturing batch size, minimize costs and achieve consistent quality and results. These changes carry the risk that they will not achieve their intended objectives. Any of these changes could cause REACT or any of our future product candidates to perform differently and affect the results of planned clinical trials or other future clinical trials conducted with the altered materials. This could delay completion of our ongoing or planned clinical trials, require us to perform bridging clinical trials or repeat one or more clinical trials, increase clinical trial costs, delay any potential approval of REACT or any of our future product candidates and jeopardize our ability to commercialize REACT or any of our future product candidates and generate revenue.</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there are risks associated with process development and large-scale manufacturing for clinical trials or commercial distribution including, among others, cost overruns, potential problems with process scale-up, process reproducibility, stability issues, compliance with cGMP, lot consistency and timely availability of raw materials. Even if we obtain marketing approval for any of our product candidates, there is no assurance that we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the manufacturing processes for biological products is more complex and expensive than with small-molecule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products, and additional manufacturing suppliers may be needed to manufacture clinical trial supplies for these development programs. If we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8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a number of locations, including a single manufacturing facility in North Carolina. We or the third parties upon whom we depend may be adversely affected by earthquakes, wildfires or other natural disasters, as well as epidemics, pandemics and other incidents, and our business continuity and disaster recovery plans may not adequately protect us from a serious disaster.</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REACT or any of our future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manufacturing facilities, or otherwise disrupted operations, it may be difficult or, in certain cases, impossible, for us to continue our business for a substantial period of time. The disaster recovery and business continuity plans we have in place, including use of contract manufacturers and inherent risks associated therewith with respect to technology transfer and quality issues,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REACT and Our Future Product Candidates</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REACT or a future product candidate we develop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Even if REACT or any other product candidates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 if approved for commercial sale, will depend on a number of factors, including: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current or future product candidates compared to alternative treatments;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commercially launched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including where there may be a perception that our therapies, if approved, involve an increased risk of adverse events;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our product candidates in guidelines published by various scientific organizations applicable to us and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for our products, including necessary reimbursement codes;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Current Procedural Terminology (“CPT”) Codes and Resource-Based Relative Value Scale for appropriate provider reimbursement;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designated International Classification of Diseases (“ICD-10”) codes from the WHO for disease designation;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provider proceduralists to perform invasive kidney procedures that may cause increased medical liability from procedural-related or cell based adverse events;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advanced procedural training for delivery of product candidates.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Sales of cell-based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 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 If government and other third-party payors do not provide coverage and adequate reimbursement levels for any products we commercialize, market acceptance and commercial success would be reduced. REACT is percutaneously injected into the kidney and requires additional proceduralist technical training with possible ongoing maintenance of certification. Facilities where REACT is delivered may require additional cell-based licensing by state, federal or laboratory certification agencies and require equipment with appropriate technology and inventories.</w:t>
      </w:r>
    </w:p>
    <w:p>
      <w:pPr>
        <w:spacing w:after="0" w:line="29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any products for which we obtain regulatory approval, we may not be able to generate product revenue.</w:t>
      </w:r>
    </w:p>
    <w:p>
      <w:pPr>
        <w:spacing w:after="0" w:line="6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REACT or any of our future product candidates ultimately receives regulatory approval, we expect to establish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including product administration and product delivery, once approved;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and for which we receive regulatory approval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REACT or any of our future product candidates may be smaller than we or third parties currently project, which may affect the addressable markets for REACT or our future product candidates.</w:t>
      </w:r>
    </w:p>
    <w:p>
      <w:pPr>
        <w:spacing w:after="0" w:line="5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REACT or any of our future product candidates, are estimates based on our knowledge and understanding of these diseases. These estimates may prove to be incorrect, and new studies, medications, or medical practices may further reduce the estimated incidence or prevalence of this disease. The number of patients in the United States, the European Union and elsewhere may turn out to be lower than expected, may not be otherwise amenable to treatment with REACT or any of our future product candidates or patients may become increasingly difficult to identify and access, all of which would adversely affect our business, financial condition, results of operations and prospects. Further, even if we obtain approval for REACT or any of our future product candidates, the FDA or other regulators may limit their approved indications to more narrow uses or subpopulations within the populations for which we are targeting development of REACT or any of our future product candidates.</w:t>
      </w:r>
    </w:p>
    <w:p>
      <w:pPr>
        <w:spacing w:after="0" w:line="18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total addressable market opportunity for REACT or any of our future product candidates will ultimately depend upon a number of factors including the diagnosis and treatment criteria included in the final label,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prospectus should be viewed with caution.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REACT or any of our future product candidates in one jurisdiction does not mean that we will be successful in obtaining regulatory approval of REACT or future product candidates in other jurisdictions.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REACT or any of our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foreign regulatory authorities must also approve the manufacturing, marketing and promotion of the product candidate in those countries. Approval and licensure procedures vary among jurisdictions and can involve requirements and administrative review periods different from, and greater than, those in the United States, including additional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similar foreign regulatory approvals and compliance with similar foreign regulatory requirements could result in significant delays, difficulties and costs for us and could delay or prevent the introduction of our products in certain countries. We do not have any product candidates approved for sale in any jurisdiction, including international markets, and we do not have experience in obtaining regulatory approval in international markets. If we fail to comply with the regulatory requirements in international markets and/or receive applicable marketing approvals, our target market will be reduced and our ability to realize the full market potential of REACT or any of our future product candidates will be harmed.</w:t>
      </w:r>
    </w:p>
    <w:p>
      <w:pPr>
        <w:spacing w:after="0" w:line="29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have any product candidate approved, our product labeling, advertising, and promotion will be subject to regulatory requirements and continuing regulatory review. In the United States, the FDA and the FTC strictly regulate the promotional claims that may be made about pharmaceutical products to ensure that any claims about such products are consistent with regulatory approvals, not misleading or false, and adequately substantiated by clinical data. The promotion of a medicine or biologic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 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Any off-label use of REACT or any of our future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advertising and promotion of any product candidate that obtains approval outside of the United States will be heavily scrutinized by comparable foreign regulatory authorities and stakeholders.</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REACT and our future product candidates for which we intend to seek approval as biologic products may face competition sooner than anticipated, and our operating results will suffer if we fail to compete effectively.</w:t>
      </w:r>
    </w:p>
    <w:p>
      <w:pPr>
        <w:spacing w:after="0" w:line="51"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Even if we are successful in achieving regulatory approval to commercialize a product candidate ahead of our competitors, REACT or any of our future product candidates may face competition from biosimilar products. In the United States, REACT is expected to be regulated by the FDA as a biological product, and we intend to seek approval for REACT pursuant to the BLA pathway. The Biologics Price Competition and Innovation Act of 2009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REACT.</w:t>
      </w:r>
    </w:p>
    <w:p>
      <w:pPr>
        <w:spacing w:after="0" w:line="172"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We believe that any of our current or future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 care provider who prescribed the original biological product. However, as with all prescribing decisions made in the context of a patient-provider relationship and a patient’s specific medical needs, health 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nonclinical studies and clinical trials. In such a situation, any exclusivity to which we may be eligible under the BPCIA would not prevent the competitor from marketing its biological product as soon as it is approved.</w:t>
      </w:r>
    </w:p>
    <w:p>
      <w:pPr>
        <w:spacing w:after="0" w:line="19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Competitor companies or hospitals may be able to take advantage of EU rules permitting sales of unlicensed medicines for individual patients to sell competing products without a marketing authorization.</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 care professional and for use by an individual patient under his direct personal responsibility. This may in certain countries also apply to products manufactured in a country outside the European Union and imported to treat specific patients or small groups of patients. In addition, designated advanced therapy medicinal products (“ATMPs”) do not need a marketing authorization if they are prepared on a non-routine basis and are used within the same EU member state in a hospital in accordance with a medical prescription for an individual patient.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28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REACT or our future product candidates, if approved, which could make it difficult for us to sell any product candidates profitably.</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treatment for their conditions generally rely on third-party payors to reimburse all or part of the costs associated with their treatment. 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Coverage and adequate reimbursement from governmental health care programs, such as Medicare and Medicaid, and commercial payors is critical to new product acceptance. Even if any of our products obtains regulatory approval, patients are unlikely to use such products unless coverage is provided and reimbursement is adequate to cover a significant portion of the cost. We cannot be sure that coverage and reimbursement will be available for, or accurately estimate the potential revenue from, any of our products, if approved, or assure that coverage and reimbursement will be available for any product that we may develop. REACT, due to the novel cell therapy and new indication for CKD, may require formulation of CPT codes with resource-based relative value unit appropriation and ICD-10 designation. Each are obtained through different processes and may lead to reimbursement delays of unknown lengths of times.</w:t>
      </w:r>
    </w:p>
    <w:p>
      <w:pPr>
        <w:spacing w:after="0" w:line="190" w:lineRule="exact"/>
        <w:rPr>
          <w:sz w:val="20"/>
          <w:szCs w:val="20"/>
          <w:color w:val="auto"/>
        </w:rPr>
      </w:pPr>
    </w:p>
    <w:p>
      <w:pPr>
        <w:jc w:val="both"/>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Government authorities and other third-party payors decide which treatments they will cover and the amount of reimbursement. Coverage and reimbursement by a third-party payor may depend upon a number of factors, including the third-party payor’s determination that use of a product is:</w:t>
      </w:r>
    </w:p>
    <w:p>
      <w:pPr>
        <w:spacing w:after="0" w:line="4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medical journals;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commercialize successfully any of our products for which we obtain regulatory approval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biopharmaceutical product does not imply that an adequate reimbursement rate will be approved. If coverage and adequate reimbursement is not available, or is available only to limited levels, we may not be able to successfully commercialize REACT or any of our future product candidates. Even if coverage is provided, the approved reimbursement amount may not be high enough to allow us to establish or maintain pricing sufficient to realize a sufficient return on our investment.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REACT or any of our future product candidates, if approved.</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Changes to current laws and state and federal health care reform measures that may be adopted in the future may result in additional reductions in Medicare and other health care funding and otherwise affect the prices we may obtain for any product candidates for which we may obtain regulatory approval or the frequency with which any such product candidate is prescribed or used.</w:t>
      </w:r>
    </w:p>
    <w:p>
      <w:pPr>
        <w:spacing w:after="0" w:line="280" w:lineRule="exact"/>
        <w:rPr>
          <w:sz w:val="20"/>
          <w:szCs w:val="20"/>
          <w:color w:val="auto"/>
        </w:rPr>
      </w:pPr>
    </w:p>
    <w:p>
      <w:pPr>
        <w:ind w:left="120"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financial or other liabilities and may be required to limit commercialization of REACT or our future product candidates.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testing REACT or any of our future product candidates in clinical trials and will face an even greater risk if we commercialize any products. For example, we may be sued if REACT or any of our future product candidates causes or is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REACT or any of our future product candidates. Even a successful defense of these claims would require significant financial and management resources. Regardless of the merits or eventual outcome, liability claims may result in:</w:t>
      </w:r>
    </w:p>
    <w:p>
      <w:pPr>
        <w:spacing w:after="0" w:line="9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bring a product candidate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 and inability to continue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share price.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REACT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now or in the future, fail to comply with environmental, health, and safety laws and regulations, we could become subject to fines or penalties or incur costs that could substantially harm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now or in the future,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82"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event of contamination or injury, we could be held liable for damages or be penalized with fines in an amount exceeding our resources, and our clinical trials or regulatory approvals could be suspended, which could substantially harm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a certain portion of our research and nonclinical testing and clinical trials for REACT, and if those third parties do not successfully carry out their contractual duties, comply with regulatory requirements or otherwise perform satisfactorily, we may not be able to obtain regulatory approval or commercialize REACT, or such approval or commercialization may be delayed, and our business may be substantially harmed.</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depend, or may depend in the future, upon third parties to conduct certain aspects of our nonclinical studies and clinical trials, and to monitor and manage data, under agreements with universities, medical institutions, CROs, strategic collaborators and others. We expect to have to negotiate budgets and contracts with such third parties, which may result in delays to our development timelines and increased costs. We expect to continue to rely on third parties, including clinical CROs, medical institutions and clinical investigators, to conduct those clinical trials. If any of our relationships with these third-party CROs or others terminate, we may not be able to enter into arrangements with alternative CROs or other third parties or to do so on commercially reasonable terms, if at all.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restrictions, quarantine policies, heightened exposure of CRO or clinical site or other vendor staff who are health care providers to COVID-19 or prioritization of resources toward the pandemic.</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Any third parties conducting aspects of our nonclinical studies or clinical trials will not be our employees and, except for remedies that may be available to us under our agreements with such third parties, we cannot control whether or not they devote sufficient time and resources to our nonclinical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nonclinical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product development timelines, including clinical development timelines, may be extended, delayed or terminated, and we may not be able to complete development of, obtain regulatory approval of or successfully commercialize REACT. As a result, our financial results and the commercial prospects for REACT would be harmed, our costs could increase and our ability to generate revenue could be delayed.</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rely especially heavily on third parties over the course of our clinical trials and will have limited control over the clinical investigators and limited visibility into their day-to-day activities, including with respect to their compliance with the approved clinical trial protocol. 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trial sponsors, clinical investigators and clinical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nonclinical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and likely cGTP regulations and will require a large number of test subjects. Our failure or any failure by our contracted third parties, including CROs,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 care privacy and security laws.</w:t>
      </w:r>
    </w:p>
    <w:p>
      <w:pPr>
        <w:spacing w:after="0" w:line="192"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4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REACT or any of our future product candidates.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REACT or any of our future product candidates or commercialization of REACT or any of our future product candidates, producing additional losses and depriving us of potential revenue.</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materials, including tissue samples, required for our research and development activities, and if we are unable to reach agreements with these third parties our research and development activities would be delayed.</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296"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to enter into collaborations with third parties for the development and commercialization of REACT and/or our future product candidates, and our future collaborations will be important to our business. If we are unable to enter into collaborations, or if these collaborations are not successful, our business could be adversely affected.</w:t>
      </w:r>
    </w:p>
    <w:p>
      <w:pPr>
        <w:spacing w:after="0" w:line="6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part of our strategy is to consider partnerships in indications and geographies where we believe partners can add significant commercial and/or development capabilities. Further, we have limited capabilities for product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20"/>
        <w:spacing w:after="0" w:line="282" w:lineRule="auto"/>
        <w:rPr>
          <w:sz w:val="20"/>
          <w:szCs w:val="20"/>
          <w:color w:val="auto"/>
        </w:rPr>
      </w:pPr>
      <w:r>
        <w:rPr>
          <w:rFonts w:ascii="Times New Roman" w:cs="Times New Roman" w:eastAsia="Times New Roman" w:hAnsi="Times New Roman"/>
          <w:sz w:val="18"/>
          <w:szCs w:val="18"/>
          <w:color w:val="auto"/>
        </w:rPr>
        <w:t>development and do not yet have any capability for commercialization. Accordingly, we have entered into and may in the future enter into collaborations with other companies to provide us with important technologies and funding for our programs and technology.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the following:</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REACT or our future product candidates;</w:t>
      </w:r>
    </w:p>
    <w:p>
      <w:pPr>
        <w:spacing w:after="0" w:line="81"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REACT or one or more of our future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REACT or our future product candidates;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prospectus also apply to the activities of our collaborators.</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for REACT and future product candidates, and the negotiation process is time-consuming and complex. In order for us to successfully establish a collaboration for REACT or any of our future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REACT or future product candidates, bring them to market and generate revenue from sales of such products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REACT or our future product candidates could delay their development and commercialization and reduce their competitiveness even if it reaches the market.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prescribers, purchasers, third-party payors, charitable organizations and patients will be subject to applicable anti-kickback, fraud and abuse and other health 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upon commercialization of REACT or any of our future product candidates, if approved, we will be subject to additional health care statutory and regulatory requirements and oversight by federal and state governments in the United States as well as foreign governments in the jurisdictions in which we conduct our business. Health care providers, including physicians, in the United States and elsewhere play a primary role in the recommendation and prescription of biopharmaceutical products. Arrangements with third-party payors and customers can expose biopharmaceutical manufacturers to broadly applicable fraud and abuse and other health care laws and regulations, including, without limitation, the federal Anti-Kickback Statute (the “AKS”) and the FCA, which may constrain the business or financial arrangements and relationships through which such companies sell, market and distribute biopharmaceutical products. In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82"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particular, the research of REACT or any of our future product candidates, as well as the promotion, sales and marketing of health care items and services, as well as certain business arrangements in the health 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health care laws that may affect us include: the federal fraud and abuse laws, including the AKS; false claims and civil monetary penalties laws, including the FCA and Civil Monetary Penalties Law; federal data privacy and security laws, including HIPAA, as amended by HITECH; and the federal Physician Payments Sunshine Act related to ownership and investment interests and payments and/or other transfers of value made to or held by physicians (including doctors, dentists, optometrists, podiatrists, and chiropractors) and teaching hospitals and, beginning in 2022, information regarding payments and transfers of value provided to other health care professionals, such as physician assistants and nurse practitioners among others, during the previous year.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manufacturers to report information related to payments and other transfers of value to physicians and other health care providers or marketing expenditures. Additionally, some state and local laws require the registration of biopharmaceutical sales representatives in the jurisdiction.</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 care reform, especially in light of the lack of applicable precedent and regulations. Ensuring business arrangements comply with applicable health care laws, as well as responding to possible investigations by government authorities, can be time- and resource-consuming and can divert a company’s attention from other aspects of its business.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 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 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 care providers or entities with whom we expect to do business is found not to be in compliance with applicable laws, they may be subject to significant criminal, civil or administrative sanctions, including exclusions from government funded health care programs. Any action for violation of these laws, even if successfully defended, could cause a biopharmaceutical manufacturer to incur significant legal expenses and divert management’s attention from the operation of the business. Therefore, even if we are successful in defending against any such actions that may be brought against us, our business may be impaired. Prohibitions or restrictions on sales or withdrawal of future marketed products could materially affect business in an adverse way.</w:t>
      </w:r>
    </w:p>
    <w:p>
      <w:pPr>
        <w:spacing w:after="0" w:line="294"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oversight and continued regulatory review, which may result in significant additional expense and we may be subject to penalties if we fail to comply with regulatory requirements or experience unanticipated problems with REACT or any of our future product candidates.</w:t>
      </w:r>
    </w:p>
    <w:p>
      <w:pPr>
        <w:spacing w:after="0" w:line="6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REACT or any of our future product candidates is approved, activities such as the manufacturing, labeling, packaging, storage, advertising, promotion, sampling, and record keeping for the products will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extensive and ongoing regulatory requirements. These requirements include submissions of safety and other post-marketing information and reports, registration, as well as continued compliance with cGMP and cGTP regulations. Biopharmaceutical manufacturers and any CMOs responsible for any product manufacturing processes are required to comply with extensive FDA and comparable foreign regulatory authority requirements, including ensuring that quality control and manufacturing procedures conform to cGMP and cGTP regulations and any applicable foreign equivalents. As such, we and any CMOs we may employ in the future will be subject to continual review and inspections to assess compliance with cGMP and cGTP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noncompliance with applicable cGMP regulations, a regulator may impose restrictions on that product, the manufacturing facility or us. If we or our third-party providers fail to comply fully with applicable regulations, then we may be required to initiate a recall or withdrawal of our products.</w:t>
      </w:r>
    </w:p>
    <w:p>
      <w:pPr>
        <w:spacing w:after="0" w:line="18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REACT or any of our future product candidates, including adverse events of unanticipated severity or frequency, or with our manufacturing processes, or failure to comply with regulatory requirements, may result in the following, among other things:</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manufacturing of the product, the approved manufacturers or the manufacturing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from the FDA or comparable notice of violations from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applicable regulatory authority to approve pending applications or supplements to approved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penalties.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regulatory authorities’ policies (such as those of the FDA or EMA) may change, and additional government regulations may be enacted that could prevent, limit or delay regulatory approval of REACT or any of our future product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can also result in significant financial penalties. Similarly, failure to comply with the European Union’s requirements regarding the protection of personal information can also lead to significant penalties and sanctions.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marketing approval of REACT or any of our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 care policies, laws and regulations, including legislative measures aimed at reducing health care costs, may impact our ability to obtain approval for, or commercialize REACT or any of our future product candidates, if approved.</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and continue to be, several legislative and regulatory changes and proposed reforms of the health care system made in an effort to contain costs, improve quality and expand access to care. In the United States, there have been and continue to be a number of health care-related legislative initiatives, as well as executive, judicial and Congressional challenges to existing health care laws that have significantly affected, and could continue to significantly affect, the health care industry. For example, on June 17, 2021, the U.S. Supreme Court dismissed a challenge on procedural grounds that argued the Patient Protection and Affordable Care Act of 2010, as amended by the Health Care and Education Reconciliation Act of 2010, together with subsequent amendments and regulations (collectively,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In addition, there has recently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medicines pricing, reduce the cost of prescription medicines under government payor programs and review the relationship between pricing and manufacturer patient programs. We expect that additional U.S. federal health care reform measures will be adopted in the future, any of which could limit the amounts that the U.S. federal government will pay for health care products and services, which could result in reduced demand for REACT or any of our future product candidates or additional pricing pressures.</w:t>
      </w:r>
    </w:p>
    <w:p>
      <w:pPr>
        <w:spacing w:after="0" w:line="29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w:t>
      </w:r>
    </w:p>
    <w:p>
      <w:pPr>
        <w:spacing w:after="0" w:line="176"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Separately, the FDA has announced its commitment to achieving timely reviews of applications for medical products during the COVID-19 pandemic in line with its user fee performance goals; however, the FDA may not be able to continue its current pace and review timelines could be extended, including where a pre-approval inspection or an inspection of clinical sites is required and due to the COVID-19 pandemic and travel restrictions FDA is unable to complete such required inspections during the review period. In response to the COVID-19 pandemic and the subsequent waves of infection due to variants of SARS-CoV-2, the FDA postponed most routine inspections of foreign and domestic manufacturing facilities but continued to conduct mission-critical according to a risk-based prioritization system. During this period, the FDA issued a guidance document describing the FDA’s plans to conduct voluntary remote interactive assessments of certain drug manufacturing facilities and clinical research sites in situations where an in-person inspection would not be prioritized or deemed mission-critical, or where direct inspection is otherwise limited by travel restrictions, but where the FDA determines that remote evaluation would still be appropriate. After a significant decline in COVID-19 cases across the United States in the beginning of 2022, the FDA resumed domestic surveillance inspections on February 7, 2022 and is conducting inspections of foreign manufacturing facilities for which the foreign country has provided clearance and is within the CDC’s Level 1 or 2 COVID-19 travel recommendation. Despite the resumption of normal inspection activities, the FDA continues to employ remote assessments as a tool for evaluating regulatory compliance of foreign and domestic facilities. However, if another rapid rise in COVID-19 cases occurs, the FDA may decide to postpone foreign and domestic inspections again. In such a situation, should the FDA require an inspection for approval of an NDA or BLA, but one cannot be completed during the review cycle due to travel restrictions, and the agency decides a remote interactive evaluation would be inadequate, the FDA has previously stated its general intent to issue a complete response letter or defer action on such applications until an inspection can be completed. Regulatory authorities outside the United States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31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medicine marketing and reimbursement regulations may materially affect our ability to market and receive coverage for our products in the European member states.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intend to seek approval to market REACT in both the United States and in selected foreign jurisdictions. If we obtain approval in one or more foreign jurisdictions for REACT, we will be subject to rules and regulations in those jurisdictions. In some foreign countries, particularly those in the European Union, the pricing of medicines and cell based therapeutics is subject to governmental control and other market regulations which could put pressure on the pricing and usage of REACT. In these countries, pricing negotiations with governmental authorities can take considerable time after obtaining marketing approval of a product candidate. In addition, market acceptance and sales of REACT will depend significantly on the availability of adequate coverage and reimbursement from third-party payors for REACT and may be affected by existing and future health care reform measures. Additionally, the international regulatory landscape related to reimbursement is uncertain, and likely will continue to evolve before we are able to commercialize REACT.</w:t>
      </w:r>
    </w:p>
    <w:p>
      <w:pPr>
        <w:spacing w:after="0" w:line="19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Much like the federal AKS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physicians is governed by the national anti-bribery laws of EU Member States, and in respect of the United Kingdom (which is no longer a member of the European Union), the UK Bribery Act 2010. Infringement of these laws could result in substantial fines and imprisonment.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in most foreign countries, including the European Economic Area (the “EEA”), the proposed pricing for a medicine must be approved before it may be lawfully marketed. The requirements governing medicine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In addition, these regulations are evolving and subject to change, possibly before we are able to commercialize REACT.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30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subjects and health 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Consumer Privacy Act of 2018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information that is subject to HIPAA and clinical trial regulations, as currently written, the CCPA may impact certain of our business activities. The CCPA may lead to similar laws in other U.S. states or at a national level, which could increase our potential liability and adversely affect our business.</w:t>
      </w:r>
    </w:p>
    <w:p>
      <w:pPr>
        <w:spacing w:after="0" w:line="14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to our operations in the United States, which may be subject to health care and other laws relating to the privacy and security of health information and other personal information, we are conducting, and we may conduct in the future, clinical trials in EEA and may become subject to additional European data privacy laws, regulations and guidelines. The General Data Protection Regulation, (EU) 2016/679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spacing w:after="0" w:line="19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 national laws of member states of the European Union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 United Kingdom’s decision to leave the European Union, often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conducting clinical trials in the EEA, and the GDPR increases our responsibility and liability in relation to personal data that we process where such processing is subject to the GDPR, and we are required to have in place additional mechanisms and safeguards to ensure compliance with the GDPR, including as implemented by individual countries. Compliance with the GDPR is a rigorous and time-intensive process that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hesitation, reluctance, or refusal by European or multi-national vendors or biopharmaceutical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vendors or biopharmaceutical partners may also view any alternative approaches to compliance as being too costly, too</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burdensome, too legally uncertain, or otherwise objectionable and therefore decide not to do business with us. Any of the forgoing could materially harm our business, prospects,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relating to our international operations could negatively impact or restrict our operations.</w:t>
      </w:r>
    </w:p>
    <w:p>
      <w:pPr>
        <w:spacing w:after="0" w:line="121"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Following the result of a referendum in 2016, Brexit took effect on January 31, 2020. Pursuant to the formal withdrawal arrangements agreed to by the United Kingdom and the European Union, as of January 1, 2021, the United Kingdom is no longer subject to the transition period during which EU rules continued to apply (the “Transition Period”). Negotiations between the United Kingdom and the European Union are expected to continue in relation to the customs and trading relationship between the United Kingdom and the European Union following the expiry of the Transition Period.</w:t>
      </w:r>
    </w:p>
    <w:p>
      <w:pPr>
        <w:spacing w:after="0" w:line="16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is applicable to our business, and REACT, our lead product candidate, is derived from EU directives and regulations, Brexit, following the Transition Period, could materially impact the regulatory regime with respect to the development, manufacture, importation, approval and commercialization of REACT in the United Kingdom or the European Union. For example, as a result of the uncertainty surrounding Brexit, the EMA relocated to Amsterdam from London. Following the Transition Period, the United Kingdom will no longer be covered by the centralized procedures for obtaining EU-wide marketing authorizations from the EMA, and unless a specific agreement is entered into, a separate process for authorization of cell-based products will be required in the United Kingdom, the potential process for which is currently unclear. Any delay in obtaining, or an inability to obtain, any marketing approvals, as a result of Brexit or otherwise, would prevent us from commercializing REACT in the United Kingdom or the European Union and limit our ability to generate revenue and achieve and sustain profitability. In addition, we may be required to pay taxes or duties or be subjected to other hurdles in connection with the importation of REACT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REACT,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19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 we must dedicate additional resources to comply with numerous laws and regulations in each jurisdiction in which we plan to operate.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 care providers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As we expand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operations throughout the world, we will be required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(collectively, the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Charter provides that we renounce, to the maximum extent permitted by law, our interest in any corporate opportunity offered to any director who is not also an employee of the Company or about which any such director acquires knowledge unless such opportunity is expressly offered to such person solely in his or her capacity as a director of the Company and such opportunity is one we are legally and contractually permitted to undertake and would otherwise be reasonable for us to pursue. In addition, our Charter contains provisions to exculpate and indemnify, to the maximum extent permitted by law, such persons in respect of any liability, obligation or duty to our company that may arise as a consequence of such persons becoming aware of any business opportunity or failing to present such business opportunity.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result in a conflict of interest and may result in a breach of their fiduciary duties to us as a matter of Cayman Islands law and we or our shareholders might have a claim against such individuals for infringing on our shareholders’ rights. See the section titled “Description of ProKidney Securities—Certain Differences in Corporate Law—Shareholders’ Suits” for further information on the ability to bring such claims. However, we might not ultimately be successful in any claim we may make against them for such reason.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Our corporate affairs will be governed by our Charter, the Cayman Islands Companies Act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corporate and securities laws as compared to the United States, and certain states, such as Delaware, may have more fully developed and judicially interpreted bodies of corporate law. In addition, Cayman Islands companies may not have standing to initiate a shareholder derivative action in a Federal court of the United States.</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0" w:lineRule="exact"/>
        <w:rPr>
          <w:sz w:val="20"/>
          <w:szCs w:val="20"/>
          <w:color w:val="auto"/>
        </w:rPr>
      </w:pPr>
    </w:p>
    <w:p>
      <w:pPr>
        <w:ind w:left="120" w:right="640" w:firstLine="440"/>
        <w:spacing w:after="0" w:line="312" w:lineRule="auto"/>
        <w:rPr>
          <w:sz w:val="20"/>
          <w:szCs w:val="20"/>
          <w:color w:val="auto"/>
        </w:rPr>
      </w:pPr>
      <w:r>
        <w:rPr>
          <w:rFonts w:ascii="Times New Roman" w:cs="Times New Roman" w:eastAsia="Times New Roman" w:hAnsi="Times New Roman"/>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business will depend in large part on obtaining and maintaining patent, trademark and trade secret protection of our proprietary technologies and REACT, our lead product candidate, its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REACT is dependent upon the extent to which we have rights under valid and enforceable patents that cover these activities and whether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The patenting process is subject to numerous risks and there can be no assurance that we will be successful in obtaining patents for which we have applied.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REACT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REACT, or prevent others from designing around the claims in our patents. If the breadth or strength of protection provided by the patent applications we hold with respect to REACT is threatened, it could dissuade companies from collaborating with us to develop, and threaten our ability to commercialize, REACT. Further, if we encounter delays in our clinical trials, the period of time during which we could market REACT under patent protection would be reduced.</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be certain that we were the first to file any patent application related to our technology, including REACT, and, if we were not, we may be precluded from obtaining patent protection for our technology, including REACT.</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 party or instituted by the United States Patent and Trademark Office (the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REACT, or would be found by a court to be infringed by a competitor’s technology or product. We may analyze patents or patent applications of our competitors that we believe are relevant to our activities, and consider that we are free to operate in relation to REACT, but our competitors may achieve issued claims, including in patents we consider to be unrelated, which block our efforts or may potentially result in REACT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8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(the “America Invents Act”) after March 2013,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In addition, the courts have yet to address many of these provisions and the applicability of the America Invents Act and new regulations on specific patents discussed herein, for which issues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right="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compositions of REACT but that are not covered by the claims of our patents or those of our licensors;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invented or developed using U.S. government funding, leading to the loss of patent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REACT;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owned or in-licensed patents or applications were made with U.S. government funds, it is possible that the U.S. government may assert certain march-in rights to force us or our licensor to grant a license to third-parties to allow them to practice the claimed invention;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5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licenses or agreements.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REACT, our lead product candidate, or any other product candidate’s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have limited control over the maintenance and prosecution of these in-licensed patents and patent applications, or any other intellectual property that may be related to our in-licensed intellectual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and competitive position would be harmed.</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also plan to adopt policies and conduct training that provides guidance on our expectations, and our advice for best practices, in protecting our trade secrets.</w:t>
      </w:r>
    </w:p>
    <w:p>
      <w:pPr>
        <w:spacing w:after="0" w:line="292"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to defend and could prevent or delay our product discovery, development and commercialization efforts.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REACT, our lead product candidate, and use our proprietary technologies without infringing the proprietary rights of third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REACT and/or proprietary technologies infringe their intellectual property rights. Numerous U.S. and foreign issued patents and pending patent applications, which are owned by third parties, exist in the fields in which we are developing REACT. As the biotechnology and biopharmaceutical industries expand and more patents are issued, the risk increases that REACT may give rise to claims of infringement of the patent rights of others.</w:t>
      </w:r>
    </w:p>
    <w:p>
      <w:pPr>
        <w:spacing w:after="0" w:line="18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Purple Book Continuity Act, enacted in December 2020 under Title II § 325, directs the FDA for the first time to publicly list certain patent information in the “Purple Book,” a database of approved biological products. Specifically, a reference product sponsor (“RPS”) is required to provide to FDA the list of patents and corresponding expiry dates (referred to here as the “initial list”), not later than 30 days after the RPS has provided the initial list to a 351(k) applicant under section 351(l)(3)(A) or (l)(7) of the Public Health Service Act. Accordingly, the RPS must only provide information on its patents to the FDA for listing in the Purple Book after it engages in the patent dance with a follow-on developer or biosimilar. As such, it is not always clear to industry participants, including us, which patents cover various types of medicines, products or their methods of use or manufacture, especially in the earlier stages of product discovery and development. Thus, because of the large number of patents issued and patent applications filed in our fields, there may be a risk that third parties may allege they have patent rights encompassing our product candidate, technologies or methods.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131" w:lineRule="exact"/>
        <w:rPr>
          <w:sz w:val="20"/>
          <w:szCs w:val="20"/>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or technology at issue infringes on or violates the third-party’s rights, and, if the court finds that the infringement was willful, we could be ordered to pay treble damages and the patent owner’s attorneys’ fees;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REACT, or from using our proprietary technologies, unless the third-party licenses its product rights to us, which it is not required to do;</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REACT or processes so they do not infringe, which may not be possible or may require substantial monetary expenditures and time.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employing their proprietary technology without authorization.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compositions of matter, materials, formulations, methods of manufacture or methods for treatment that encompass the composition, use or manufacture of REACT. There may be currently pending patent applications of which we are currently unaware which may later result in issued patents that REACT or their use or manufacture may infringe. In addition, third parties may obtain patents in the future and claim that use of our technologies infringes upon these patents. If any third-party patent were held by a court of competent jurisdiction to cover REACT, intermediates used in the manufacture of REACT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REACT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REACT.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REACT. We may fail to obtain any of these licenses at a reasonable cost or on reasonable terms, if at all. In that event, we would be unable to further develop and commercialize REACT, which could harm our business significantly.</w:t>
      </w:r>
    </w:p>
    <w:p>
      <w:pPr>
        <w:spacing w:after="0" w:line="292"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may be relevant to or necessary for the commercialization of REACT in any jurisdiction.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REACT. Our failure to identify and correctly interpret relevant patents may negatively impact our ability to develop and market our products.</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intellectual property rights to develop any future product candidates on acceptable terms.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REACT, our current product candidate, may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REACT.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7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challenging the patent rights of others, which could be expensive, time-consuming and unsuccessful.</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REACT or our proprietary technologies.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securities.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our owned and in-licensed issued patents and patent applications are or will be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patents covering REACT could be found invalid or unenforceable if challenged in court or the USPTO.</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third-party to enforce a patent covering REACT, the defendant could counterclaim that the patent covering REACT,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equivalent proceedings in foreign jurisdictions (e.g., opposition proceedings). Such proceedings could result in revocation or amendment to our patents in such a way that they no longer cover REACT.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REACT. Such a loss of patent protection could have a material adverse impact on our business and our ability to commercialize or license our technology and product candidates.</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have a similar material adverse effect on our business, results of operations, financial condition and prospects.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changes in the administration’s interpretation of the law, or changes in the law in other jurisdictions could diminish the value of patents in general, thereby impairing our ability to protect our products.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4"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w:t>
      </w:r>
    </w:p>
    <w:p>
      <w:pPr>
        <w:spacing w:after="0" w:line="1" w:lineRule="exact"/>
        <w:rPr>
          <w:sz w:val="20"/>
          <w:szCs w:val="20"/>
          <w:color w:val="auto"/>
        </w:rPr>
      </w:pPr>
    </w:p>
    <w:p>
      <w:pPr>
        <w:jc w:val="both"/>
        <w:ind w:left="120" w:right="480"/>
        <w:spacing w:after="0" w:line="255" w:lineRule="auto"/>
        <w:rPr>
          <w:sz w:val="20"/>
          <w:szCs w:val="20"/>
          <w:color w:val="auto"/>
        </w:rPr>
      </w:pPr>
      <w:r>
        <w:rPr>
          <w:rFonts w:ascii="Times New Roman" w:cs="Times New Roman" w:eastAsia="Times New Roman" w:hAnsi="Times New Roman"/>
          <w:sz w:val="18"/>
          <w:szCs w:val="18"/>
          <w:color w:val="auto"/>
        </w:rPr>
        <w:t>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and enforce our intellectual property rights throughout the world.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have multiple patents in countries outside of the United States, we do not have intellectual property rights in all potential markets outside the United States where CKD is prevalent.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REACT or our future product candidates for an adequate amount of time, and if we do not obtain protection under the Hatch-Waxman Amendments and similar non-United States legislation for extending the term of patents covering REACT or our future product candidates, our business may be materially harmed.</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filing date. Various extensions such as patent term adjustments and/or extensions, may be available, but the life of a patent, and the protection it affords, is limited. Even if patents covering REACT or any of our future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Hatch-Waxman Amendments. The Hatch-Waxman Amendments permit a patent extension term of up to five additional years beyond the expiration date as compensation for patent term lost during the FDA regulatory review process. A patent term extension cannot extend the remaining term of a patent beyond a total of 14 years from the date of product approval, only one patent may be extended. However, we may not be granted the full extension because of, for example, failing to exercise due diligence during the testing phase or regulatory review process. Also, we may not be granted any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REACT, if approved for marketing, from the products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may infringe or otherwise violate our trademarks and we may not have adequate resources to enforce our trademarks. Any of the foregoing events may have a material adverse effect on our business. Moreover, any name we propose to use with REACT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and research and regulatory capabilities, our manufacturing and administrative capacities, and potentially implement sales, marketing and distribution capabilities, and as a result, we may encounter difficulties in managing our growth, which could adversely affect our operations.</w:t>
      </w:r>
    </w:p>
    <w:p>
      <w:pPr>
        <w:spacing w:after="0" w:line="6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July 31, 2022, we had approximately 77 full-time employees. As our clinical development and commercialization plans and strategies develop, and as we transition into operating as a public company, we will need to expand our managerial, clinical, regulatory, manufacturing, sales, marketing, financial, development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89"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and commercialization efforts effectively, including the clinical and FDA review process for REACT and any other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ability to continue to develop and, if approved, commercialize REACT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REACT or any of our future product candidates or otherwise advance our business. There can be no assurance that we will be able to manage our existing consultants or find other competent outside contractors and consultants on economically reasonable terms, or at all.</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REACT or any other product candidates and, accordingly, may not achieve our research, development and commercialization goals.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82"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continue developing REACT or identify and develop new product candidates will be impaired, which could result in loss of markets or market share and could make us less competitive.</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Tim Bertram, our Chief Executive Officer; Deepak Jain, our Chief Operating Officer; James Coulston, our Chief Financial Officer; and Joseph Stavas, our SVP Clinical Development. The loss of the services of any of our executive officers, other key employees, and other scientific and medical advisors, and our inability to find suitable replacements could result in delays in product development and harm our business.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conduct our operations globally from several locations, including the United States and the Cayman Islands. Competition for skilled personnel in our industry is intense and may limit our ability to hire and retain highly qualified personnel on acceptable terms or at all.</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intend to provide equity awards that vest over time, some of which may be in the form of unregistered shares and may dilute the voting and economic rights of our shareholders. The value to employees of such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Our success also depends on our ability to continue to attract, retain and motivate highly skilled junior, mid-level and senior scientific and medical personnel.</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internal computer systems and those of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REACT or any of our future product candidates could be delayed.</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(e.g., Section 5 of the Federal Trade Commission Act), that govern the collection, use, disclosure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International data protection laws, including GDPR, may also apply to health-related and other personal information obtained outside of the United States. The GDPR will increase our responsibility and liability in relation to personal data that we process, and we may be required to put in place additional mechanisms to ensure compliance with the new EU (which also includes the EEA) data protection rules. Further, the Brexit has created more uncertainty with regard to data protection regulation in the United Kingdom. The United Kingdom retained the GDPR in UK law, which sits alongside the amended version of the Data Protection Act 2018. The European Union adopted an adequacy decision so that data can be transferred from the European Union to the United Kingdom. Additionally, there are no new requirements for transfer from the United Kingdom to the European Union. However, going forward, the European Union’s and United Kingdom’s data protection rules could diverge, and data transfers may not be possible and/or new arrangements may need to be put in place. In particular, it is unclear to what extent the United Kingdom regime will begin diverging from the GDPR and how data transfers to and from the United Kingdom will be regulated.</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California recently enacted the CCPA, which creates new individual privacy rights for California consumers (as defined in the law) and places increased privacy and security obligations on entities handling personal data of consumers or households. The CCPA became effective on January 1, 2020, but the California Privacy Rights Act was recently enacted to strengthen elements of the CCPA effective January 1, 2023. In addition, there are a number of other states that have considered similar privacy proposals, with states like Virginia and Colorado enacting their own privacy laws (also scheduled to come into effect in January 1, 2023 and July 1, 2023, respectively). These privacy laws may impact our business activities and exemplify the vulnerability of our business to the evolving regulatory environment related to personal data.</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or policy could increase our effective tax rate and tax liability or the taxes payable by holders of our ordinary shares, each of which could have a material adverse effect on our business, financial condition and results of operations.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“Tax Act”), enacted in December 2017, resulted in fundamental changes to the Internal Revenue Code of 1986, as amended (the “Code”) including, among many other things, a reduction to the federal corporate income tax rate, a partial limitation on the deductibility of business interest expense, a limitation on the deductibility of certain director and officer compensation expense, limitations on net operating loss carrybacks and carryovers and changes relating to the scope and timing of U.S. taxation on earnings from international business operations. Subsequent legislation, the Coronavirus Aid, Relief, and Economic Security Act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“CARES Act”) enacted on March 27, 2020, relaxed certain of the limitations imposed by the Tax Act for certain taxable years, including the limitation on the use and carryback of net operating losses and the limitation on the deductibility of business interest expense. The exact impact of the Tax Act and the CARES Act for future years is difficult to quantify, but these changes could materially affect our investors, the companies in which our clients invest, or us. Legislative proposals in the U.S., if adopted, would increase the corporate income tax rate and capital gains tax rate. In addition, other changes could be enacted in the future to limit further the deductibility of interest, subject carried interests to more onerous taxation or effect other changes that could have a material adverse effect on our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or may become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could result in adverse U.S. federal income tax consequences to U.S.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ProKidney believes that it is likely classified as a PFIC for U.S. federal income tax purposes. If we are a PFIC for any taxable year (or portion thereof) that is included in the holding period of a U.S. Holder of our Class A ordinary shares, such U.S. Holder may be subject to adverse U.S. federal income tax consequences and may be subject to additional reporting requirements.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IRS may require, including a PFIC Annual Information Statement, upon request, in order to enable a U.S. Holder to make and maintain a “qualified electing fund” election. There can be no assurance, however, that ProKidney will timely provide such information. For more information, please see the section entitled “</w:t>
      </w:r>
      <w:r>
        <w:rPr>
          <w:rFonts w:ascii="Times New Roman" w:cs="Times New Roman" w:eastAsia="Times New Roman" w:hAnsi="Times New Roman"/>
          <w:sz w:val="18"/>
          <w:szCs w:val="18"/>
          <w:i w:val="1"/>
          <w:iCs w:val="1"/>
          <w:color w:val="auto"/>
        </w:rPr>
        <w:t>Certain Material U.S. and Non-Income Tax Considerations—U.S. Holders—PFIC Considerations</w:t>
      </w:r>
      <w:r>
        <w:rPr>
          <w:rFonts w:ascii="Times New Roman" w:cs="Times New Roman" w:eastAsia="Times New Roman" w:hAnsi="Times New Roman"/>
          <w:sz w:val="18"/>
          <w:szCs w:val="18"/>
          <w:color w:val="auto"/>
        </w:rPr>
        <w:t>.” We urge U.S. investors to consult their own tax advisors regarding the possible application of the PFIC rules.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51"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We will be subject, directly or indirectly, to income taxes in various jurisdictions, and our tax liabilities will be subject to the allocation of expenses in differing jurisdictions. Our future effective tax rates could be subject to volatility or adversely affected by a number of factors, including:</w:t>
      </w:r>
    </w:p>
    <w:p>
      <w:pPr>
        <w:spacing w:after="0" w:line="4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share-based compensation;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lower-than-anticipated future earnings in jurisdictions where we have lower statutory tax rates and higher-than-anticipated future earnings in jurisdictions where we have higher statutory tax rates.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have significant influence over us, including over decisions that require the approval of shareholders, and their interests may conflict with the interests of holders of ProKidney Corp. Class A ordinary shares.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Voting Agreement provides, with respect to the election, appointment or removal of any director of the Company, that, until the third anniversary of the Closing, CEC will vote all of its voting shares in the capital of the Company in a manner proportionate to the manner in which all other ProKidney Class B ordinary shares not held by CEC are voted. As a result, Tolerantia effectively controls approximately 64.7% (accounting for approximately 23.9% held by CEC) of the combined voting power of ProKidney Corp. with respect to the election, appointment or removal of any director. Additionally, Pablo Legorreta, as Chairperson of the Board, is affiliated with and majority owns and controls Tolerantia. As a result, Tolerantia and its affiliates have significant influence over the management and affairs of the Company, and, acting together, effectively control the election, appointment or removal of any director and have indirect control over the approval of significant corporate transactions, including any merger, consolidation or sale of all or substantially all of our assets and the issuance or redemption of equity interests in certain circumstances, to the extent such matters require approval of the Board.</w:t>
      </w:r>
    </w:p>
    <w:p>
      <w:pPr>
        <w:spacing w:after="0" w:line="18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Tolerantia and CEC together control approximately 64.7% of the combined voting power of the Company. The interests of these shareholders may not always coincide with, and in some cases may conflict with, our interests and the interests of our other shareholders, including the holders of ProKidney Class A ordinary shares. For instance, these shareholders could attempt to delay or prevent a change in control, even if such change in control would benefit our other shareholders, which could deprive our shareholders of an opportunity to receive a premium for their ProKidney Class A ordinary shares. This concentration of ownership may also affect the prevailing market price of our ProKidney Class A ordinary shares due to investors’ perceptions that conflicts of interest may exist or arise. As a result, this concentration of ownership may not be in your best interests.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because these shareholders hold their economic interest in our business through ProKidney LP, rather than through ProKidney Corp., their interests may further conflict with the interests of holders of ProKidney Class A ordinary shares. For example, such holders may have different tax positions from ProKidney Corp., which could influence their decisions regarding whether and when ProKidney Corp. should dispose of assets or incur new or refinance existing indebtedness, and whether and when ProKidney Corp.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ProKidney Corp. These holders’ significant ownership in ProKidney Corp. and resulting ability, acting together, to effectively control us may discourage someone from making a significant equity investment in ProKidney Corp., or could discourage transactions involving a change in control, including transactions in which a holder of ProKidney Class A ordinary shares might otherwise receive a premium for their shares over the then-current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“controlled company” within the meaning of the Nasdaq rules, our shareholders may not have certain corporate governance protections that are available to shareholders of companies that are not controlled companies.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directors is held by an individual, a group or another company, we will qualify as a “controlled company” within the meaning of the Nasdaq corporate governance standards. Pursuant to the terms of the Voting Agreement, Tolerantia effectively controls a majority of the voting power of all outstanding ProKidney Corp. ordinary shares with respect to the election, appointment or removal of any director. As a result, we are a “controlled company” within the meaning of the Nasdaq corporate governance standards and are not subject to the requirements that would otherwise require us to have: (i) a majority of our board of directors consist of independent directors, (ii) subject to the exception pursuant to Nasdaq Listing Rule 5605(b)(2), our board of directors have a compensation committee that is composed of at least two members, each of whom is an independent director,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by a nominating and corporate governance committee comprised solely of independent directors with a written charter addressing the committee’s purpose and responsibilities. Pursuant to the requirements under the Business Combination Agreement, a majority of the directors of the Board are “independent” directors for the purposes of the Nasdaq Listing Rules, but for at least some period following the Business Combination, we may utilize the other exemptions described above.</w:t>
      </w:r>
    </w:p>
    <w:p>
      <w:pPr>
        <w:spacing w:after="0" w:line="19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Tolerantia may have its interest in the Company diluted due to future equity issuances or its own actions in selling shares of the Company, in each case, which could result in a loss of the “controlled company” exemption under the Nasdaq listing rules. We would then be required to comply with those provisions of the Nasdaq listing requirements.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as well as provisions of Cayman Islands law, could impair a takeover attempt.</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Charter contains provisions that may discourage unsolicited takeover proposals that shareholders may consider to be in their best interests. These provisions may make more difficult the removal of management and may discourage transactions that otherwise could involve payment of a premium over prevailing market prices for our securities. These provisions will include, among other things:</w:t>
      </w:r>
    </w:p>
    <w:p>
      <w:pPr>
        <w:spacing w:after="0" w:line="8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shareholders to elect director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shareholders to change the membership of a majority of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by special resolution;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of the Board created by the expansion of the Board or the resignation, death, or removal of a director in certain circumstances, which prevents shareholders from being able to fill vacancies on the Board;</w:t>
      </w:r>
    </w:p>
    <w:p>
      <w:pPr>
        <w:spacing w:after="0" w:line="67"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shareholders calling an extraordinary general meeting and the requirement that a meeting of shareholders may only be called by members of the Board, which may delay the ability of our shareholders to force consideration of a proposal or to take action, including the removal of directors;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issue and set the voting and other rights of preference shares, which could adversely affect the voting power and other rights of the holders of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shareholders may not have access to certain information they deem important. We will remain an emerging growth company until the earliest of (i) the last day of the fiscal year: (a) following July 2, 2026, the fifth (5th) anniversary of our initial public offering; (b) in which we have total annual gross revenue of at least $1.07 billion; or (c) in which we are deemed to be a large accelerated filer, which means the market value of our Class A ordinary shares that is held by non-affiliates equals or exceeds $700 million as of the last business day of our prior second fiscal quarter, and (ii) the date on which we have issued more than $1.0 billion in non-convertible debt during the prior three-year period.</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that is held by non-affiliates exceeds $250 million as of the last business day of the prior fiscal quarter, or (ii) our annual revenues equaled or exceeded $100 million during such completed fiscal year, and the market value of our ordinary shares that is held by non-affiliates equals or exceeds $700 million as of the last business day of the prior second fiscal quarter.</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ordinary shares less attractive because we rely on these exemptions. If some investors find our Class A ordinary shares less attractive as a result, there may be a less active trading market for our Class A ordinary shares, and our share price may be more volatile.</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we will be required to provide attestation on internal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controls commencing with the annual report for fiscal year ended December 31, 2022, and we may need to undertake various actions, such as implementing additional internal controls and procedures and hiring additional accounting or internal audit staff. The standards required for a public company under Section 404 of SOX are significantly more stringent than those that were previously required of us as a privately held 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ordinary shares could be negatively affected, and we could become subject to investigations by the SEC or other regulatory authorities, which could require additional financial and management resources.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 limited partner of ProKidney LP but may, in certain circumstances, lose the benefit of limited liability.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limited partner of ProKidney LP, a limited partnership registered under the laws of Ireland.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Irish LP Act, limited partners of Irish limited partnerships will not be liable for the debts or obligations of the partnership beyond the amount of capital they have contributed. However, the Irish LP Act also provides that such limited liability may be lost if (i) a limited partner (such as ProKidney Corp.) takes part in the management of the business of the partnership, (ii) there is a failure to register ProKidney LP as a limited partnership or any change to the registration details of ProKidney LP, including changes to the name of ProKidney LP, the general nature of the business of ProKidney LP, the principal place of business of ProKidney LP, the partners or the name of any partner of ProKidney LP, the term of character of ProKidney LP, the sum contributed by any limited partner or the liability of any partner by reason of his becoming a limited instead of a general partner or a general instead of a limited partner; and (iii) a limited partner withdraws some or a part of his, her or its capital, in which circumstance he, she or it will be liable for the debts and obligations of the firm up to the amount so withdrawn.</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ProKidney LP, and we are accordingly dependent upon distributions made by our subsidiaries to pay taxes, make payments under the Tax Receivable Agreement and pay dividends.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Post-Combination ProKidney Common Units. As a result, we have no independent means of generating revenue or cash flow. Our ability to pay taxes, make payments under the Tax Receivable Agreement and pay dividends, if any, will depend on the financial results and cash flows of ProKidney LP and its subsidiaries and the distributions we receive from ProKidney LP. Deterioration in the financial condition, earnings or cash flow of ProKidney LP and its subsidiaries, for any reason, could limit or impair our ability to pay such distributions. Additionally, to the extent that we need funds and ProKidney LP and/or any of its subsidiaries are restricted from making such distributions under applicable law or regulation or under the terms of any financing arrangements, or ProKidney LP is otherwise unable to provide such funds, it could materially adversely affect our liquidity and financial condition.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82"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potential risk of being treated as a publicly traded partnership discussed below, ProKidney LP will continue to be treated as a partnership for U.S. federal income tax purposes and, as such, generally will not be subject to any entity-level U.S. federal income tax. Instead, the taxable income of ProKidney LP will be allocated to holders of Post-Combination ProKidney Common Units, including ProKidney Corp. Accordingly, we may be required to pay income taxes on our allocable share of any net taxable income of ProKidney LP (e.g., U.S. federal income and branch profits tax to the extent such net taxable income is effectively connected to the conduct of a trade or business in the United States). Under the terms of the Second Amended and Restated ProKidney Limited Partnership Agreement, ProKidney LP is obligated to make tax distributions to holders of Post-Combination ProKidney Common Units (including ProKidney Corp.) calculated at certain assumed tax rates. In addition to tax expenses, we will also incur expenses related to our operations, including payment obligations under the Tax Receivable Agreement (and the cost of administering such payment obligations), which could be significant and some of which may be reimbursed by ProKidney LP (excluding payment obligations under the Tax Receivable Agreement). We intend to cause ProKidney LP to make distributions to holders of Post-Combination ProKidney Common Units pro rata, in amounts sufficient to cover all applicable income taxes (calculated at assumed tax rates), relevant operating expenses, payments required to be made by us under the Tax Receivable Agreement and dividends, if any, declared by us. However, as discussed below, ProKidney LP’s ability to make such distributions may be subject to various limitations and restrictions including, but not limited to, restrictions on distributions that would either violate any contract or agreement to which ProKidney LP is then a party, including debt agreements, or any applicable law, or that would have the effect of rendering ProKidney LP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nonpayment for a specified period may constitute a material breach of a material obligation under the Tax Receivable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accelerate payments due under the Tax Receivable Agreement, which could be substantial.</w:t>
      </w:r>
    </w:p>
    <w:p>
      <w:pPr>
        <w:spacing w:after="0" w:line="189"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Additionally, although ProKidney LP generally will not be subject to any entity-level U.S. federal income tax, it may be liable under federal tax legislation for adjustments to its tax return, absent an election to the contrary. In the event ProKidney LP’s calculations of taxable income are incorrect, its members, including ProKidney Corp., in later years may be subject to material liabilities pursuant to this federal legislation and its related guidance.</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the distributions we will receive from ProKidney LP may, in certain periods, exceed our actual tax liabilities and obligations to make payments under the Tax Receivable Agreement. The Board, in its sole discretion, may make any determination from time to time with respect to the use of any such excess cash so accumulated, which may include, among other uses, to pay dividends on ProKidney Class A ordinary shares. We will have no obligation to distribute such cash (or other available cash other than any declared dividend) to our shareholders.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Dividends on ProKidney Class A ordinary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shareholders. Under the Irish LP Act, a limited partner of ProKidney LP may lose its limited liability where such limited partner withdraws some or a part of his, her or its contribution to ProKidney LP, in which circumstance he, she or it will be liable for debts and obligations of ProKidney up to the amount so withdrawn.</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ProKidney’s subsidiaries are generally subject to similar legal limitations on their ability to make distributions to ProKidney. If ProKidney does not have sufficient funds to make distributions, our ability to declare and pay cash dividends may also be restricted or impaired.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ProKidney LP will be required to make distributions to us and the other holders of Post-Combination ProKidney Common Units, and the distributions that ProKidney LP will be required to make may be substantial.</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ProKidney LP will generally be required from time to time to make pro rata distributions in cash to us and the other holders of Post-Combination ProKidney Common Units at certain assumed tax rates in amounts that are intended to be sufficient to cover the taxes on our and the other holders of Post-Combination ProKidney Common Units respective allocable shares of the taxable income of ProKidney LP. As a result of (i) potential differences in the amount of net taxable income allocable to us and the other holders of Post-Combination ProKidney Common Units, (ii) the lower tax rate applicable to corporations than individuals, (iii) our status as a non-U.S. person and (iv) the use of an assumed tax rate (the highest effective marginal combined U.S. federal, state and local income tax rate prescribed for an individual or corporate resident of New York, New York) in calculating ProKidney LP’s distribution obligations, we may receive tax distributions significantly in excess of our tax liabilities and obligations to make payments under the Tax Receivable Agreement. We will determine in its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ProKidney Class A ordinary shares. No adjustments to the redemption or exchange ratio of Post-Combination ProKidney Common Units for ProKidney Class A ordinary shares will be made as a result of either (i) any cash dividend by us or (ii) any cash that we retain and do not distribute to our shareholders. To the extent that we do not distribute such excess cash as dividends on ProKidney Class A ordinary shares and instead, for example, holds such cash balances or lends them to ProKidney LP, holders of Post-Combination ProKidney Common Units would benefit from any value attributable to such cash balances as a result of their ownership of ProKidney Class A ordinary shares following a redemption or exchange of their ProKidney Common Units.</w:t>
      </w:r>
    </w:p>
    <w:p>
      <w:pPr>
        <w:spacing w:after="0" w:line="30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Tax Receivable Agreement, we are required to pay 85% of certain tax savings recognized by ProKidney Corp. as a result of the increases in tax basis of ProKidney assets attributable to the exchanges of ProKidney Common Units for ProKidney Class A ordinary shares and certain other tax benefits, and those payments may be substantial.</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Closing ProKidney Unitholders may exchange their Post-Combination ProKidney Common Units for ProKidney Class A ordinary shares or, subject to certain restrictions, cash, pursuant to the Exchange Agreement, subject to certain conditions and transfer restrictions as set forth therein and in the Second Amended and Restated ProKidney Limited Partnership Agreement. These exchanges are expected to result in increases in our allocable share of the tax basis of the tangible and intangible assets of ProKidney LP. These increases in tax basis may increase (for tax purposes) depreciation and amortization deductions and therefore reduce the amount of income or franchise tax that we would otherwise be required to pay in the future had such exchanges never occurred.</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Tax Receivable Agreement, which generally provides for the payment by it of 85% of certain tax savings, if any, that we recognize as a result of these increases in tax basis and certain other tax attributes of ProKidney LP and tax benefits related to entering into the Tax Receivable Agreement. These payments are the obligation of ProKidney Corp. and not of ProKidney LP. The actual increase in our allocable share of ProKidney’s tax basis in its assets, as well as the amount and timing of any payments under the Tax Receivable Agreement, will vary depending upon a number of factors, including the timing of exchanges, the market price of the Class A ordinary share at the time of the exchange, the extent to which such exchanges are taxable and the amount and timing of the recognition of our income. Many of the factors that will determine the amount of payments that we will make under the Tax Receivable Agreement are outside of our control and such payments, if any, could be substantial and could have a material adverse effect on our financial condition. Even assuming, among other things, that there are no material changes in relevant tax law, that ProKidney LP’s enterprise value is equal to the enterprise value that was agreed to in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Business Combination at the time all Post-Combination ProKidney Common Units are exchanged, and that there are significant future redemptions or exchanges of Post-Combination ProKidney Common Units, payments under the Tax Receivable Agreement are not expected to be material because ProKidney LP does not currently (i) plan to migrate business operations to the United States, or (ii) otherwise anticipate tax benefits outside of the United States from redemptions or exchanges of Post-Combination ProKidney Common Units that would trigger obligations under the Tax Receivable Agreement based upon the intended operations of ProKidney LP outside the United States. In addition, because ProKidney LP does not currently have business operations in the United States and does not expect to generate significant operating revenues in the near future, if at all, payments under the Tax Receivable Agreement in the near future, if any, are not expected to be material. If, contrary to current intended business operations and strategy, the business operations are migrated to the United States, the business operations outside of the United States change, or there are material changes in relevant tax law, then payments under the Tax Receivable Agreement could be material.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exceed the actual tax benefits we realize or may be accelerated.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any other taxing authorities may challenge all or any part of the tax basis increases, as well as other tax positions that we take, and a court may sustain such a challenge. In the event any tax benefits initially claimed by us are disallowed, the current Closing ProKidney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spacing w:after="0" w:line="194"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Moreover, the Tax Receivable Agreement provides that, in the event that (i) we exercise our early termination rights under the Tax Receivable Agreement, (ii) the Tax Receivable Agreement is rejected by operation of law in a bankruptcy case, (iii) certain changes of control of ProKidney Corp. occur (as described in the Tax Receivable Agreement) or (iv) we are more than three months late in making a payment due under the Tax Receivable Agreement (unless we in good faith determine that we have insufficient funds to make such payment) or otherwise materially breach any of our material obligations under the Tax Receivable Agreement, our obligations under the Tax Receivable Agreement will accelerate, and we will be required to make an immediate lump-sum cash payment to the Closing ProKidney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Closing ProKidney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ProKidney LP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8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ProKidney LP were to become a publicly traded partnership taxable as a corporation for U.S. federal income tax purposes, we and ProKidney LP might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intend to operate such that ProKidney LP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of Post-Combination ProKidney Common Units pursuant to the Exchange Agreement or other transfers of Post-Combination ProKidney Common Units could cause ProKidney LP to be treated as a publicly traded partnership. Applicable Treasury Regulations provide for certain safe harbors from treatment as a publicly traded partnership, and we intend to operate such that exchanges or other transfers of Post-Combination ProKidney Common Units qualify for one or more such safe harbors. For example, the Exchange Agreement and the Second Amended and Restated ProKidney Limited Partnership Agreement, which were entered into in connection with the consummation of the Business Combination, provide for limitations on the ability of ProKidney Unitholders to transfer their Post-Combination ProKidney Common Units and provide us with the right to cause the imposition of limitations and restrictions (in addition to those already in place) on the ability of ProKidney Unitholders to exchange their Post-Combination ProKidney Common Units, including pursuant to the Exchange Agreement, to the extent we believe it is necessary to ensure that ProKidney LP will continue to be treated as a partnership for U.S. federal income tax purposes.</w:t>
      </w:r>
    </w:p>
    <w:p>
      <w:pPr>
        <w:spacing w:after="0" w:line="19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If ProKidney LP were to become a publicly traded partnership taxable as a corporation for U.S. federal income tax purposes, significant tax inefficiencies might result for us and ProKidney LP. For example,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ProKidney’s assets) were subsequently determined to have been unavailable.</w:t>
      </w:r>
    </w:p>
    <w:p>
      <w:pPr>
        <w:spacing w:after="0" w:line="26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exempted company. The rights of our shareholders may be different from the rights of shareholders governed by the laws of U.S. jurisdictions.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Our corporate affairs will continue to be governed by our Charter and by the laws of the Cayman Islands. The rights of shareholders and the responsibilities of members of the Board may be different from the rights of shareholders and responsibilities of directors in companies governed by the laws of U.S. jurisdictions. In the performance of its duties, the board of directors of a solvent Cayman Islands exempted company is required to consider that company’s best interests, which may differ from the interests of one or more of its individual shareholders.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82"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Selling Securityholders sell all or a substantial portion of their securities, this may negatively impact the market price of our Class A ordinary shares, and such holders still may receive significant proceeds from the sales of their shares.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the price of our Class A ordinary shares falls below $10.00 per share, which was the price per share sold in our initial public offering and the per-share price of the PIPE Shares, certain Selling Securityholders who received our ordinary shares (or restricted stock rights convertible into ordinary shares upon vesting) at the Closing and who have registration rights pursuant to the Amended and Restated Registration Rights Agreement would be able to sell the securities registered hereby at a positive return because they purchased or were issued such securities at prices significantly less than $10.00 per share.</w:t>
      </w:r>
    </w:p>
    <w:p>
      <w:pPr>
        <w:spacing w:after="0" w:line="183"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While the 52,480,000 PIPE Shares, the 5,000,000 Class B ordinary shares acquired by Tolerantia and CEC pursuant to their Subscription Agreements and subsequent election to receive Post-Combination ProKidney Common Units (and a corresponding number of Class B ordinary shares) in lieu of Class A ordinary shares, and the 640,000 Private Placement Shares registered for resale hereby were purchased at a price of $10.00 per share,</w:t>
      </w:r>
    </w:p>
    <w:p>
      <w:pPr>
        <w:spacing w:after="0" w:line="2" w:lineRule="exact"/>
        <w:rPr>
          <w:sz w:val="20"/>
          <w:szCs w:val="20"/>
          <w:color w:val="auto"/>
        </w:rPr>
      </w:pPr>
    </w:p>
    <w:p>
      <w:pPr>
        <w:ind w:left="120" w:hanging="4"/>
        <w:spacing w:after="0" w:line="251"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6,250,000 Class B ordinary shares (which were converted into Class A ordinary shares on a one-for-one basis upon the closing of the Business Combination) collectively held by former holders of Class B ordinary shares were purchased at an effective price of $0.004 per share; (ii) 152,796,613 Class B ordinary shares held by Tolerantia and CEC, which are exchangeable for Class A ordinary shares pursuant to the Exchange Agreement, were purchased from ProKidney LP at a price per share of $1.22, after adjusting for the recapitalization of Class A and Class B units in ProKidney LP into Class B ordinary shares (including Class B ordinary shares underlying restricted stock rights); (iii) 7,699,927 Class B ordinary shares (including Class B ordinary shares underlying restricted stock rights) held by PMEL were purchased by individual holders at a price per share of $1.11, after adjusting for the recapitalization mentioned in clause (ii); (iv) 14,503,460 Class B ordinary shares (including Class B ordinary shares underlying restricted stock rights) held by PMEL were granted to, rather than purchased by, individual holders; and (v) 50,000 Class A ordinary shares held by directors and advisors of SCS prior to the Closing that were granted in the form of RSUs that vested at Closing as compensation for services rendered prior to the Closing.</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these nominal prices compared with the market prices of our Class A ordinary shares which, as of August 25, 2022, was $7.50 per share, certain Selling Securityholders, such as the purchasers of the Founder Shares, the holders of the Class B ordinary shares and the directors and advisors that were granted RSUs that vested at Closing, are likely to earn a positive return on their investment even if other holders of our Class A ordinary shares, including our public shareholders, experience a negative return on their investment in the Company’s securities. Based on the closing price of our Class A ordinary shares on August 25, 2022 of $7.50 per share (and notwithstanding any lock-up restrictions with and/or vesting provisions), those Selling Securityholders that were granted their shares or that purchased their shares at a price per share below the current market price of our Class A ordinary shares (or that was a transferee of shares that were purchased at a price per share below the current market price of our Class A ordinary shares) would have a potential unrealized gain of approximately $1.2 billion in the aggregate. As a result, these Selling Securityholders may be incentivized to sell their securities when others are not.</w:t>
      </w:r>
    </w:p>
    <w:p>
      <w:pPr>
        <w:spacing w:after="0" w:line="188"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has been filed to discharge our obligations under the Amended and Restated Registration Rights Agreement and Subscription Agreements. In the aggregate, the number of shares registered for resale hereby equals 99.1% of the number of our ordinary shares outstanding, on a fully diluted basis, as of August 26, 2022, approximately 65.3% of which is held collectively by Tolerantia (and effectively by Pablo Legorreta) and CEC. Tolerantia and CEC may exchange their Class B ordinary shares for Class A ordinary shares and sell all of their shares for so long as the registration statement of which this prospectus forms a part is available for use. The sale or possibility of sale of all or a significant portion of these securities trading in the public market may negatively impact the market price of our Class A ordinary shares.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82"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of the Class A ordinary shares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Price and Ticker Symbol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ordinary shares are currently listed on Nasdaq under the symbol “PROK.”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closing price of the Class A ordinary shares on August 25, 2022, was $7.50.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July 31, 2022, there were 61 holders of record of our Class A ordinary shares and 3 holders of record of our Class B ordinary shares.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 There is no public market for our Class B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Class A ordinary shares or Class B ordinary shares to date. The payment of cash dividends in the future will be dependent upon our revenues and earnings, if any, capital requirements and general financial condition. The payment of any cash dividends will be within the discretion of the Board at such time.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82"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the context otherwise requires, the “combined company” or “ProKidney” refer to ProKidney Corp. (formerly Social Capital Suvretta Holdings Corp. III) and its subsidiaries after the Closing, “SCS” refers to SCS prior to the Closing, and “Legacy ProKidney” refers to ProKidney LP and its subsidiaries prior to the Closing.</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for the six months ended June 30, 2022 and for the year ended December 31, 2021 combines the historical statement of operations of SCS and the historical consolidated statement of operations of Legacy ProKidney, giving effect to the Business Combination as if it had occurred on January 1, 2021. The unaudited pro forma condensed combined balance sheet as of June 30, 2022 combines the historical balance sheet of SCS and Legacy ProKidney, giving effect to the Business Combination as if it had occurred on June 30, 2022, and the unaudited pro forma condensed combined balance sheet as of December 31, 2021 combines the historical balance sheet of SCS and Legacy ProKidney, giving effect to the Business Combination as if it had occurred on December 31, 2021.</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SCS and Legacy ProKidney, adjusted to give effect to the Business Combination and other events contemplated by the Business Combination Agreement. The following unaudited pro forma condensed combined financial information has been prepared in accordance with Article 11 of Regulation S-X as amended by the final rule, Release 33-10786 “Amendments to Financial Disclosures about Acquired and Disposed Businesses.”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 The unaudited pro forma condensed combined statement of operations is not necessarily indicative of what the actual results of operations would have been had the Business Combination taken place on the date indicated, nor is it indicative of the future consolidated results of operations of the combined company. The pro forma adjustments were based on the information available as of the date of these unaudited pro forma condensed combined financial statements and are subject to change as additional information becomes available and analyses are performed. Actual results may differ materially from the assumptions within the accompanying unaudited pro forma condensed combined financial information.</w:t>
      </w:r>
    </w:p>
    <w:p>
      <w:pPr>
        <w:spacing w:after="0" w:line="18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On July 11, 2022, SCS and Legacy ProKidney consummated the Business Combination pursuant to the Business Combination Agreement. The historical financial information has been adjusted to give pro forma effect to the following events that are related and/or directly attributable to the Business Combination. The unaudited pro forma condensed combined financial information The following pro forma condensed combined financial statements presented herein reflect the actual redemption of 22,829,769 Class A ordinary shares in conjunction with the shareholder vote on the Business Combination contemplated by the Business Combination Agreement at the extraordinary general meeting held on July 11, 2022.</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share ownership of the combined company’s Class A ordinary shares after giving effect to the Business Combination.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New ProKidney</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8"/>
              </w:rPr>
              <w:t>Ownership</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33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shd w:val="clear" w:color="auto" w:fill="CCEEFF"/>
          </w:tcPr>
          <w:p>
            <w:pPr>
              <w:spacing w:after="0"/>
              <w:rPr>
                <w:sz w:val="18"/>
                <w:szCs w:val="18"/>
                <w:color w:val="auto"/>
              </w:rPr>
            </w:pPr>
          </w:p>
        </w:tc>
        <w:tc>
          <w:tcPr>
            <w:tcW w:w="33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2,170,231</w:t>
            </w:r>
          </w:p>
        </w:tc>
        <w:tc>
          <w:tcPr>
            <w:tcW w:w="3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0.9%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p>
        </w:tc>
        <w:tc>
          <w:tcPr>
            <w:tcW w:w="48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6,890,000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PIPE Investors</w:t>
            </w:r>
          </w:p>
        </w:tc>
        <w:tc>
          <w:tcPr>
            <w:tcW w:w="4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36,840,000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15.2%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Sponsor Related PIPE Investors</w:t>
            </w:r>
          </w:p>
        </w:tc>
        <w:tc>
          <w:tcPr>
            <w:tcW w:w="48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15,640,000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Unitholders (including the ProKidney Related PIPE Investors)</w:t>
            </w:r>
          </w:p>
        </w:tc>
        <w:tc>
          <w:tcPr>
            <w:tcW w:w="3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180,000,000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74.5%</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3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241,540,231</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100.00%</w:t>
            </w:r>
          </w:p>
        </w:tc>
        <w:tc>
          <w:tcPr>
            <w:tcW w:w="0" w:type="dxa"/>
            <w:vAlign w:val="bottom"/>
          </w:tcPr>
          <w:p>
            <w:pPr>
              <w:spacing w:after="0"/>
              <w:rPr>
                <w:sz w:val="1"/>
                <w:szCs w:val="1"/>
                <w:color w:val="auto"/>
              </w:rPr>
            </w:pPr>
          </w:p>
        </w:tc>
      </w:tr>
      <w:tr>
        <w:trPr>
          <w:trHeight w:val="358"/>
        </w:trPr>
        <w:tc>
          <w:tcPr>
            <w:tcW w:w="5360" w:type="dxa"/>
            <w:vAlign w:val="bottom"/>
          </w:tcPr>
          <w:p>
            <w:pPr>
              <w:spacing w:after="0"/>
              <w:rPr>
                <w:sz w:val="24"/>
                <w:szCs w:val="24"/>
                <w:color w:val="auto"/>
              </w:rPr>
            </w:pPr>
          </w:p>
        </w:tc>
        <w:tc>
          <w:tcPr>
            <w:tcW w:w="338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and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SCS as of and for the six months ended June 30, 2022, the historical audited condensed financial statements for SCS as of December 31, 2021 and for the period from February 25, 2021 (date of inception) through December 31, 2021, and the related notes, in each case, included elsewhere in this prospectus;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Legacy ProKidney as of and for the six months ended June 30, 2022, the historical audited consolidated financial statements of Legacy ProKidney as of and for the year ended December 31, 2021, and the related notes, in each case, included elsewhere in this prospectus; and</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SCS and Legacy ProKidney contained in this prospectus, including the Business Combination Agreement and the description of certain terms thereof set forth under “</w:t>
      </w:r>
      <w:r>
        <w:rPr>
          <w:rFonts w:ascii="Times New Roman" w:cs="Times New Roman" w:eastAsia="Times New Roman" w:hAnsi="Times New Roman"/>
          <w:sz w:val="18"/>
          <w:szCs w:val="18"/>
          <w:i w:val="1"/>
          <w:iCs w:val="1"/>
          <w:color w:val="auto"/>
        </w:rPr>
        <w:t>Summary of the Prospectus—Recent Developments—Business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as well as the disclosures contained 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82"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SHEETS JUNE 30, 2022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21,882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516,204</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538,194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clinical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11,350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633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516,204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550,751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(250,371)</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10,857</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10,857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6,905</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(6,905)</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251,004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53,958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258,928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563,890</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13,787</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(35,250)</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(35,331)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(7,700)</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Temporary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(250,371)</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410,388</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410,388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Corp.</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ProKidney Corp. Class A ordinary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(j),(h),(o)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ProKidney Corp. Class B ordinary shares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SCS: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SCS Preference shares, $0.0001 par value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SCS Class A ordinary shares, $0.0001 par value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SCS Class B ordinary shares, $0.0001 par value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ProKidney—Class A Units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186,500</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(186,500)</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ProKidney—Class B Units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71,164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(71,164)</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141,867</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(k),(l)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141,867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(251,127)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257,664</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6,537</w:t>
            </w:r>
          </w:p>
        </w:tc>
        <w:tc>
          <w:tcPr>
            <w:tcW w:w="1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141,942</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133,478</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Total liabilities, redeemable noncontrolling interest and</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251,004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53,958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258,928</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563,890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SHEETS DECEMBER 31, 2021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200" w:type="dxa"/>
            <w:vAlign w:val="bottom"/>
          </w:tcPr>
          <w:p>
            <w:pPr>
              <w:spacing w:after="0"/>
              <w:rPr>
                <w:sz w:val="12"/>
                <w:szCs w:val="12"/>
                <w:color w:val="auto"/>
              </w:rPr>
            </w:pPr>
          </w:p>
        </w:tc>
        <w:tc>
          <w:tcPr>
            <w:tcW w:w="13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20,558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551,493</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572,491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clinical</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945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551,493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579,709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(250,008)</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 net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 term assets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301,485</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592,984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2,834</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(7,700)</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(250,008)</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430,480</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430,480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New ProKidney: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ProKidney Class A ordinary shares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ProKidney Class B ordinary shares</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SCS Preference shares, $0.0001 par value</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SCS Class A ordinary shares, $0.0001 par value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SCS Class B ordinary shares, $0.0001 par value</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(1)</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ProKidney - Class A Units</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(186,500)</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ProKidney - Class B Units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(1,927)</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128,648</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(h),(i)</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128,648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(161,510)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188,427</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18,529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128,723</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147,253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Total liabilities, redeemable noncontrolling interest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40,298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301,485</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592,984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1000" w:type="dxa"/>
            <w:vAlign w:val="bottom"/>
            <w:gridSpan w:val="3"/>
            <w:vMerge w:val="continue"/>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40,048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and formation costs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6,614</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47,152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93,814</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(87,200)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(87,384)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(93,998)</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(96,231)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(71,713)</w:t>
            </w:r>
          </w:p>
        </w:tc>
        <w:tc>
          <w:tcPr>
            <w:tcW w:w="32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Class A ordinary shares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71,350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(24,518)</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Class A ordinary shares,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61,540,231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Class A ordinary shares, basic and</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(0.40)</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(dd)</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1000" w:type="dxa"/>
            <w:vAlign w:val="bottom"/>
            <w:gridSpan w:val="3"/>
            <w:vMerge w:val="continue"/>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46,255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46,255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and formation costs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2,333</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8,855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57,443</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(55,110)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(55,108)</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(57,441)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(bb)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(55,146)</w:t>
            </w:r>
          </w:p>
        </w:tc>
        <w:tc>
          <w:tcPr>
            <w:tcW w:w="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(57,479)</w:t>
            </w:r>
          </w:p>
        </w:tc>
        <w:tc>
          <w:tcPr>
            <w:tcW w:w="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(42,834)</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(42,834)</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Class A ordinary shares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Class A ordinary shares, basic and diluted</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61,540,231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shares, basic and</w:t>
            </w: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(0.24)</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(dd)</w:t>
            </w:r>
          </w:p>
        </w:tc>
        <w:tc>
          <w:tcPr>
            <w:tcW w:w="0" w:type="dxa"/>
            <w:vAlign w:val="bottom"/>
          </w:tcPr>
          <w:p>
            <w:pPr>
              <w:spacing w:after="0"/>
              <w:rPr>
                <w:sz w:val="1"/>
                <w:szCs w:val="1"/>
                <w:color w:val="auto"/>
              </w:rPr>
            </w:pPr>
          </w:p>
        </w:tc>
      </w:tr>
      <w:tr>
        <w:trPr>
          <w:trHeight w:val="365"/>
        </w:trPr>
        <w:tc>
          <w:tcPr>
            <w:tcW w:w="54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88</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52"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Transaction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11, 2022, SCS and Legacy ProKidney consummated the Business Combination contemplated by the Business Combination Agreement.</w:t>
      </w:r>
    </w:p>
    <w:p>
      <w:pPr>
        <w:spacing w:after="0" w:line="223"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Following the Closing, the combined company was organized in an umbrella partnership-C corporation (or “</w:t>
      </w:r>
      <w:r>
        <w:rPr>
          <w:rFonts w:ascii="Times New Roman" w:cs="Times New Roman" w:eastAsia="Times New Roman" w:hAnsi="Times New Roman"/>
          <w:sz w:val="17"/>
          <w:szCs w:val="17"/>
          <w:i w:val="1"/>
          <w:iCs w:val="1"/>
          <w:color w:val="auto"/>
        </w:rPr>
        <w:t>Up-C</w:t>
      </w:r>
      <w:r>
        <w:rPr>
          <w:rFonts w:ascii="Times New Roman" w:cs="Times New Roman" w:eastAsia="Times New Roman" w:hAnsi="Times New Roman"/>
          <w:sz w:val="17"/>
          <w:szCs w:val="17"/>
          <w:color w:val="auto"/>
        </w:rPr>
        <w:t>”) structure, and the combined company’s direct assets consisted of Post-Combination ProKidney Common Units and all of the issued and outstanding equity interests of GP, which replaced Legacy GP as the general partner of Legacy ProKidney upon the Closing, and substantially all of the operating assets and business of the combined company is held indirectly through Legacy ProKidney, as described further below. ProKidney is domiciled in the Cayman Islands.</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Business Combination Agreement, the following transactions occurred:</w:t>
      </w:r>
    </w:p>
    <w:p>
      <w:pPr>
        <w:spacing w:after="0" w:line="131" w:lineRule="exact"/>
        <w:rPr>
          <w:sz w:val="20"/>
          <w:szCs w:val="20"/>
          <w:color w:val="auto"/>
        </w:rPr>
      </w:pPr>
    </w:p>
    <w:p>
      <w:pPr>
        <w:ind w:left="1080" w:right="40" w:hanging="424"/>
        <w:spacing w:after="0" w:line="253"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(i) Legacy ProKidney amended and restated the ProKidney Limited Partnership Agreement to be in the form of the Second Amended and Restated ProKidney Limited Partnership Agreement, which became effective upon the completion of the Business Combination; (ii) GP amended and restated its constitution, which became effective upon the completion of the Business Combination; (iii) SCS amended and restated the memorandum and articles of association then in effect to be in the form of the Charter, which became effective upon the completion of the Business Combination; (iv) (A) each issued and outstanding Legacy ProKidney Class B Unit that was not vested pursuant to the terms of the applicable award agreement with the PMEL Existing Holder as of such time was recapitalized into one PMEL RCU, which would, when vested in accordance with the applicable award agreement, automatically convert into a Post-Combination ProKidney Common Unit (and the associated Legacy ProKidney Class B PMEL RSR would vest) and (B) all other issued and outstanding Legacy ProKidney Class A Units and ProKidney Class B Units were recapitalized into an aggregate number of Post-Combination ProKidney Common Units equal to (x) 175,000,000 minus (y) the number of PMEL RCUs issued pursuant to the foregoing clause (A); (v) Legacy ProKidney completed a restructuring of PMEL; and (vi) Legacy ProKidney issued 5,000,000 Post-Combination ProKidney Common Units pursuant to certain Subscription Agreements in connection with the exercise of election by certain holders to purchase Post-Combination ProKidney Common Units in lieu of SCS Class A ordinary shares; and</w:t>
      </w:r>
    </w:p>
    <w:p>
      <w:pPr>
        <w:spacing w:after="0" w:line="92"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(i) Legacy ProKidney issued to SCS a number of Post-Combination ProKidney Common Units equal to the number of fully diluted outstanding SCS ordinary shares as of immediately prior to the Closing (but after giving effect to all redemptions of SCS Class A ordinary shares and the purchase of SCS Class A ordinary shares and/or Post-Combination ProKidney Common Units pursuant to the PIPE Investment), in exchange for (a) (x) ProKidney Class B ordinary shares, which shares have no economic rights but entitle the holders thereof to vote on all matters on which shareholders of the combined company are entitled to vote generally, and (y) ProKidney Class B PMEL RSRs, which shall convert into ProKidney Class B ordinary shares upon the vesting of the associated PMEL RCUs (as described above), (b) an amount in cash equal to the aggregate proceeds obtained by SCS in the PIPE Investment and (c) an amount in cash equal to the aggregate proceeds available for release to SCS from the Trust Account (after giving effect to all redemptions of SCS Class A ordinary shares and after payment of any deferred underwriting commissions being held in the Trust Account and payment of certain transaction expenses); (ii) Legacy GP resigned as the general partner of Legacy ProKidney and GP was be admitted as the general partner of Legacy ProKidney; (iii) Legacy ProKidney distributed to the Closing ProKidney Unitholders the ProKidney Class B ordinary shares and ProKidney Class B PMEL RSRs received pursuant to clause (i)(a) (x) and (y) above; and (iv) the Earnout Participants received the Earnout Rights, which Earnout Rights will vest in three equal tranches upon the achievement of certain ProKidney share price milestones or certain change of control events. When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82" w:lineRule="auto"/>
        <w:rPr>
          <w:sz w:val="20"/>
          <w:szCs w:val="20"/>
          <w:color w:val="auto"/>
        </w:rPr>
      </w:pPr>
      <w:r>
        <w:rPr>
          <w:rFonts w:ascii="Times New Roman" w:cs="Times New Roman" w:eastAsia="Times New Roman" w:hAnsi="Times New Roman"/>
          <w:sz w:val="18"/>
          <w:szCs w:val="18"/>
          <w:color w:val="auto"/>
        </w:rPr>
        <w:t>vested, the Earnout RCUs will automatically convert into Post-Combination ProKidney Common Units and the associated Earnout RSRs will automatically convert into ProKidney Class B ordinary shares, respectively.</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Exchange Agreement as described elsewhere in this prospectus, each Post-Combination ProKidney Common Unit, together with one Class B ordinary share, is generally exchangeable for one Class A ordinary share, subject to certain procedures and restrictions.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Accounting Policies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include transaction accounting adjustments related to the Business Combination in accordance with GAAP.</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determined that the Business Combination qualified as a common control transaction and, therefore, was accounted for akin to a reverse recapitalization, with no goodwill or other intangible assets recorded, in accordance with GAAP. Legacy ProKidney is considered the accounting acquirer primarily based on the evaluation of the following facts and circumstances:</w:t>
      </w:r>
    </w:p>
    <w:p>
      <w:pPr>
        <w:spacing w:after="0" w:line="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guidance in ASC 805 for transactions between entities under common control, the assets, liabilities, and noncontrolling interests of Legacy ProKidney and SCS were recognized at their carrying amounts on the date of the Business Combination. Under this method of accounting, SCS was treated as the “acquired” company for financial reporting purposes. Accordingly, for accounting purposes, the Business Combination was treated as the equivalent of Legacy ProKidney issuing shares for the net assets of SCS, accompanied by a recapitalization. The net assets of SCS were stated at their historical value within the pro formas with no goodwill or other intangible assets recorded.</w:t>
      </w:r>
    </w:p>
    <w:p>
      <w:pPr>
        <w:spacing w:after="0" w:line="89" w:lineRule="exact"/>
        <w:rPr>
          <w:sz w:val="20"/>
          <w:szCs w:val="20"/>
          <w:color w:val="auto"/>
        </w:rPr>
      </w:pPr>
    </w:p>
    <w:p>
      <w:pPr>
        <w:ind w:left="1080" w:right="1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controlling Legacy ProKidney prior to the Business Combination also controls the combined company as a result of the Voting Agreement, which provides Tolerantia with the majority of the votes related to the appointment and removal of the majority of the Board;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ProKidney unitholders prior to the Closing comprise a majority of the voting power of the combined company following the Closing;</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Legacy ProKidney prior to the Closing comprise the senior management of the combined company following the Closing;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Legacy ProKidney prior to the Closing comprise the ongoing operations of the combined company following the Closing.</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GP became the sole general partner of Legacy ProKidney. Giving effect to the redemption of 22,829,769 Class A ordinary shares, ProKidney has the sole voting interest in Legacy ProKidney through its ownership of GP. As a result, ProKidney consolidated the financial results of Legacy ProKidney and reports a non-controlling interest related to the Post-Combination ProKidney Units held by Legacy ProKidney’s investors prior to the Closing on ProKidney’s consolidated balance sheet. The computation of the non-controlling interest following the Closing is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ProKidney LP held by the Issuer</w:t>
            </w:r>
          </w:p>
        </w:tc>
        <w:tc>
          <w:tcPr>
            <w:tcW w:w="9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the Issuer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180,000,000</w:t>
            </w:r>
          </w:p>
        </w:tc>
        <w:tc>
          <w:tcPr>
            <w:tcW w:w="5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241,540,231</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Proposed Accounting Treatment of the Earnout Rights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discussed in this Note 1, the Earnout Participants received 17,500,000 Earnout Rights upon Closing. Upon satisfaction, during the five-year period after the Closing, of certain volume weighted average price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(“VWAP”) thresholds, or a change in control with a per share price exceeding the VWAP thresholds within a five-year period immediately following the Closing, the Earnout Rights will automatically vest and convert into Post-Combination ProKidney Common Units and ProKidney Class B ordinary shares. As the Business Combination was accounted for as a reverse recapitalization, the issuance of the Earnout Rights to the Legacy ProKidney unitholders was accounted for as an equity transaction. Since the Earnout Rights were payable to the Legacy ProKidney unitholders (i.e., the accounting acquirer in the business combination), the accounting for the Earnout Rights arrangement did not fall under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805, Business Combinations nor Topic 718, Stock Compensation.</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accounting for the Earnout Rights was also evaluated under ASC Topic 480, Distinguishing Liabilities from Equity, to determine if the arrangement should be classified as a liability. As part of that preliminary analysis, it was determined that the Earnout Rights did not meet the criteria to be accounted for as a liability. Additionally, the Earnout Rights were evaluated under ASC Topic 815, Derivatives. As part of that preliminary analysis, it was determined that the Earnout Rights met the definition of a derivative; however, they meet the scope exception criteria as they were clearly and closely related to the entity’s own shares, and met the criteria for equity treatment. Therefore, an adjustment to recognize the Earnout Rights would have no net impact on any financial statement line item as it would simultaneously increase and decrease additional paid-in capital. Thus, no adjustment has been applied to the unaudited pro forma combined financial information related to the Earnout Rights.</w:t>
      </w:r>
    </w:p>
    <w:p>
      <w:pPr>
        <w:spacing w:after="0" w:line="333"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necessary for an illustrative understanding of the combined company upon consummation of the Business Combination in accordance with GAAP.</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 The unaudited pro forma condensed combined financial information does not purport to project the future operating results or financial position of ProKidney following the completion of the Business Combination. The unaudited pro forma adjustments represent management’s estimates based on information available as of the date of this unaudited pro forma condensed combined financial information and are subject to change as additional information becomes available and analyses are performed. SCS and Legacy ProKidney did not have any historical relationship prior to the transactions. Accordingly, no pro forma adjustments were required to eliminate activities between the companies.</w:t>
      </w:r>
    </w:p>
    <w:p>
      <w:pPr>
        <w:spacing w:after="0" w:line="189" w:lineRule="exact"/>
        <w:rPr>
          <w:sz w:val="20"/>
          <w:szCs w:val="20"/>
          <w:color w:val="auto"/>
        </w:rPr>
      </w:pPr>
    </w:p>
    <w:p>
      <w:pPr>
        <w:jc w:val="center"/>
        <w:ind w:right="180"/>
        <w:spacing w:after="0" w:line="4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give effect to the redemption of 22,829,769 Class A ordinary shares. 91</w:t>
      </w:r>
    </w:p>
    <w:p>
      <w:pPr>
        <w:sectPr>
          <w:pgSz w:w="11900" w:h="16838" w:orient="portrait"/>
          <w:cols w:equalWidth="0" w:num="1">
            <w:col w:w="11100"/>
          </w:cols>
          <w:pgMar w:left="320" w:top="482"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Adjustments</w:t>
      </w:r>
    </w:p>
    <w:p>
      <w:pPr>
        <w:spacing w:after="0" w:line="11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Adjustments to Unaudited Pro Forma Condensed Combined Balance Sheet as of June 30, 2022</w:t>
      </w:r>
    </w:p>
    <w:p>
      <w:pPr>
        <w:spacing w:after="0" w:line="132"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cash and cash equivalents to reflect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740" w:type="dxa"/>
            <w:vAlign w:val="bottom"/>
          </w:tcPr>
          <w:p>
            <w:pPr>
              <w:spacing w:after="0"/>
              <w:rPr>
                <w:sz w:val="15"/>
                <w:szCs w:val="15"/>
                <w:color w:val="auto"/>
              </w:rPr>
            </w:pPr>
          </w:p>
        </w:tc>
        <w:tc>
          <w:tcPr>
            <w:tcW w:w="9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SCS cash held in Trust Account</w:t>
            </w: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$ 250,371</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underwriting fees</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redeeming Public Stockholders</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(228,636)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related party notes payable</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(35,250)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related party advance</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cash to balance sheet from Business Combination</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$ 516,204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and which were paid at the Closing.</w:t>
      </w:r>
    </w:p>
    <w:p>
      <w:pPr>
        <w:spacing w:after="0" w:line="130" w:lineRule="exact"/>
        <w:rPr>
          <w:rFonts w:ascii="Times New Roman" w:cs="Times New Roman" w:eastAsia="Times New Roman" w:hAnsi="Times New Roman"/>
          <w:sz w:val="18"/>
          <w:szCs w:val="18"/>
          <w:color w:val="auto"/>
        </w:rPr>
      </w:pPr>
    </w:p>
    <w:p>
      <w:pPr>
        <w:ind w:left="540" w:right="140" w:hanging="424"/>
        <w:spacing w:after="0" w:line="261"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from the issuance and sale of 52,480,000 ProKidney Class A ordinary shares and 5,000,000 ProKidney Class B ordinary shares at $10.00 per share pursuant to the Subscription Agreements (and, in the case of Tolerantia and CEC, their subsequent election to receive Post-Combination ProKidney Common Units (and a corresponding number of Class B ordinary shares) in lieu of Class A ordinary shares) entered into with PIPE Investors in connection with the PIPE Investment.</w:t>
      </w:r>
    </w:p>
    <w:p>
      <w:pPr>
        <w:spacing w:after="0" w:line="85" w:lineRule="exact"/>
        <w:rPr>
          <w:rFonts w:ascii="Times New Roman" w:cs="Times New Roman" w:eastAsia="Times New Roman" w:hAnsi="Times New Roman"/>
          <w:sz w:val="18"/>
          <w:szCs w:val="18"/>
          <w:color w:val="auto"/>
        </w:rPr>
      </w:pPr>
    </w:p>
    <w:p>
      <w:pPr>
        <w:ind w:left="540" w:right="40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payments made to the holders of SCS Class A ordinary shares in connection with the redemption of 22,829,769 SCS Class A ordinary shares.</w:t>
      </w:r>
    </w:p>
    <w:p>
      <w:pPr>
        <w:spacing w:after="0" w:line="67" w:lineRule="exact"/>
        <w:rPr>
          <w:rFonts w:ascii="Times New Roman" w:cs="Times New Roman" w:eastAsia="Times New Roman" w:hAnsi="Times New Roman"/>
          <w:sz w:val="18"/>
          <w:szCs w:val="18"/>
          <w:color w:val="auto"/>
        </w:rPr>
      </w:pPr>
    </w:p>
    <w:p>
      <w:pPr>
        <w:ind w:left="540" w:right="40" w:hanging="424"/>
        <w:spacing w:after="0" w:line="25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Investment, and the remaining $7.9 million related to direct and incremental costs such as legal, tax, accounting, third-party advisory and other miscellaneous fees. This amount excluded the $7.7 million of deferred underwriting fees related to the SCS initial public offering as described in note (2) above, any amounts relating to the ProKidney Promissory Notes, which were repaid at the Closing, and other SCS transaction costs.</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repayment of amounts drawn on ProKidney Promissory Notes as well as SCS’ unsecured promissory note with the Sponsor.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Legacy ProKidney deferred offering costs incurred through June 30, 2022 to additional paid in capital as an offset to the proceeds from the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repayment of amounts drawn on the ProKidney Promissory Notes as well as SCS’ unsecured promissory note with the Sponsor.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for which payment is due upon the Closing.</w:t>
      </w:r>
    </w:p>
    <w:p>
      <w:pPr>
        <w:spacing w:after="0" w:line="130"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Business Combination, the combined company became a party to the Tax Receivable Agreement. Under the terms of the Tax Receivable Agreement, the combined company is required to pay to certain parties to the agreement 85% of the tax savings that it is deemed to realize in certain circumstances as a result of certain tax attributes that exist following the Transaction and that are created thereafter, including as a result of payments made under the Tax Receivable Agreement. The combined company does not expect to record net deferred tax assets related to the tax basis adjustments associated with the exchange of Paired Interests as those deferred tax assets are not more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40"/>
          </w:cols>
          <w:pgMar w:left="320" w:top="482" w:right="5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likely than not expected to be realized in accordance with ASC 740—Income Taxes. Accordingly, the combined company has not recorded a liability related to the Tax Receivable Agreement as of June 30, 2022, as the liability is not considered to be probable in accordance with ASC 450—Contingencies.</w:t>
      </w:r>
    </w:p>
    <w:p>
      <w:pPr>
        <w:spacing w:after="0" w:line="81"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SCS Class A ordinary shares, giving effect to the redemption of 22,829,769 SCS Class A ordinary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1 to these unaudited pro forma condensed consolidated financial statements, the combined company will consolidate ProKidney, but does not own 100% of the economic interest in ProKidney. The noncontrolling interest reflecting actual redemptions is 74.5%.</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net of an adjustment for the associated par value, from the issuance and sale of 52,480,000 ProKidney Class A ordinary shares and 5,000,000 ProKidney Class B ordinary shares at $10.00 per share pursuant to the Subscription Agreements (and, in the case of Tolerantia and CEC, their subsequent election to receive Post-Combination ProKidney Common Units (and a corresponding number of Class B ordinary shares) in lieu of Class A ordinary shares) entered into with PIPE Investors in connection with the PIPE Investment.</w:t>
      </w:r>
    </w:p>
    <w:p>
      <w:pPr>
        <w:spacing w:after="0" w:line="88"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recapitalization of the Legacy ProKidney Class A and Class B Units upon issuance of ProKidney Class B ordinary shares and Class B PMEL RSRs to Closing ProKidney Unitholders.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additional paid in capital to reflect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580" w:type="dxa"/>
            <w:vAlign w:val="bottom"/>
          </w:tcPr>
          <w:p>
            <w:pPr>
              <w:spacing w:after="0"/>
              <w:rPr>
                <w:sz w:val="15"/>
                <w:szCs w:val="15"/>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$ 574,743</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gridSpan w:val="2"/>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line="203" w:lineRule="exact"/>
              <w:rPr>
                <w:sz w:val="20"/>
                <w:szCs w:val="20"/>
                <w:color w:val="auto"/>
              </w:rPr>
            </w:pPr>
            <w:r>
              <w:rPr>
                <w:rFonts w:ascii="Times New Roman" w:cs="Times New Roman" w:eastAsia="Times New Roman" w:hAnsi="Times New Roman"/>
                <w:sz w:val="18"/>
                <w:szCs w:val="18"/>
                <w:color w:val="auto"/>
              </w:rPr>
              <w:t>(j)</w:t>
            </w: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ordinary shares subject to redemption to permanent equity</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(h)</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Class B ordinary shares to existing ProKidney owners</w:t>
            </w: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fees</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ProKidney deferred offering costs to equity upon close</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(i)</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(410,388)</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additional paid in capital</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$ 141,867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financing and the remaining $7.9 million related to direct and incremental costs such as legal, tax, accounting, third-party advisory and other miscellaneous fees. This amount excluded the $7.7 million of deferred underwriting fees related to the SCS initial public offering as described in note (2) above, any amounts relating to the ProKidney Promissory Notes, which were repaid at the Closing, and other SCS transaction costs.</w:t>
      </w:r>
    </w:p>
    <w:p>
      <w:pPr>
        <w:spacing w:after="0" w:line="92"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17,500,000 Earnout Rights to Earnout Participants upon Closing. As discussed in Note 2 to the unaudited condensed consolidated financial statements, the adjustment to recognize the Earnout Rights would have no net impact on any financial statement line item as it would simultaneously increase and decrease additional paid-in capital.</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SCS Class A ordinary shares, SCS Class B ordinary shares and related director restricted stock units held by the Sponsor and an independent director of SCS for ProKidney Class A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 to Unaudited Pro Forma Condensed Combined Statement of Operations for the Six Months Ended June 30, 2022</w:t>
      </w:r>
    </w:p>
    <w:p>
      <w:pPr>
        <w:spacing w:after="0" w:line="133"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eliminate interest income related to the investment held in Trust Account.</w:t>
      </w:r>
    </w:p>
    <w:p>
      <w:pPr>
        <w:spacing w:after="0" w:line="130"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 pro forma adjustment to income tax expense as Legacy ProKidney has historically been in a net loss position. Legacy ProKidney files as a partnership for federal and state income tax purposes. As such, each partner is responsible for reporting income or loss to the extent required by federal and state income tax regulations, based upon their respective share of Legacy ProKidney income and expenses. ProKidney-US is a limited liability company and has elected to be treated as a C corporation, therefore, a provision for federal and state taxes has been recorded. Income tax expense of the combined company may differ from historical results due to the change in structure of ProKidney.</w:t>
      </w:r>
    </w:p>
    <w:p>
      <w:pPr>
        <w:spacing w:after="0" w:line="92"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loss attributable to noncontrolling interest. The noncontrolling interest, giving effect to redemptions, is 74.5%.</w:t>
      </w:r>
    </w:p>
    <w:p>
      <w:pPr>
        <w:spacing w:after="0" w:line="67"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per share calculated using the historical weighted average shares outstanding, and the issuance of additional shares in connection with the Business Combination, assuming the shares were outstanding since January 1, 2021. As the Business Combination and related equity transactions are being reflected as if they had occurred at the beginning of the period presented, the calculation of weighted average shares outstanding for basic and diluted net income per share assumes that the shares issuable relating to the Business Combination were outstanding for the entirety of the period presented.</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794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i w:val="1"/>
                <w:iCs w:val="1"/>
                <w:color w:val="auto"/>
                <w:w w:val="99"/>
              </w:rPr>
              <w:t>Adjustments to Unaudited Pro Forma Condensed Combined Balance Sheet as of December 31, 2021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71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Represents pro forma adjustments to cash and cash equivalents to reflect the following:</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74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SCS cash held in Trust Account</w:t>
            </w: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$ 250,008</w:t>
            </w:r>
          </w:p>
        </w:tc>
        <w:tc>
          <w:tcPr>
            <w:tcW w:w="0" w:type="dxa"/>
            <w:vAlign w:val="bottom"/>
          </w:tcPr>
          <w:p>
            <w:pPr>
              <w:spacing w:after="0" w:line="20" w:lineRule="exact"/>
              <w:rPr>
                <w:sz w:val="1"/>
                <w:szCs w:val="1"/>
                <w:color w:val="auto"/>
              </w:rPr>
            </w:pPr>
          </w:p>
        </w:tc>
      </w:tr>
      <w:tr>
        <w:trPr>
          <w:trHeight w:val="203"/>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20" w:type="dxa"/>
            <w:vAlign w:val="bottom"/>
            <w:gridSpan w:val="2"/>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28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underwriting fees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574,800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redeeming Public Shareholders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(228,305)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related party advance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cash to balance sheet from Business Combination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$ 551,493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and which were paid at the Closing.</w:t>
      </w:r>
    </w:p>
    <w:p>
      <w:pPr>
        <w:spacing w:after="0" w:line="130"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from the issuance and sale of 52,480,000 ProKidney Class A ordinary shares and 5,000,000 Class B ordinary shares at $10.00 per share pursuant to the Subscription Agreements (and, in the case of Tolerantia and CEC, their subsequent election to receive Post-Combination ProKidney Common Units (and a corresponding number of Class B ordinary shares) in lieu of Class A ordinary shares) entered into with PIPE Investors in connection with the PIPE Investment.</w:t>
      </w:r>
    </w:p>
    <w:p>
      <w:pPr>
        <w:spacing w:after="0" w:line="85" w:lineRule="exact"/>
        <w:rPr>
          <w:rFonts w:ascii="Times New Roman" w:cs="Times New Roman" w:eastAsia="Times New Roman" w:hAnsi="Times New Roman"/>
          <w:sz w:val="18"/>
          <w:szCs w:val="18"/>
          <w:color w:val="auto"/>
        </w:rPr>
      </w:pPr>
    </w:p>
    <w:p>
      <w:pPr>
        <w:ind w:left="540" w:right="480" w:hanging="424"/>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payments made to the holders of SCS Class A ordinary shares in connection with the redemption of 22,829,769 SCS Class A ordinary shares.</w:t>
      </w:r>
    </w:p>
    <w:p>
      <w:pPr>
        <w:spacing w:after="0" w:line="67"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financing and the remaining $7.9 million related to direct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460"/>
        <w:spacing w:after="0" w:line="266" w:lineRule="auto"/>
        <w:rPr>
          <w:sz w:val="20"/>
          <w:szCs w:val="20"/>
          <w:color w:val="auto"/>
        </w:rPr>
      </w:pPr>
      <w:r>
        <w:rPr>
          <w:rFonts w:ascii="Times New Roman" w:cs="Times New Roman" w:eastAsia="Times New Roman" w:hAnsi="Times New Roman"/>
          <w:sz w:val="18"/>
          <w:szCs w:val="18"/>
          <w:color w:val="auto"/>
        </w:rPr>
        <w:t>incremental costs such as legal, tax, accounting, third-party advisory and other miscellaneous fees. This amount excludes the $7.7 million of deferred underwriting fees related to the SCS initial public offering as described in note (2) above, any amounts relating to the ProKidney Promissory Notes, which were repaid at the Closing, and other SCS transaction costs.</w:t>
      </w:r>
    </w:p>
    <w:p>
      <w:pPr>
        <w:spacing w:after="0" w:line="81"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and which were paid at the Closing.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SCS Class A ordinary shares, giving effect to the redemption of 22,829,769 SCS Class A ordinary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1 to these unaudited pro forma condensed consolidated financial statements, the combined company will consolidate ProKidney but does not own 100% of the economic interest in Legacy ProKidney. The noncontrolling interest reflecting actual redemptions is 74.5%.</w:t>
      </w:r>
    </w:p>
    <w:p>
      <w:pPr>
        <w:spacing w:after="0" w:line="81"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net of an adjustment for the associated par value, from the issuance and sale of 52,480,000 ProKidney Class A ordinary shares and 5,000,000 Class B ordinary shares at $10.00 per share pursuant to the Subscription Agreements (and, in the case of Tolerantia and CEC, their subsequent election to receive Post-Combination ProKidney Common Units (and a corresponding number of Class B ordinary shares) in lieu of Class A ordinary shares) entered into with PIPE Investors in connection with the PIPE Investment.</w:t>
      </w:r>
    </w:p>
    <w:p>
      <w:pPr>
        <w:spacing w:after="0" w:line="88"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recapitalization of the Legacy ProKidney Class A and Class B Units upon issuance of ProKidney Class B ordinary shares and Class B PMEL RSRs to Closing ProKidney Unitholders.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additional paid in capital to reflect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PIPE Financing</w:t>
            </w:r>
          </w:p>
        </w:tc>
        <w:tc>
          <w:tcPr>
            <w:tcW w:w="820" w:type="dxa"/>
            <w:vAlign w:val="bottom"/>
            <w:gridSpan w:val="2"/>
            <w:shd w:val="clear" w:color="auto" w:fill="CCEEFF"/>
          </w:tcPr>
          <w:p>
            <w:pPr>
              <w:jc w:val="right"/>
              <w:ind w:right="460"/>
              <w:spacing w:after="0" w:line="203" w:lineRule="exact"/>
              <w:rPr>
                <w:sz w:val="20"/>
                <w:szCs w:val="20"/>
                <w:color w:val="auto"/>
              </w:rPr>
            </w:pPr>
            <w:r>
              <w:rPr>
                <w:rFonts w:ascii="Times New Roman" w:cs="Times New Roman" w:eastAsia="Times New Roman" w:hAnsi="Times New Roman"/>
                <w:sz w:val="18"/>
                <w:szCs w:val="18"/>
                <w:color w:val="auto"/>
              </w:rPr>
              <w:t>(g)</w:t>
            </w:r>
          </w:p>
        </w:tc>
        <w:tc>
          <w:tcPr>
            <w:tcW w:w="84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w w:val="99"/>
              </w:rPr>
              <w:t>$ 574,743</w:t>
            </w: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ordinary shares subject to redemption to permanent equity</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21,703</w:t>
            </w: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Class B ordinary shares to existing ProKidney owners</w:t>
            </w: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(h)</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fees</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(j)</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(430,480)</w:t>
            </w: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additional paid in capital</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$ 128,648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financing and the remaining $7.9 million related to direct and incremental costs such as legal, tax, accounting, third-party advisory and other miscellaneous fees. This amount excluded the $7.7 million of deferred underwriting fees related to the SCS initial public offering as described in note (2) above, any amounts relating to the ProKidney Promissory Notes, which were repaid at the Closing, and other SCS transaction costs.</w:t>
      </w:r>
    </w:p>
    <w:p>
      <w:pPr>
        <w:spacing w:after="0" w:line="92"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17,500,000 Earnout Rights to Earnout Participants upon Closing. As discussed in Note 2 to the unaudited condensed consolidated financial statements, the adjustment to recognize the Earnout Rights would have no net impact on any financial statement line item as it would simultaneously increase and decrease additional paid-in capital.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SCS Class A ordinary shares, SCS Class B ordinary shares and related director restricted stock units held by the Sponsor and an independent director of SCS for ProKidney Class A ordinary shares.</w:t>
      </w:r>
    </w:p>
    <w:p>
      <w:pPr>
        <w:spacing w:after="0" w:line="67"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Business Combination, the combined company became a party to the Tax Receivable Agreement. Under the terms of the Tax Receivable Agreement, the combined company is required to pay to certain parties to the agreement 85% of the tax savings that it is deemed to realize in certain circumstances as a result of certain tax attributes that exist following the Transaction and that are created thereafter, including as a result of payments made under the Tax Receivable Agreement. The combined company does not expect to record net deferred tax assets related to the tax basis adjustments associated with the exchange of Paired Interests as those deferred tax assets are not more likely than not expected to be realized in accordance with ASC 740—Income Taxes. Accordingly, the combined company has not recorded a liability related to the Tax Receivable Agreement as of December 31, 2021, as the liability is not considered to be probable in accordance with ASC 450—Contingencies.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 to Unaudited Pro Forma Condensed Combined Statement of Operations for the Year Ended December 31, 2021</w:t>
      </w:r>
    </w:p>
    <w:p>
      <w:pPr>
        <w:spacing w:after="0" w:line="133"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eliminate interest income related to the investment held in Trust Account.</w:t>
      </w:r>
    </w:p>
    <w:p>
      <w:pPr>
        <w:spacing w:after="0" w:line="130"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 pro forma adjustment to income tax expense as Legacy ProKidney has historically been in a net loss position. Legacy ProKidney files as a partnership for federal and state income tax purposes. As such, each partner is responsible for reporting income or loss to the extent required by federal and state income tax regulations, based upon their respective share of Legacy ProKidney income and expenses. ProKidney-US is a limited liability company and has elected to be treated as a C corporation, therefore, a provision for federal and state taxes has been recorded. Income tax expense of the combined company may differ from historical results due to the change in structure of ProKidney.</w:t>
      </w:r>
    </w:p>
    <w:p>
      <w:pPr>
        <w:spacing w:after="0" w:line="92"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loss attributable to noncontrolling interest. The noncontrolling interest, giving effect to actual redemptions, is 74.5%.</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Business Combination, assuming the shares were outstanding since January 1, 2021. As the Business Combination and related equity transactions are being reflected as if they had occurred at the beginning of the period presented, the calculation of weighted average shares outstanding for basic and diluted net income per share assumes that the shares issuable relating to the Business Combination were outstanding for the entirety of the period presented.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OF PROKIDNEY</w:t>
      </w:r>
    </w:p>
    <w:p>
      <w:pPr>
        <w:spacing w:after="0" w:line="227" w:lineRule="exact"/>
        <w:rPr>
          <w:sz w:val="20"/>
          <w:szCs w:val="20"/>
          <w:color w:val="auto"/>
        </w:rPr>
      </w:pPr>
    </w:p>
    <w:p>
      <w:pPr>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ProKidney and its subsidiaries. In this section, unless context suggests otherwise, “we,” “us” and “our” generally refer to ProKidney LP and its subsidiaries prior to the Business Combination, and to ProKidney Corp. and its subsidiaries following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or improvement of kidney function to stop or delay progression of CKD. Our lead product candidate, which we refer to as REACT, is designed to stabilize or improve kidney function in a CKD patient’s diseased kidneys. REACT is a product that includes SRCs prepared from a patient’s own, autologous, renal cells. SRCs are formulated into a product for reinjection into the patient’s kidney using a minimally invasive outpatient procedure that can be repeated if necessary. Because REACT is a personalized treatment composed of cells prepared from a patient’s kidney, there is no need for treatment with immunosuppressive therapies, which are required during a patient’s lifetime when a patient receives a kidney transplant from another, allogeneic donor.</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conducting a Phase 3 development program and multiple Phase 2 clinical trials for REACT in subjects with moderate to severe diabetic kidney disease. We are also conducting a Phase 1 clinical trial for REACT in subjects with congenital anomalies of the kidney and urinary tract (“CAKUT”). REACT has been well tolerated by subjects with moderate to severe diabetic kidney disease in Phase 1 and 2 clinical testing to date. It has also been shown to stabilize renal function in subjects based on measurements of iohexol renal clearance and urinary albumin-to-creatinine ratio (“UACR”). REACT has received Regenerative Medicine Advanced Therapy (“RMAT”) designation from the FDA.</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patented technology includes multiple breakthroughs in the manufacturing and medical delivery of cellular therapy products. While it has long been held that the body contains cells with regenerative power, our technology is able to prepare key progenitor cells, SRCs, from expanded patient kidney cells for reinjection into patients and restore their lost kidney function due to chronic diseases. Our process begins when a small biopsy of a patient’s diseased kidney is sent to our cGMP manufacturing facility. We are able to process cells taken from the biopsy and select those with a regenerative capacity. The selected cells, SRCs, are formulated into a personalized product for reinjection into the damaged kidney. To date, clinical studies suggest that REACT can positively impact renal function by stabilizing eGFR or attenuating the rate of eGFR decline in patients with type 2 diabetic CKD. Other improvements observed with REACT treatment include stabilization in UACR, increased kidney cortical thickness, and improved hemoglobin levels, suggestive of a reduced risk of anemia.</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initially pursuing the development of REACT for use in moderate to severe CKD patients in the United States with diabetes as the primary cause and may include hypertension as potential label expansion indication. We estimate that approximately 38-39 million adults, representing approximately 15% of the U.S. adult population, currently suffer from CKD, of which approximately 17-18 million patients have stage 3 or 4 CKD, and approximately 13.4 million patients have stage 3 or 4 CKD that is caused by diabetes (approximately 8.3 million) or hypertension (approximately 5.1 million). With respect to those patients with CKD caused primarily by diabetes, we estimate that approximately 4-5 million patients would be eligible to be treated with REACT.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leveraging our cell therapy technology to develop product candidates designed to stop or delay renal failure in CKD from diabetes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CAKUT. The following table summarizes our current pipeline: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Multiple Potential Therapeutic Targets for Treatment of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97155</wp:posOffset>
            </wp:positionV>
            <wp:extent cx="5186045" cy="1414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604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Plan to launch an additional phase 3 trial REGEN-016 in the first quarter of 2023.</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Biopsy tissue of a patient’s diseased kidney is obtained, and from that sample we prepare and select for SRCs, progenitor cells, by enzymatically dissociating tissue, expanding the dissociated cells and separating the expanded cells via density gradient centrifugation. Clinical studies suggest that REACT can positively impact renal function by stabilizing eGFR or attenuating the rate of eGFR decline in type 2 diabetic CKD patients. We have developed a cryopreserved version of REACT that allows for long-term product preservation to be used in our Phase 3 trials of REACT (called REGEN-006 and REGEN-016), and our Phase 2 trial of REACT (called REGEN-007), treating diabetes patients with CKD. In addition to the cryopreserved formulation of REACT, we are using a gelatin-based hydrogel formulation in our ongoing Phase 2 trials (called RMCL-002 and REGEN-003) and Phase 1 trial (called REGEN-004). We have two preclinical programs (called REACT/Gen and REACT/Universal) where we plan to use genetically modified bioactive renal cell populations to provide regenerative effects to a diseased kidney. The preclinical programs aim to effectively obtain “universal donor” immune-privileged renal cell populations, where gene editing is used to generate “allogeneic” renal cell populations, to be administered to patients without immunosuppression.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 and Corporate History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an experienced internal research and development team focused on utilizing our deep understanding of kidney disease pathways to discover and develop novel cell-based therapies with a multi-modal mechanism targeting various pathways. Since our founding, we have expanded our team to incorporate additional expertise as needed to pursue our goal of becoming a fully integrated biopharmaceutical company. We have assembled key management team members with expertise in kidney disease, cell therapy, development, regulatory affairs, medical affairs, operations, quality, and manufacturing. Our Chief Executive Officer, Tim Bertram, has more than 38 years of pharmaceutical development expertise and has led innovations in cellular therapeutics for over 18 years. Our Chief Operating Officer, Deepak Jain, Ph.D., has over 36 years of experience in the development of biologics, tissue engineered and cell therapy products. Our technology is being developed based on work that has been conducted for the past 20 years at different institutions.</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ProKidney Bermuda was formed in December 2018 as a Bermuda limited liability company and was founded by a group of investors in the pharmaceutical industry. ProKidney Bermuda was initially capitalized with $75 million.</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In January 2019, ProKidney Bermuda acquired all of the equity interests in ProKidney-KY and ProKidney-US. ProKidney-KY was duly incorporated under the Cayman Islands Companies Act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December 21, 2015 as an exempted company. In 2020, ProKidney-KY’s name was changed from RegenMed (Cayman) Ltd. to ProKidney, and ProKidney US’ name was changed from Twin City Bio LLC to ProKidney, LLC. ProKidney-US is a Delaware limited liability company formed on December 18, 2015. On August 5, 2021, ProKidney LP was organized as a limited partnership under the Irish LP Act, and, as applicable, the Partnership Act 1890, of Ireland, with ProKidney Bermuda becoming a wholly owned subsidiary of ProKidney LP. References to “ProKidney” or the “Company” generally refer to ProKidney LP after this reorganization and to ProKidney Corp. following the Closing.</w:t>
      </w:r>
    </w:p>
    <w:p>
      <w:pPr>
        <w:spacing w:after="0" w:line="183"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ProKidney Bermuda acquired the equity interests in ProKidney-KY to develop its renal advanced cell therapy, which has the potential to stabilize or improve renal function in patients with chronic kidney disease or delay or eliminate the need for dialysis and organ transplantation. ProKidney acquired ProKidney-US to provide contractual development and manufacturing services to ProKidney-KY, which is ProKidney-US’s only customer.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goal is to become a fully integrated biopharmaceutical company pioneering treatments for CKD. Key components of our business strategy include the following:</w:t>
      </w:r>
    </w:p>
    <w:p>
      <w:pPr>
        <w:spacing w:after="0" w:line="63" w:lineRule="exact"/>
        <w:rPr>
          <w:sz w:val="20"/>
          <w:szCs w:val="20"/>
          <w:color w:val="auto"/>
        </w:rPr>
      </w:pPr>
    </w:p>
    <w:p>
      <w:pPr>
        <w:ind w:left="1080" w:right="20" w:hanging="424"/>
        <w:spacing w:after="0" w:line="25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Obtain regulatory approval for and successfully commercialize REACT, initially as a treatment for patients with chronic kidney disease caused by diabetes. </w:t>
      </w:r>
      <w:r>
        <w:rPr>
          <w:rFonts w:ascii="Times New Roman" w:cs="Times New Roman" w:eastAsia="Times New Roman" w:hAnsi="Times New Roman"/>
          <w:sz w:val="18"/>
          <w:szCs w:val="18"/>
          <w:color w:val="auto"/>
        </w:rPr>
        <w:t>We intend to continue to pursue the clinical development of REACT through a world-wide Phase 3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program that has been reviewed by both the EMA and the FDA. We activated the first site for our first Phase 3 clinical trial, REGEN-006, in the fourth quarter of 2021 with the first Informed Consent Form signed and the first subject randomized into the trial in the first quarter of 2022. Our second Phase 3 trial, REGEN-016, is planned to randomize, or “launch,” in the first quarter of 2023 outside the United States. A long term follow up trial, REGEN-008, is expected to launch in late 2023, for subjects who received REACT as part of our trials REGEN-006, REGEN-007 and REGEN-016.</w:t>
      </w:r>
    </w:p>
    <w:p>
      <w:pPr>
        <w:spacing w:after="0" w:line="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clinical development of REACT for the treatment of additional indications, including CKD caused by Congenital Anomalies of the Kidney and Urinary Tract and hypertension. </w:t>
      </w:r>
      <w:r>
        <w:rPr>
          <w:rFonts w:ascii="Times New Roman" w:cs="Times New Roman" w:eastAsia="Times New Roman" w:hAnsi="Times New Roman"/>
          <w:sz w:val="18"/>
          <w:szCs w:val="18"/>
          <w:color w:val="auto"/>
        </w:rPr>
        <w:t>CAKUT is the cause of more than 50% of pediatric cases of renal failure,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long-term complications of CKD which may progress into adulthood. We are currently enrolling patients in REGEN-004, a Phase 1 clinical trial that is designed to assess the ability of REACT to prevent, stop, or delay the negative effects of CAKUT. We aim to complete the enrollment and obtain additional interim data by the end of 2022. Results from interim data may not be indicative of results from future data as patient enrollment continues and more patient data becomes available and will be viewed with caution until the final data are available. Hypertension related CKD is the second most common cause of CKD in adults. Future trials may address CKD in this population.</w:t>
      </w:r>
    </w:p>
    <w:p>
      <w:pPr>
        <w:spacing w:after="0" w:line="90" w:lineRule="exact"/>
        <w:rPr>
          <w:rFonts w:ascii="Times New Roman" w:cs="Times New Roman" w:eastAsia="Times New Roman" w:hAnsi="Times New Roman"/>
          <w:sz w:val="18"/>
          <w:szCs w:val="18"/>
          <w:color w:val="auto"/>
        </w:rPr>
      </w:pPr>
    </w:p>
    <w:p>
      <w:pPr>
        <w:ind w:left="1080" w:right="160" w:hanging="424"/>
        <w:spacing w:after="0" w:line="25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 and develop additional product candidates for the treatment of kidney diseases utilizing our cell therapy approach. </w:t>
      </w:r>
      <w:r>
        <w:rPr>
          <w:rFonts w:ascii="Times New Roman" w:cs="Times New Roman" w:eastAsia="Times New Roman" w:hAnsi="Times New Roman"/>
          <w:sz w:val="18"/>
          <w:szCs w:val="18"/>
          <w:color w:val="auto"/>
        </w:rPr>
        <w:t>Our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experience in discovery research, deep expertise in kidney disease and a strong record of publication in high-impact peer reviewed journals. The team is focused on understanding additional disease pathways associated with kidney disease, identifying key targets for intervention and generating product candidates against these targets. We may also in-license from or collaborate with third parties to develop product candidates that, based on our understanding of kidney diseases and pathways, we believe are promising therapeutics.</w:t>
      </w:r>
    </w:p>
    <w:p>
      <w:pPr>
        <w:spacing w:after="0" w:line="87"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Maintain and continually refine our sophisticated internal expertise in manufacturing our products</w:t>
      </w:r>
      <w:r>
        <w:rPr>
          <w:rFonts w:ascii="Times New Roman" w:cs="Times New Roman" w:eastAsia="Times New Roman" w:hAnsi="Times New Roman"/>
          <w:sz w:val="18"/>
          <w:szCs w:val="18"/>
          <w:color w:val="auto"/>
        </w:rPr>
        <w:t>. We have developed and built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cGMP manufacturing facility in which we manufacture REACT for clinical trials, which we intend to continue to develop for purposes of the eventual commercial manufacturing process, assuming receipt of necessary regulatory approvals. Our current cGMP manufacturing facility is capable of manufacturing product for our Phase 3 clinical trials and could serve as our commercial launch facility. We anticipate construction of automated manufacturing facilities to meet demand for REACT upon commercialization.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Kidney Disease Overview</w:t>
      </w:r>
    </w:p>
    <w:p>
      <w:pPr>
        <w:spacing w:after="0" w:line="121"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CKD is highly prevalent in the United States and European Union. Based on available U.S. data from the 2018 National Health and Nutritional Examination Survey, we expect the aggregate CKD population in the United States to reach approximately 74.4 million in 2020, approximately</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82.2 million in 2030 and approximately 90.9 million in 2040. The estimated aggregate CKD population in the European Union can reach approximately 93% of the expected CKD population in the United States. We believe that the prevalence in the United States is approximately 15% of the adult population. The most common causes of CKD among adults are diabetes, hypertension, and glomerular disease, and in the pediatric population, CAKUT. In the United States, it is believed that approximately 18 million patients per year suffer stage 3 or 4 from CKD.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Approach: Working to Restore Kidney Function through Autologous Cell Therapy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Autologous cell therapy refers to the prevention or treatment of human disease by the administration of a person’s own cells that have been selected, multiplied and formulated for delivery outside the body. We believe that our technology has the potential to restore kidney function by using a patient’s own SRCs to restore natural healing processes. By contrast, organ transplantation from other donors, or allogeneic transplants, can be associated with surgical complications, organ rejection and failure. Further, organ transplantation patients live with the adverse effects of immunosuppressive therapies and ongoing therapeutic maintenance that are required in order to reduce the risk of rejection of transplanted organs.</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kidney restoration process begins when a small biopsy of the diseased kidney is sent to our laboratory. We are able to identify the patient’s own healthy progenitor cells and formulate them into a personalized product that can be re-injected into the damaged kidney for repair and restoration of function. Due to one severe bleed that occurred during an early REACT injection procedure, we changed to a noncutting needle design for the REACT procedure, and there have been no injection-related serious adverse events since then. Based on preclinical studies, when the manufactured REACT product candidate is injected into the diseased kidney, the progenitor cells it comprises rapidly distribute throughout the kidney and integrate into the damaged nephrons and interstitium. To date, clinical studies suggest that treatment with REACT in patients with type 2 diabetes and CKD can positively impact renal function by stabilizing eGFR or attenuating the rate of eGFR decline. Other improvements observed with REACT treatment include stabilization and/or reduction in UACR, increased kidney cortical thickness, and improved hemoglobin levels, suggestive of a reduced risk of anemia.</w:t>
      </w:r>
    </w:p>
    <w:p>
      <w:pPr>
        <w:spacing w:after="0" w:line="1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REACT, an autologous homologous cell admixture, is made from expanded autologous SRCs, obtained from each individual subject’s kidney biopsy. To manufacture REACT, biopsy tissue from each enrolled subject will be sent to ProKidney, in whose facilities renal cells will be expanded and SRCs selected. SRCs are then formulated into the cryopreserved or gelatin-based hydrogel product at a concentration of 100 x 106 cells/mL, and shipped to the clinical site.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345440</wp:posOffset>
            </wp:positionV>
            <wp:extent cx="5040630" cy="29317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4063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REACT is currently in a Phase 3 development program, as well as ongoing Phase 2 clinical trials, for the treatment of moderate to severe diabetic kidney disease and a Phase 1 clinical trial for REACT in patients with CAKUT. These trials are being or will be conducted at over 150 clinical sites throughout the United States, Europe, Asia and Latin America. REACT has been well tolerated in clinical trials to date involving patients with moderate to severe diabetic kidney disease. For example, in the RMCL-002 Phase 2 clinical trial, the interim analysis as of September 2021 demonstrates there is a statistically significant improvement in a measurement of kidney function, referred to as eGFR, between treatment arms in the trial, measured at six months after the second injection of REACT (p-value=0.032), nine months after the second injection of REACT (p-value=0.018), and 12 months after the second injection of REACT (p-value=0.019). The procedure appeared to be well tolerated, consistent with renal biopsy. Adverse events reported are generally associated with co-morbidities of Type 2 diabetes. The ongoing clinical development program utilizes a newly developed percutaneous injection method into the kidney that is conducted using conscious sedation in an outpatient same-day procedure. We cannot assure you that the improvements in eGFR that we have observed as of September 2021 in our RMCL-002 Phase 2 clinical trial will be observed in any future clinical trials. Likewise, promising results in interim analyses or other preliminary analyses may not ensure that the clinical trial as a whole will be successful.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Background and Unmet Need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Chronic Kidney Disease (CKD)</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CKD is characterized by progressive nephropathy that, without therapeutic intervention, will worsen until the subject reaches end stage renal disease (“ESRD”). CKD patients suffer from reduced kidney function, demonstrated by decreased eGFR, or evidence of kidney damage, such as increased excretion of urinary albumin as shown in physician office laboratory testing. The global prevalence of CKD is estimated at 10% with ranges of 8-16% in various high populations. CKD is associated with considerable morbidity, such as diabetes mellitus, and is often accompanied by adverse outcomes due to underlying disease states and/or risk factors such as renovascular disease, hypertension and diabetes, causing an increased risk of mortality. 97% of patients with moderate to severe CKD have asymptomatic Stage 3 disease, but even this stage of CKD is associated with a</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two- to four-fold rise in cardiovascular disease risk, along with a significant increase in all-cause mortality. Only a small proportion of CKD patients progress to ESRD (i.e., Stage 5 disease), but the increasing life expectancy of humans has led to growing numbers of patients with chronic diseases and end-stage organ failure. Even with costly treatments, subjects with ESRD experience substantial morbidity and mortality. To survive, ESRD subjects require renal replacement therapy through peritoneal dialysis, hemodialysis or kidney transplantation. Preventing or delaying the onset of adverse outcomes of CKD via early intervention is the primary strategy for CKD management. Nevertheless, early treatments have been less than optimal, resulting in a significant unmet medical need for improved interventional strategies to manage CKD and delay the regression to ESRD.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major causes of CKD in adults are diabetes and hypertension. Nearly half of all CKD cases arise from diabetes, with or without hypertension. The incidence of CKD continues to increase, primarily due to the increased worldwide incidence of type 2 diabetes and metabolic syndrome. Staging and grading of kidney function are most often quantified by estimated glomerular filtration rate, which is defined as the volume of plasma from which a given substance is completely cleared by glomerular filtration per unit time. KDIGO 2012 Clinical Practice Guideline for the Evaluation and Management of Chronic Kidney Disease provided guidelines intended to aid general practitioners and nephrologists in the evaluation, classification, and management of CKD in both adults and children. As set forth below, Figure 1 categorizes the risk of ESRD from “low” to “very high” based on both eGFR measurements, ranging from &gt;90 mL/min/1.73m2 to &lt;30 mL/min/1.73m2, and albuminuria classifications ranging from &lt;30 mg/g to &gt;300 mg/g. When the kidneys cease to function entirely, which constitutes ESRD, renal replacement therapy in the form of dialysis or transplantation is generally required.</w:t>
      </w:r>
    </w:p>
    <w:p>
      <w:pPr>
        <w:spacing w:after="0" w:line="2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 of Classification Estimates for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114300</wp:posOffset>
            </wp:positionV>
            <wp:extent cx="3917315" cy="3025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1731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All-cause mortality rates were shown to increase as GFR declined; mortality rates were highest at Stages 4-5 of CKD. Populations defined as having an eGFR &lt;60 mL/min/1.73m2 consistently exhibited a higher mortality rate than comparator groups where there was no evidence of CKD.</w:t>
      </w:r>
    </w:p>
    <w:p>
      <w:pPr>
        <w:spacing w:after="0" w:line="14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Treatment of patients with CKD is focused on slowing progression and preparing for kidney failure or replacement. For many patients, CKD occurs as part of a complex comorbidity cluster, especially with cardiovascular disease and type 2 diabetes.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82"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Increased risk of cardiovascular disease can be a complication of CKD or an independent comorbidity associated with type 2 diabetes. The goals in the treatment of CKD are to lower cardiovascular risk and prevent or slow the progression of kidney failure via administration of angiotensin converting enzyme inhibitors and/or angiotensin receptor blockers to decrease proteinuria and control hypertension, insulin and anti-diabetic agents for glycemic control (e.g., reduced serum hemoglobin A1c), and statin therapy to counter dyslipidemia.</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 a patient reaches ESRD, renal replacement therapy in the form of kidney dialysis or transplantation is generally required. The vast majority of Stage 5 CKD patients in the United States and certain other developed countries receive hemodialysis. Dialysis replaces about 5-15% of kidney function, depending on the intensity and frequency of use; dialysis also helps to restore fluid and electrolyte balance when kidneys fail. However, the life expectancy of an ESRD patient initiating hemodialysis is &lt; 10 years. Additionally, hemodialysis has been associated with multiple, serious complications as well as interference with quality of life, due to the need for frequent dialysis and vascular access maintenance. Although kidney transplantation remains the most effective form of therapy for CKD currently, there is a chronic shortage of organs. If a patient can secure a kidney for transplantation, long-term immunosuppressive therapy is required to prevent rejection. Use of these regimens results in a higher incidence of infection and, over the long term, some types of cancer. And while xenotransplantation might be a promising alternative approach to bridge the gap between the supply and demand of human organs, tissues, and cells, immunological barriers are also limiting factors in clinical xenotransplantation.</w:t>
      </w:r>
    </w:p>
    <w:p>
      <w:pPr>
        <w:spacing w:after="0" w:line="188"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While patients continue to lose kidney function on existing therapies, the cost of CKD treatment is high and the rates of CKD and ESRD along with the associated expenditures are expected to continue to rise. As a large source of healthcare expenditure in the United States, the Medicare spend on beneficiaries with CKD is $80 billion. Medicare spend on beneficiaries with ESRD can reach $50 billion, with $93,000 Medicare annual cost per patient for dialysis. Additionally, the estimated ESRD cost per patient with commercial insurance, assuming a five-year dialysis period, is up to $2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133350</wp:posOffset>
            </wp:positionV>
            <wp:extent cx="4277360" cy="34029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7736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ProKidney management estimates and analysis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estimate that there are approximately 4 to 5 million REACT eligible patients. Assuming that we obtain requisite regulatory approvals and that the REACT market penetration rate is 1% in the United States alone, the expected size of the overall market in the United States for REACT could reach up to $16 billion based on the average cost of recently launched novel targeted therapies. Taken together, there is a critical medical and market need for improved therapies for CKD which could stop or dramatically slow the progression of disease and significantly delay the need for renal transplantation.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Congenital Anomalies of the Kidney and Urinary Tract (CAKUT)</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CAKUT is a group of abnormalities affecting the kidneys or other structures of the urinary tract. CAKUT results from abnormal development of the urinary tract system and is present at birth (i.e., it is congenital), although the abnormality may not become apparent until later in life. CAKUT is the most common kind of congenital birth defect, affecting roughly 1 in 500 babies born.</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Individuals with CAKUT have one or more kidney or urinary tract abnormalities. The parts of the urinary tract that may be affected include the bladder, the tubes that carry urine from each kidney to the bladder (the ureters), and the tube that carries urine from the bladder out of the body (the urethra). For paired structures, like the kidneys and ureters, one or both may be affected.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are various types of CAKUT. Many different developmental abnormalities are classified as CAKUT, including underdevelopment or absence of a kidney and nephrons, a kidney formed of fluid-filled sacs called cysts, buildup of urine in the kidneys, an extra ureter leading to the kidney, a blockage in a ureter where it joins the kidney, an abnormally wide ureter, backflow of urine from the bladder into the ureter, and an abnormal membrane in the prostatic urethra that blocks the flow of urine out of the bladder.</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causes of CAKUT are complex, and much remains to be uncovered about the genetic and environmental regulators of kidney and outflow tract development. It is likely that a combination of genetic and environmental factors contribute to the formation of kidney and urinary tract abnormalities. The genetic factors involved in most cases of CAKUT are unknown. Syndromic CAKUT is caused by changes in the genes associated with the particular syndrome. Variations in these same genes can also underlie some cases of isolated CAKUT. In addition, environmental factors may influence development of CAKUT. The risk of CAKUT is higher in babies whose mothers had diabetes, took certain medications that are harmful to the kidneys, such as some anti-seizure medicines, or lacked certain vitamins and minerals, such as folate and iron, during pregnancy.</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Most cases of CAKUT are diagnosed from antenatal ultrasound imaging, and the remaining cases of CAKUT are usually only diagnosed after an infant or child develops a urinary tract infection, prompting ultrasound and/or other imaging studies to examine the kidneys and outflow tracts.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CAKUT is often one of several features of a condition that affects multiple body systems, and it varies in severity. The abnormalities can result in recurrent urinary tract infections or a buildup of urine in the urinary tract, which may damage the kidneys or other structures. Severe CAKUT can lead to life-threatening kidney failure and ESRD. Children with severe CAKUT may require dialysis and transplantation as infants, and they may experience long-term effects on their ability to lead independent lives as adults.</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a need for greater understanding of the pathogenesis of CAKUT, as well as an unmet need for means for providing proper treatment of those affected by this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completed clinical trials and currently ongoing clinical trials of REACT are summarized below; the name of the product candidate tested in the trials was changed from Neo-Kidney Augment (“NKA”) to REACT after completion of some of the trials.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summary below also includes interim results which are based on a preliminary analysis of then- available data, and the results and related findings and conclusions are subject to change following a more comprehensive review of the data related to the particular trial. In particular, we have announced interim results from our ongoing RMCL-002 Phase 2 clinical trial and REGEN-004 Phase 1 clinical trial and plan to evaluate interim results from our ongoing REGEN-006 Phase 3 clinical trial in early 2025 and REGEN-016 Phase 3 clinical trial in mid-2025. Interim results from clinical trials that we may complete are not necessarily indicative of results from future data and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Diabetic Kidney Disease (DKD)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1 Clinical Development (TNG-CL010 and TNG-CL011)</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TNG-CL010 was an open-label safety and delivery optimization study of REACT (formerly known as NKA) in subjects with CKD conducted in Sweden. TNG-CL010 commenced in April 2013 and terminated in December 2014. TNG-CL011 was also an open-label safety and delivery optimization study of REACT in subjects with type 2 diabetes and CKD conducted in the United States. TNG-CL011 commenced with first subject enrolled in February 2014 and terminated in December 2014.</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primary objective of these trials was to assess the safety and delivery of REACT injected into one kidney. Six subjects from Sweden (TNG-CL010) and one from the United States with Diabetes Type 2 CKD, ranging in age from 53-70 years, eGFR levels between 19-34 (average 25 +/-2, Cystatin C) and iohexol clearance of 15-39, average 26 +/- 3, were enrolled. One subject with Type 2 DKD was enrolled in TNG-CL011.</w:t>
      </w:r>
    </w:p>
    <w:p>
      <w:pPr>
        <w:spacing w:after="0" w:line="17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results from the Phase 1 trials indicated that REACT was well tolerated when administered to the kidney, with no adverse events from the autologous SRC. When the decline of renal function pre- and post- injection were compared, the subjects receiving REACT in this Phase 1 trial had an imputed delay in dialysis of approximately 1.5 years beyond the standard of care because of slowing in the rate of reduction in eGFR from pre-injection baseline. Cortical thickness increased in the injected kidney from an average of 14 mm at time of injection to approximately 16 mm after one year. Renal function was stabilized following the REACT injection by iohexol clearance and based on the subjects’ ACRs. Subjects with a baseline anemia (n</w:t>
      </w:r>
    </w:p>
    <w:p>
      <w:pPr>
        <w:spacing w:after="0" w:line="3" w:lineRule="exact"/>
        <w:rPr>
          <w:sz w:val="20"/>
          <w:szCs w:val="20"/>
          <w:color w:val="auto"/>
        </w:rPr>
      </w:pPr>
    </w:p>
    <w:p>
      <w:pPr>
        <w:ind w:left="120" w:right="860" w:hanging="4"/>
        <w:spacing w:after="0" w:line="260" w:lineRule="auto"/>
        <w:tabs>
          <w:tab w:leader="none" w:pos="2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7) showed improved hemoglobin levels after REACT injection, and the remaining subjects maintained normal levels during the study. Antihypertensive medication was reduced in three of six subjects during the first six months following injection with REACT.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2 Clinical Development (RMCL-001, RMCL-002, REGEN-003, and REGEN-007) RMCL-001:</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RMCL-001 was a Phase 2, open-label safety and efficacy study of REACT in subjects with type 2 diabetes and CKD. The study commenced in May 2016 and was ended in May 2017.</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a second REACT injection using a minimally invasive percutaneous procedure that was done under conscious sedation as a same-day outpatient procedure. A single subject with an eGFR of 14ml/min/1.73m2 was enrolled from the Phase 1 study (TNG-CL011) described above. The second dose of REACT was manufactured from cryopreserved renal cells obtained from the Phase 1 renal biopsy. The subject was administered a dose of 3x106 cells/g-KWest. The subject’s eGFR increased to approximately 20 ml/min/1.73m2 for a period of eight months, after which the subject experienced a precipitous drop in renal function and began hemodialysis. The study was terminated by the sponsor of the clinical trial after this subject went onto dialysis and resources diverted to study RMCL-002.</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RMCL-002:</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RMCL-002 is an ongoing Phase 2, prospective, randomized, double-arm, deferred treatment, open-label, repeat dose, safety and efficacy study of REACT in subjects with type 2 diabetes and CKD. The first subject was enrolled in this study in February 2017, and subjects are now undergoing follow-up.</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primary objective of this study is to assess the safety and efficacy of up to two REACT injections given six months (up to four weeks after target date) apart in Type 2 Diabetic Disease patients with eGFRs between 20 and 50 ml/min/1.73m2, with both doses delivered into the biopsied kidney using an outpatient, minimally invasive, percutaneous approach under conscious sedation in less than 90 minutes. Patients will receive two doses of REACT of 3x106 cells/g-KWest.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Patients were randomized (1:1) to the active treatment group and the deferred treatment group (i.e., the control group) following renal biopsy. Subjects in the active treatment group receive their first REACT injection as soon as the REACT product is manufactured and shipped to the clinical site. After six months (up to four weeks after target date), a second injection is given, as appropriate. In contrast, subjects in the deferred treatment group will undergo a 12-month period of observation after renal biopsy. The deferred treatment group allows assessment of the rate of change in kidney function and co-morbidities in a nonexposed group compared to the active treated arm. During this time, they will receive contemporaneous, standard-of-care therapy for CKD while undergoing follow-up evaluations every three months, similar to subjects in the active treatment group. After 12 months, subjects from the deferred treatment group will receive a series of up to two REACT injections given six months (+/- four weeks of the target date) apart, as appropriate. Consequently, the study design includes a randomized control group receiving standard-of-care treatment for the first 12 months and a randomized, active treatment group receiving up to two REACT injections and follow-up evaluations during the same period of time. In addition, each subject’s baseline rate of renal decline, based on adequate historical and clinical data obtained 18 months prior to REACT injection, will serve as a comparator for monitoring the rate of progression of renal insufficiency over time.</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aggregate number of subjects enrolled for the Phase 2 clinical trial was 83. Upon withdrawal and/or replacement of 2 subjects, 81 subjects were enrolled as of December 2020, of which 39 subjects were enrolled into the active treatment group and 42 subjects were enrolled into the deferred treatment group. As of March 31, 2022, 39 subjects enrolled in the active group received their first injection, and 34 have received their second. No further injections will occur in the active group. 33 subjects in the deferred group have crossed over into the active group, with 33 subjects having received their first injection and 21 having received their second injection as of March 31, 2022.</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rate of progression of renal function for the active treatment group, assessed via pre-randomized serial measurements of eGFR over 24 months after the last REACT injection, will be compared against that of the deferred treatment group. In addition, each subject’s baseline rate of eGFR decline, derived from historical and clinical data, will be compared against the individual subject’s rate of eGFR decline through 24 months following the final REACT injection. The rate of progression of renal function of subjects, if any, who received a single REACT injection may be compared against that of subjects who received two REACT injections. Patients will be followed through 24 months after their last REACT injection in part 1 of the trial. An open label extension portion of the study (part 2) was added in February 2021 to follow all subjects for an additional 3 years. Visits will be conducted at 3-month intervals to give a total of 5 years (part 1 + part 2) of follow-up after the last REACT injection.</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Subjects in this trial will complete the Kidney Disease Quality of Life (“KDQOL”) survey, which is a subjective kidney-specific measure of health-related quality of life, and the EQ-5D-5L survey, which is a health- related quality of life questionnaire. Scores from the active treatment group will be compared against scores from the deferred treatment group. Subjects from the deferred treatment group will comprise the control group for the analysis of KDQOL scores. In addition, each subject’s baseline score will be compared against his or her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KDQOL scores obtained over the 24-month period after the last REACT injection. KDQOL scores from subjects who received a single REACT injection may be compared against scores from subjects who received two injections.</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Results as of the September 2021 interim analysis demonstrate that renal function has stabilized or improved in the subjects who have received a full course (2 injections) of REACT and has steadily declined in the deferred treatment group. The overall mean total slope for the active treatment group is a positive (+5.0 ml/ min/1.73m2/year), whereas the overall mean total slope for the deferred treatment group is a decline (-3.9 ml/ min/1.73m2/year). This shows an effect difference of +8.9 ml/min/1.73m2/year in annualized change in renal function between the active treatment group and the deferred treatment group. Each slope is calculated using a simple linear regression between the average eGFR measurements on the first injection day and three, six, nine and 12 months following the last injection day, where the averages are assumed to be equally spaced.</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interim analysis as of September 2021 demonstrates there is a statistically significant difference in the average eGFR between treatment arms (subjects who received a full course of REACT compared to the standard of care) at six months post 2nd injection (p-value=0.032), nine months post 2nd injection (p-value=0.018) and 12 months post 2nd injection (p-value=0.019). The outpatient kidney biopsy and REACT injections procedures are minimally invasive and well tolerated and complications are commensurate with standard of care and published cohort trials and meta-analysis studies. Other adverse events reported are commonly associated with the co-morbidities of Type 2 diabetes and similar to those seen in other small molecule CKD trials.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aim to have all deferred subjects dosed in 2022, obtain additional interim data and complete all active subjects follow-up in November 2023, complete all deferred subjects follow-up in 2024, and expect the clinical study report to be available in early 2025. Results from interim data may not be indicative of results from future data.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REGEN-003: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REGEN-003 is a Phase 2, prospective open-label, single-arm, safety and tolerability study of REACT in subjects with type 2 diabetes and CKD.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study commenced in March 2018 with first subject enrolled.</w:t>
      </w:r>
    </w:p>
    <w:p>
      <w:pPr>
        <w:spacing w:after="0" w:line="207"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primary objective of this study is to assess the safety and efficacy of up to two REACT injections given six months (up to four weeks after target date) apart in Type 2 Diabetic Kidney Disease patients with eGFRs between 14 and 20 ml/min/1.73m2 and delivered into the biopsied kidney using a minimally invasive percutaneous approach that can be delivered under conscious sedation in less than 90 minutes. Subjects have an eGFR of between 14—20 ml/min/1.73m2. Subjects receive up to two doses of REACT of 3x106 cells/ g-KWest.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study has completed enrollment and dosing has commenced for all 10 subjects, with nine subjects having received both doses.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We completed the enrollment of 10 subjects in February 2020. As of March 31, 2022, seven subjects had initiated dialysis, one of which died due to complications related to COVID. An additional subject died due to cardiovascular complications. For the seven subjects that initiated dialysis (baseline average eGFR of 17.5 ml/ min/1.73m2), the time between the first REACT injection and the initiation of dialysis averaged 76 weeks, ranging from 34 weeks to 121 weeks. Of the 10 subjects, two responding and receiving a second dose of REACT had a positive annualized eGFR slope of +1.1 ml/min/1.73m2/year, while the other eight subjects are continuing to progress with an average decline in annualized eGFR of -3.9 ml/min/1.73m2/year.</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aim to continue to follow-up until late 2022 and expect the clinical study report to be available in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REGEN-007:</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REGEN-007 is an ongoing Phase 2, prospective, randomized, open-label, repeat dose, double-arm, controlled safety and efficacy study of REACT in subjects with type 1 or 2 diabetes and CKD.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primary objective of this study is to assess the safety and efficacy of up to two REACT injections given three months apart (up to 60 days after target date) in Type 1 and 2 Diabetic Kidney Disease with eGFRs between 20 and 50 ml/min/1.73m2) and delivered into biopsied and non-biopsied contralateral kidneys using a minimally invasive percutaneous approach, as compared to a single REACT injection followed by monitoring and a potential second injection delivered into the non-biopsied contralateral kidney using a minimally invasive percutaneous approach triggered by a 20% decrease in eGFR and/or a 30% increase in UACR, that is delivered within 60 days of trigger being met. In previous Phase 2 studies, we injected the same kidney twice to demonstrate the safety and efficacy of REACT using a minimally invasive injection procedure. Based on an observed favorable safety profile in previous studies, we are proceeding with the injection of REACT into both kidneys in REGEN-007, which we expect will result in increased therapeutic effect as compared to injecting a single kidney, as the systemic effects of Type-2 diabetes mellitus impact both kidneys. By injecting both kidneys, patients have maximal exposure to REACT cells, with the potential to impact a greater proportion of renal mass. Further, the number of glomeruli (the filtering units of the kidney) that are amenable to regenerative therapy is effectively doubled when injecting both kidneys, thereby allowing both kidneys to initiate healing and repair to improve function. The main goal of REGEN-007 is to evaluate whether REACT injections in both kidneys as opposed to two injections in the same kidney will: (a) increase the improvement of kidney function over and above the mean eGFR improvement observed in REGEN-002, or (b) increase the number of patients in which kidney function stabilizes or improves as compared to the number of patients in which this was observed in REGEN-002, or both.</w:t>
      </w:r>
    </w:p>
    <w:p>
      <w:pPr>
        <w:spacing w:after="0" w:line="19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Subjects will receive up to two doses of REACT of 3x106 cells/ g-KWest. The study will enroll subjects between the ages of 30 and 80 with an eGFR &gt;20 and ≤50 mL/min/1.73m2. Subjects will be randomized (1:1) before renal biopsy into two cohorts. Cohort 1 will receive the two REACT injections three months apart. Cohort 2 will receive the first REACT injection, and a trigger, as described below, must be met to qualify for the second REACT injection &gt; 3 months after the first dose. This will allow a comparison of the effects of a specified amount of time between dosing, as compared to a biologic trigger between dosing.</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of the subjects in cohort 1 will receive the first REACT injection as soon as the REACT product is manufactured and shipped to the clinical site. After three months, subjects will receive a second injection, as appropriate. Subjects in cohort 2 will also receive one REACT injection as soon as the REACT product is manufactured and shipped to the clinical site. For cohort 2, a second REACT injection will only be administered if a subject meets one or more clinical surrogate marker criteria. The second REACT injection will be administered to subjects in cohort 2 no less than three months after the first injection, within 30 days (up to four weeks after target date) of meeting the re-dose trigger. The re-dose triggers include (1) a 30-day sustained decline in eGFR by at least 20% from baseline and (2) an increase in the baseline UACR of at least 30% greater than 30mg/gram, measured thirty days after the baseline measurement is taken. For all subjects who receive a second injection, the second injection will be administered in the non-biopsied contralateral kidney.</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During this time, subjects in cohort 2 will receive contemporaneous, standard-of-care therapy for CKD while undergoing follow-up evaluations at one, 14 (up to 7 days after target date) and 28 days (up to 7 days after target date) following the first injection, and then at three months (up to 10 days after target date) following the first injection, similar to subjects in cohort 1. All subjects will continue with long-term follow-up visits at three- month intervals for a period of 24 months following the last injection. In addition, each subject’s baseline rate of renal decline, based on adequate historical, clinical data obtained 24 months prior to the first REACT injection, will serve as a comparator for monitoring the rate of progression of renal insufficiency over time. The primary efficacy endpoint of REGEN-007 is improvement in the rate of renal function decline as indicated by the change from pre-injection baseline value in total (acute + chronic) slope of eGFR over 24 months. The primary safety endpoint is treatment-emergent adverse events through 24 months following the last REACT injection. REGEN-007 is an unblinded study in which cohort 1 patients will receive the same treatment regimen as the patients in our Phase 3 program that are randomized to the active arms. Therefore, REGEN-007 may provide some insights regarding the magnitude of clinical benefit that could be observed in our Phase 3 program.</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43" w:lineRule="auto"/>
        <w:rPr>
          <w:sz w:val="20"/>
          <w:szCs w:val="20"/>
          <w:color w:val="auto"/>
        </w:rPr>
      </w:pPr>
      <w:r>
        <w:rPr>
          <w:rFonts w:ascii="Times New Roman" w:cs="Times New Roman" w:eastAsia="Times New Roman" w:hAnsi="Times New Roman"/>
          <w:sz w:val="18"/>
          <w:szCs w:val="18"/>
          <w:color w:val="auto"/>
        </w:rPr>
        <w:t>We commenced enrollment for REGEN-007 in the third quarter of 2021 and has expanded target enrollment from 30 to up to 50 subjects, as a result of strong investigator interest. As of June 1, 2022, 24 subjects were enrolled with 12 subjects randomized to cohort 1 and 12 subjects randomized to cohort 2. As of that date, four subjects in cohort 1 had received their first dose of REACT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two of whom received a second dose into the contralateral kidney, and five subjects in cohort 2 received their first dose of REACT.</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anticipate initial evaluation data from this study from a limited number of patients in the first half of 2023, with topline data expected in 2025.</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3 Clinical Development (REGEN-006 and REGEN-016):</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applied for RMAT designation for REACT, which was granted by the FDA on October 28, 2021. As contemplated by the RMAT designation and as directed by the FDA, we requested a comprehensive, multidisciplinary Type B meeting with the FDA to review the status of preclinical and clinical development and manufacturing of REACT, and to discuss the planned clinical program intended to support approval of the product candidate. The FDA provided detailed written responses to our questions included in the meeting request, and the Type B meeting was held in March 2022. As a result of that meeting, we made some modifications to the Phase 3 trial designs, including the following:</w:t>
      </w:r>
    </w:p>
    <w:p>
      <w:pPr>
        <w:spacing w:after="0" w:line="89"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planned sample size from 500 to 600 subjects in both REGEN-006 and REGEN-016;</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increase in UACR of at least 30% and of at least 30 mg/g, using the random urine microalbumin/urine creatinine ratio sustained for 90 days, from the primary composite endpoint for both REGEN-006 and REGEN-016;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sham control arm and single blind component to the design of REGEN-016.</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continue to advance the USA clinical development program with the benefit of enhanced clarity as to the FDA’s expectations and requirements for a registrational program, including the design of the trials needed for approval, manufacturing assays, and comparability studies, as set forth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REGEN-006:</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REGEN-006 is a Phase 3, randomized, single-blinded, bi-lateral kidney dose, sham control arm, controlled efficacy study of REACT in subjects with type 2 diabetes and CKD Stages 3a-4 with moderate to severe albuminuria. Albuminuria refers to the presence of an excess of the protein albumin in urine, which is a sign of kidney disease.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primary objective of this study is to assess the efficacy of up to two REACT injections given three months apart and delivered into biopsied and non-biopsied contralateral kidneys using a minimally invasive percutaneous approach. The total planned enrollment is 600 subjects. Subjects in the treatment group will receive two doses of REACT of 3x106 cells/ g-KWest. The study will enroll subjects between the ages of 30 and 80 years of age with an eGFR </w:t>
      </w:r>
      <w:r>
        <w:rPr>
          <w:rFonts w:ascii="Times New Roman" w:cs="Times New Roman" w:eastAsia="Times New Roman" w:hAnsi="Times New Roman"/>
          <w:sz w:val="18"/>
          <w:szCs w:val="18"/>
          <w:u w:val="single" w:color="auto"/>
          <w:color w:val="auto"/>
        </w:rPr>
        <w:t>&gt;2</w:t>
      </w:r>
      <w:r>
        <w:rPr>
          <w:rFonts w:ascii="Times New Roman" w:cs="Times New Roman" w:eastAsia="Times New Roman" w:hAnsi="Times New Roman"/>
          <w:sz w:val="18"/>
          <w:szCs w:val="18"/>
          <w:color w:val="auto"/>
        </w:rPr>
        <w:t xml:space="preserve">0 and </w:t>
      </w:r>
      <w:r>
        <w:rPr>
          <w:rFonts w:ascii="Times New Roman" w:cs="Times New Roman" w:eastAsia="Times New Roman" w:hAnsi="Times New Roman"/>
          <w:sz w:val="18"/>
          <w:szCs w:val="18"/>
          <w:u w:val="single" w:color="auto"/>
          <w:color w:val="auto"/>
        </w:rPr>
        <w:t>&lt;5</w:t>
      </w:r>
      <w:r>
        <w:rPr>
          <w:rFonts w:ascii="Times New Roman" w:cs="Times New Roman" w:eastAsia="Times New Roman" w:hAnsi="Times New Roman"/>
          <w:sz w:val="18"/>
          <w:szCs w:val="18"/>
          <w:color w:val="auto"/>
        </w:rPr>
        <w:t>0 mL/min/1.73m2.</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primary composite endpoint is the time from first injection to the earliest of:</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Subjects will be randomized (1:1) to the treatment group and the “masked” sham control group prior to renal biopsy.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82"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of the subjects in the treatment group will receive the first REACT injection 12 weeks following renal biopsy. After three months, a second injection will be given, as appropriate, into the contralateral kidney. In contrast, subjects in the control group will receive two sham injections, the first of which will be administered 12 weeks following sham biopsy, and the second of which will be administered three months after the first sham injection. During this time, subjects in the control (sham) group will receive contemporaneous, standard-of-care therapy for CKD while undergoing follow-up evaluations at one, 14 and 28 days (+7 days) following the first injection, and then at three months (+10 days) following the first injection, similar to subjects in the treatment group. All subjects will continue in the study until they experience a qualifying event under the primary composite endpoint or reach the end of the study.</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Subjects will complete the KDQOL and EQ-5D-5L surveys. Scores from the treatment group will be compared against scores from the control group. In addition, each subject’s baseline score will be compared against his or her KDQOL scores obtained over the 24-month period after the last REACT injection. Additionally, KDQOL scores from subjects who received a single REACT injection may be compared against scores from subjects who received two injections.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This study began enrollment in the first quarter of 2022. As of March 31, 2022, 20 subjects had signed informed consent forms, and two were awaiting treatment assignment.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aim to evaluate interim data for REGEN-006 in early 2025. Results from interim data may not be indicative of results from future data.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REGEN-016:</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REGEN-016 is a planned Phase 3, randomized, single-blinded, sham control arm, bi-lateral kidney dose, controlled efficacy study of REACT in subjects with type 2 diabetes and CKD Stages 3a-4 with moderate to severe albuminuria.</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primary objective of this study is to assess the efficacy of up to two REACT injections given three months apart and delivered into biopsied and non-biopsied contralateral kidneys using a minimally invasive percutaneous approach. The total planned enrollment is 600 subjects. Subjects in the treatment group will receive two doses of REACT of 3x106 cells/ g-KWest. The study will enroll subjects between the ages of 30 and 80 years of age with an eGFR </w:t>
      </w:r>
      <w:r>
        <w:rPr>
          <w:rFonts w:ascii="Times New Roman" w:cs="Times New Roman" w:eastAsia="Times New Roman" w:hAnsi="Times New Roman"/>
          <w:sz w:val="18"/>
          <w:szCs w:val="18"/>
          <w:u w:val="single" w:color="auto"/>
          <w:color w:val="auto"/>
        </w:rPr>
        <w:t>&gt;2</w:t>
      </w:r>
      <w:r>
        <w:rPr>
          <w:rFonts w:ascii="Times New Roman" w:cs="Times New Roman" w:eastAsia="Times New Roman" w:hAnsi="Times New Roman"/>
          <w:sz w:val="18"/>
          <w:szCs w:val="18"/>
          <w:color w:val="auto"/>
        </w:rPr>
        <w:t xml:space="preserve">0 and </w:t>
      </w:r>
      <w:r>
        <w:rPr>
          <w:rFonts w:ascii="Times New Roman" w:cs="Times New Roman" w:eastAsia="Times New Roman" w:hAnsi="Times New Roman"/>
          <w:sz w:val="18"/>
          <w:szCs w:val="18"/>
          <w:u w:val="single" w:color="auto"/>
          <w:color w:val="auto"/>
        </w:rPr>
        <w:t>&lt;5</w:t>
      </w:r>
      <w:r>
        <w:rPr>
          <w:rFonts w:ascii="Times New Roman" w:cs="Times New Roman" w:eastAsia="Times New Roman" w:hAnsi="Times New Roman"/>
          <w:sz w:val="18"/>
          <w:szCs w:val="18"/>
          <w:color w:val="auto"/>
        </w:rPr>
        <w:t>0 mL/min/1.73m2.</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Subjects will be randomized (1:1) to the treatment group and the “masked” sham control group prior to renal biopsy.</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of the subjects in the treatment group will receive the first REACT injection 12 weeks following renal biopsy. After three months, a second injection will be given, as appropriate, into the contralateral kidney. In contrast, subjects in the control group will receive two sham injections, the first of which will be administered 12 weeks following sham biopsy, and the second of which will be administered three months after the first sham injection. During this time, subjects in the control group will receive contemporaneous, standard-of-care therapy for CKD while undergoing follow-up evaluations at the same time intervals as subjects in the treatment group. All subjects will continue in the study until they experience a qualifying event under the primary composite endpoint or reach the end of the study.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primary composite endpoint is the time from first injection to the earliest of:</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Subjects will complete the KDQOL and EQ-5D-5L surveys. Scores from the treatment group will be compared against scores from the control group. In addition, each subject’s baseline score will be compared against his or her KDQOL scores obtained over the 24-month period after the last REACT injection. Additionally, KDQOL scores from subjects who received a single REACT injection may be compared against scores from subjects who received two injections.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Enrollment for this study is planned to begin in the first quarter of 2023.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aim to evaluate data for REGEN-016 in mid-2025, with the potential for conditional FDA approval anticipated in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Congenital Anomalies of the Kidney and Urinary Tract (CAKUT)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1 (REGEN-004):</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REGEN-004 is a Phase 1, prospective, open-label, single-arm, safety, tolerability, and early efficacy study of REACT in subjects with CKD from CAKUT.</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primary objective of this study is to assess the safety and efficacy of up to two REACT injections given six months (up to four weeks after target date) apart and delivered into the biopsied kidney using a minimally invasive percutaneous approach that can be delivered under conscious sedation in less than 90 minutes in patients with Chronic Kidney Disease with eGFRs between 14 and 50 ml/min/1.73m2 due to Congenital Anomalies of the Kidneys and Urinary Tract. The planned enrollment is 15 subjects. Subjects will receive two doses of REACT of 3x106 cells/ g-KWest.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2021, five subjects were enrolled, all had received their first injection, and four subjects had received both injections.</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Early interim results as of August 2021 demonstrated that in three of the five subjects currently enrolled, renal function had improved to an annualized eGFR slope of 3.38 ml/min/1.73m2/year compared to their pre-dose slope of negative -4.19 ml/min/1.73m2/year. No adverse events have been associated with REACT. The minimally invasive percutaneous procedure has a well-tolerated safety profile consistent with renal biopsy. No adverse events have been reported to date.</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aim to complete the enrollment by the end of 2022 and obtain additional interim data in mid-2022. Results from interim data may not be indicative of results from future data.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Planned Studies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2 (REGEN-017)</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REGEN-017 is a planned Phase 2 study of REACT in subjects with diabetes and CKD who were previously enrolled in the sham control arm of either REGEN-006 or REGEN-016. Subjects will be enrolled in REGEN-017, either when a Phase 3 event is triggered or following completion of study visits in Phase 3 protocols.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of the subjects will receive the first REACT injection 12 weeks following renal biopsy. After three months, a second injection will be given, as appropriate, into the contralateral kidney. Subjects will continue for follow-up observation visits for a duration of 12 months following their second REACT injection before continuing into REGEN-008.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4 Clinical Development (REGEN-008)</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REGEN-008 is a Phase 4, prospective, open-label, observational extension study of REACT in subjects with diabetes and CKD who were previously enrolled and treated with cryopreserved REACT in the REGEN-006,</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82"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REGEN-007, REGEN-016 and REGEN-017 studies. The total planned enrollment is approximately 600 subjects with no control arm.</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primary objective of this study is to evaluate the long term safety of up to two REACT injections given three months apart and delivered percutaneously into biopsied and non-biopsied contralateral kidneys on renal function in participants with diabetes and CKD.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Subjects who had participated in REGEN-006, REGEN-007, and REGEN-016 with exposure to REACT will continue for long-term follow-up observation visits every three months (+ 10 days) alternating between clinic and telephone visits after enrollment for a duration of five years following their completion in the previous studies. Visits will include physical examinations, laboratory draws, documentation of vitals and assessment of any concomitant medical changes. Once a year, subjects will also be asked to complete KDQOL and EQ-5D-5L surveys.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aim to continue REGEN-008 long-term follow-up to 2030.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 4 Clinical Development (REGEN-009)</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REGEN-009 will be a prospective, open-label, observational extension study of REACT in subjects with CAKUT who were previously enrolled and treated with REACT in the REGEN-004, REGEN-005 and REGEN-011 studies. We plan to launch the REGEN-009 in late 2022.</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primary objective of this study is to assess the long-term safety and efficacy (including durability) of REACT on renal function in subjects with CAKUT.</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Subjects who participate in a CAKUT trial will continue for long-term follow-up observation visits every three months after enrollment for a duration of five years following their completion in the previous studies. Visits will include physical examinations, laboratory draws, documentation of vitals, and assessment of any concomitant medical changes. Once a year, subjects will also be asked to complete KDQOL and EQ-5D-5L surveys.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including developers of tubular and glomerular cell drug modulators, e.g., SGLT2 inhibitors, antifibrosis medications, e.g., Mineralocorticoid Receptor Antagonists—MRAs,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 therapies and new therapies that may become available in the future. We believe that the key competitive factors affecting the success of any of our product candidates will include efficacy, safety profile, dosing, cost, effectiveness of promotional support and intellectual property protection. With respect specifically to REACT, we expect the key competitive factors affecting its success, if approved, will include the intended patient population, the relative convenience of dosing and administration, and efficacy.</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Many other companies working on medications for controlling chronic kidney disease, either alone or with their collaboration partners, have significantly greater financial resources and expertise in research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28" w:lineRule="auto"/>
        <w:rPr>
          <w:sz w:val="20"/>
          <w:szCs w:val="20"/>
          <w:color w:val="auto"/>
        </w:rPr>
      </w:pPr>
      <w:r>
        <w:rPr>
          <w:rFonts w:ascii="Times New Roman" w:cs="Times New Roman" w:eastAsia="Times New Roman" w:hAnsi="Times New Roman"/>
          <w:sz w:val="18"/>
          <w:szCs w:val="18"/>
          <w:color w:val="auto"/>
        </w:rPr>
        <w:t>development, pre-clinical testing, clinical trials, manufacturing, and marketing than we do. We believe that our principal competitors include developers of SGLT2 inhibitors, including canagliflozin (marketed as Invokana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by companies including Janssen Pharmaceuticals, Inc.), dapagliflozin (marketed under the brand names Farxiga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Forxiga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by companies including AstraZeneca plc and Bristol-Myers Squibb Company), empagliflozin (marketed as Jardiance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by companies including Boehringer Ingelheim and Eli Lilly and Company) and finerenone (marketed as Kerendia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by companies including Bayer AG), and MRAs, which are small-molecule therapies recently approved to lower risks of CKD progression. Future collaborations and merger and acquisitions may result in further resource concentration among a smaller number of competitors.</w:t>
      </w:r>
    </w:p>
    <w:p>
      <w:pPr>
        <w:spacing w:after="0" w:line="20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With support from high level manufacturing and regulatory expertise, our internal manufacturing capabilities have enabled us to progress rapidly through our clinical trials. We believe that our current manufacturing capacities enable us to provide sufficient quantities of clinical trial material to supply the clinical trials. As we continue to develop our product candidates, we may need to expand our manufacturing capacities. The manufacturing facilities located in Winston Salem, North Carolina and the quality systems are fully compliant with cGMP and meet EU and FDA regulations. It usually takes approximately 12 weeks to produce the clinical REACT products. As of the date hereof, our manufacturing team, facilities, and bioprocess capacity have produced over 200 cell therapies. During our clinical trials, we have had a greater-than-95% success rate in creating a REACT product from a patient’s biopsy material.</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facility design and quality systems have been audited by European Qualified Persons (QP) and certified as compliant with EU cGMP requirements for phase 2/3 manufacturing. Our bioprocesses have been reviewed by the FDA and EMA and validation activities are ongoing in anticipation of being commercial-ready for the potential launch of REACT. We plan to build additional manufacturing capacity to meet the expanding demand.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commercial strategy focuses on process automation to scale up to meet the projected market for REACT, if we obtain the necessary regulatory approvals. We are collaborating with engineering companies such as DEKA Research &amp; Development Corp. to develop automated manufacturing processes for the potential commercial production of REACT, including a REACT launch facility after we complete the Phase 3 patient enrollment and dosing in 2026, and two commercial manufacturing facilities after we launch REACT.</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current costs of manufacturing REACT for use in our ongoing Phase 2 RMCL-002 study are approximately $100,000 per patient. We anticipate that these costs will be lower for our Phase 3 trials and that the costs will continue to decrease by up to 50% from the costs of manufacturing REACT for our Phase 2 RMCL-002 study as we manufacture REACT at commercial scale with implementation of automation, bioprocess developments, formulation improvements, and streamlining of the supply chain. We expect to utilize automation in all aspects of manufacturing ranging from tissue processing, cell expansion and renal cell selection to formulation and filling of the final product. We will also extend automation to other manufacturing activities, including warehouse operations and supply chain. In addition, we intend to improve bioprocess development to further reduce manufacturing costs of the commercial REACT product, assuming receipt of necessary regulatory approvals. Culture media represents the highest cost in REACT processing, and we are exploring reduced culture media usage via bioprocess and automation improvements. Further, our final commercial REACT product 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planned to be a cryopreserved formulation, which is projected to reduce manufacturing costs compared to our fresh REACT formulation. We expect to leverage bulk purchasing to actively negotiate pricing of materials to further drive cost reductions. However, there can be no assurance that the manufacturing costs for our Phase 3 trials when we manufacture REACT at commercial scale will actually be lower than for our ongoing Phase 2 RMCL-002 study.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REACT in a manner that results in lower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dated February 15, 2021, by and between George Clinical PTY Limited and ProKidney-KY</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ProKidney-KY entered into a Master Services Agreement dated February 15, 2021 (the “George Clinical MSA”) with George Clinical PTY Limited (“George Clinical”), upon which George Clinical agreed to provide ProKidney-KY with certain clinical research services pursuant to work orders, including the setup and management of an Endpoint Adjudication Committee for ProKidney-KY’s protocol REGEN-006 and verification process for ProKidney-KY’s protocol REGEN-007, as well as a Data Safety Monitoring Board and a Steering Board Committee for ProKidney-KY’s development programs.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ProKidney-KY and George Clinical agreed to indemnify each other against certain third-party claims. The George Clinical MSA will continue until February 15, 2026, unless terminated earlier by either party. ProKidney-KY may terminate the George Clinical MSA upon 30 days’ prior written notice to George Clinical for any reason. Either party may terminate the George Clinical MSA (i) for material breach by the other party if, upon 30 days’ prior written notice by the non-breaching party, the breach has not been cured, or (ii) upon the insolvency or declaration of bankruptcy of the other party. ProKidney-KY may terminate any work order immediately if (i) the relevant study is terminated, or (ii) George Clinical breaches a material term of the George Clinical MSA or does not perform the services to ProKidney-KY’s reasonable satisfaction and does not remedy the breach or perform satisfactorily within 30 days of receiving a notice from ProKidney-KY specifying the nature of the breach or non-performance. George Clinical may terminate any work order upon written notice if it believes on reasonable grounds that continued performance of the services poses an unacceptable risk to patient safety or may violate regulatory or scientific standards.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Engineering Services and License Memorandum and Agreement, dated January 16, 2022, by and between ProKidney-KY and DEKA Products Limited Partnership</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ProKidney-KY entered into a Research, Development, Engineering Services and License Memorandum and Agreement dated January 16, 2022 (the “RDELA”) with DEKA Products Limited Partnership and its general partner DEKA Research &amp; Development Corp. (collectively, “DEKA”) under which DEKA will work with ProKidney-KY to develop certain technology to enhance the Company’s manufacturing and delivery capabilities for REACT. Under the RDELA, ProKidney-KY pays DEKA for its work on these research and development projects on a cost-plus model. DEKA owns the resulting IP and grants ProKidney-KY an exclusive, royalty-free, world-wide license to the resulting IP for purposes related to the provisions of cell therapy for the treatment of renal insufficiency.</w:t>
      </w:r>
    </w:p>
    <w:p>
      <w:pPr>
        <w:spacing w:after="0" w:line="187"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RDELA, ProKidney-KY agrees to indemnify DEKA for claims arising out of the use of the technology licensed to ProKidney-KY (including losses related to IP infringement claims and personal injury or products liability claims) and DEKA agrees to indemnify ProKidney-KY for claims arising out of the use of the technologies developed and licensed to third parties.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of the RDELA extends through the commercial life of any licensed technology developed thereunder subject to termination for breach and for ProKidney-KY’s convenience.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initial payment for DEKA’s work under the RDELA was made through the issuance of 2,750,000 Class B-1 Units of ProKidney Management Equity LLC. All subsequent payments have been and will be made by ProKidney- KY in cash.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dated April 20, 2020, by and between IQVIA RDS Inc. and ProKidney-KY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ProKidney-KY entered into a Master Services Agreement dated April 20, 2020 (the “IQVIA MSA”) with IQVIA RDS, Inc. (“IQVIA”), under which IQVIA agreed to provide services for individual studies or projects of ProKidney-KY pursuant to work orders covering strategic planning, expert consultation, clinical trial services, statistical programming and analysis, data processing, data management, regulatory services, project management, pharmacovigilance, central laboratory services, clinical pharmacology services, electrocardiogram services and other services.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ProKidney-KY and IQVIA agreed to indemnify each other against certain third-party claims. The IQVIA MSA has an initial term of five years, or until terminated by either party, and will automatically renew each year for one-year periods, unless either party notifies the other party in writing at least 90 days prior to the renewal date that the notifying party wishes to terminate the IQVIA MSA. ProKidney-KY may terminate the IQVIA MSA without cause upon 60 days’ prior written notice to IQVIA. Either party may terminate the IQVIA MSA, or any work order thereunder, (i) for material breach by the other party if, upon 30 days’ prior written notice by the non-breaching party, the breach has not been cured, or (ii) upon the insolvency or declaration of bankruptcy of the other party. IQVIA may suspend services under if IQVIA reasonably determines that IQVIA’s performance under the IQVIA MSA, or a work order thereunder, would constitute a potential or actual violation of regulatory, scientific, or ethical standards.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Agreement for Clinical Trials Services, dated April 2, 2020, by and between ProKidney-KY and Frenova, LLC</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ProKidney-KY entered into a Master Agreement for Clinical Trials Services, dated April 2, 2020 (the “Frenova MSA”) with Frenova, LLC d/b/a Frenova Renal Research (“Frenova”), under which Frenova agreed to provide ProKidney-KY with certain services related to the implementation and management of clinical development programs pursuant to statements of work (“</w:t>
      </w:r>
      <w:r>
        <w:rPr>
          <w:rFonts w:ascii="Times New Roman" w:cs="Times New Roman" w:eastAsia="Times New Roman" w:hAnsi="Times New Roman"/>
          <w:sz w:val="18"/>
          <w:szCs w:val="18"/>
          <w:i w:val="1"/>
          <w:iCs w:val="1"/>
          <w:color w:val="auto"/>
        </w:rPr>
        <w:t>SOWs</w:t>
      </w:r>
      <w:r>
        <w:rPr>
          <w:rFonts w:ascii="Times New Roman" w:cs="Times New Roman" w:eastAsia="Times New Roman" w:hAnsi="Times New Roman"/>
          <w:sz w:val="18"/>
          <w:szCs w:val="18"/>
          <w:color w:val="auto"/>
        </w:rPr>
        <w:t>”) encompassing such services for ProKidney-KY’s protocols RMCL-002, REGEN-006 and REGEN-007.</w:t>
      </w:r>
    </w:p>
    <w:p>
      <w:pPr>
        <w:spacing w:after="0" w:line="180"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The Frenova MSA has an initial term of five years, or until terminated by either party, and will automatically renew each year for one-year periods, unless either party notifies the other party in writing at least 60 days prior to the renewal date that the notifying party wishes to terminate the Frenova MSA. ProKidney-KY may terminate the Frenova MSA or any SOW thereunder upon 60 days’ prior written notice to Frenova for any reason. Frenova may terminate the Frenova MSA for material breach under the Frenova MSA by ProKidney-KY if, upon 60 days’ prior written notice, the breach has not been cured. Additionally, Frenova may terminate any SOW upon 30 days’ prior written notice if (i) ProKidney-KY cancels or materially delays the requested services; (ii) unanticipated material changes to the project assumptions cannot be addressed to both parties’ satisfaction;</w:t>
      </w:r>
    </w:p>
    <w:p>
      <w:pPr>
        <w:spacing w:after="0" w:line="5" w:lineRule="exact"/>
        <w:rPr>
          <w:sz w:val="20"/>
          <w:szCs w:val="20"/>
          <w:color w:val="auto"/>
        </w:rPr>
      </w:pPr>
    </w:p>
    <w:p>
      <w:pPr>
        <w:ind w:left="120" w:hanging="4"/>
        <w:spacing w:after="0" w:line="271" w:lineRule="auto"/>
        <w:tabs>
          <w:tab w:leader="none" w:pos="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study protocol cause enrollment targets to become commercially unreasonable; or (iv) ProKidney-KY is unable to make timely payments to Frenova resulting in Frenova lacking funds to process payments to the trial sites. Either party may terminate the Frenova MSA or any SOW thereunder (i) upon the insolvency or declaration of bankruptcy of the other party, (ii) if the other party is excluded, suspended, sanctioned or otherwise restricted from participating in federal health care programs, or (iii) the performance of the service would constitute a potential or actual violation of legal, regulatory, scientific, or ethical standards. ProKidney-KY and Frenova also agreed to indemnify each other against certain third-party claims.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dated May 1, 2019, by and between PPD Development, LP and ProKidney-KY</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ProKidney-KY entered into a Master Services Agreement dated May 1, 2019 (the “PPD MSA”) with PPD Development, L.P. (“PPD”), under which PPD agreed to perform clinical development services in connection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with ProKidney-KY’s clinical research programs, and ProKidney-KY agreed to pay PPD in accordance with rates for such services, as set forth in the project addenda.</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PPD MSA has an initial term of five years and may be extended by mutual written agreement of the parties. ProKidney-KY may terminate any project addendum under the PPD MSA without cause upon 30 days’ prior written notice. Either party may terminate any project addendum under the PPD MSA upon the other party’s breach of the PPD MSA or project addendum upon 30 days’ prior written notice, provided that the breach is not cured within such 30-day period. Either party may terminate the PPD MSA or any project addendum thereunder upon the occurrence of certain insolvency events. ProKidney-KY and PPD also agreed to indemnify each other against certain third-party claims.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dated August 14, 2015, by and between CTI Clinical Trial Services Inc. and RegenMedTX, LLC</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RegenMedTX, LLC (“RegenMedTX”), a subsidiary of ProKidney-KY, entered into a Master Services Agreement dated August 14, 2015 (the “CTI MSA”) with CTI Clinical Trial Services, Inc. &amp; CTI Clinical Consulting Services, Inc. (“CTI”), under which CTI agreed to provide RegenMedTX with certain clinical research or design and development services in connection with ProKidney-KY’s clinical trials pursuant to work orders.</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RegenMedTX will own all materials, documents and information obtained by, developed by or provided to CTI by or on behalf of RegenMedTX as a part of CTI’s services or any work order thereunder. The CTI MSA will continue unless terminated by the parties. Either party may terminate the CTI MSA or a work order for any reason upon 90 days’ prior written notice to the other party or for material breach by the other party upon 30 days’ written notice, provided that the material breach has not been cured within the 30-day period. RegenMedTX may immediately terminate the CTI MSA, or a work order thereunder, if (i) the FDA withdraws authorization and approval to conduct a study or (ii) RegenMedTX reasonably determines that for medical, clinical or patient safety reasons, a study should terminate immediately.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Laboratory Service Agreements with LabCorp</w:t>
      </w:r>
    </w:p>
    <w:p>
      <w:pPr>
        <w:spacing w:after="0" w:line="119"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Laboratory Service Agreement, dated August 16, 2016, by and among Covance Central Laboratory Services LP, Covance Central Laboratory Services SA` RL and ProKidney-KY</w:t>
      </w:r>
    </w:p>
    <w:p>
      <w:pPr>
        <w:spacing w:after="0" w:line="5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August 2016, ProKidney-KY entered into a Laboratory Service Agreement with Covance Central Laboratory Services LP and Covance Central Laboratory Services SA` RL (now known as Labcorp, as described further below) (the “2016 LSA”), under which Labcorp agreed to perform certain services for ProKidney-KY’s protocol RMCL-002.</w:t>
      </w:r>
    </w:p>
    <w:p>
      <w:pPr>
        <w:spacing w:after="0" w:line="1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initial term of the 2016 LSA was 42 months, subject to automatic renewal for successive one-year periods unless a party provides the other party with written notice of its intention to not renew at least 60 days prior to the commencement of a renewal term. Either party may terminate the 2016 LSA upon written notice to the other party, effective immediately, if (i) the other party commits a material breach of any term of the 2016 LSA and fails to remedy such breach within a 30-day period, (ii) the other party repeatedly breaches any term of the 2016 LSA, (iii) anyone commences bankruptcy proceedings against the other party, which proceedings are not dismissed within 60 days, (iv) a court of competent jurisdiction appoints a custodian for the other party or substantially all of its assets, (v) the other party fails to pay its debts as they fall due, or (vi) any event occurs or proceeding is initiated having a similar effect to the events mentioned above. ProKidney-KY may terminate the 2016 LSA for any reason upon 90 days’ prior written notice to Labcorp. ProKidney-KY granted Labcorp an unrestricted, royalty-free license to aggregate and use any system data produced by or for Labcorp as part of the services with other system data owned or licensed by Labcorp provided Labcorp does not identify such data as belonging to ProKidney-KY.</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82"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Laboratory Service Agreement, dated August 1, 2017, by and among Covance Central Laboratory Services LP, Covance Central Laboratory Services SA` RL and ProKidney-KY</w:t>
      </w:r>
    </w:p>
    <w:p>
      <w:pPr>
        <w:spacing w:after="0" w:line="5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August 2017, ProKidney-KY entered into a Laboratory Service Agreement with Labcorp (the “2017 LSA”). Under the terms of the 2017 LSA, Labcorp agreed to perform certain services for ProKidney’s protocol REGEN-003. The 2017 LSA has substantially similar terms and termination provisions to the 2016 LSA.</w:t>
      </w:r>
    </w:p>
    <w:p>
      <w:pPr>
        <w:spacing w:after="0" w:line="282"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Laboratory Service Agreement, dated June 21, 2019, by and among Covance Central Laboratory Services LP, Covance Central Laboratory Services SA` RL and ProKidney-KY</w:t>
      </w:r>
    </w:p>
    <w:p>
      <w:pPr>
        <w:spacing w:after="0" w:line="5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June 2019, ProKidney-KY entered into a Laboratory Service Agreement with Labcorp (the “2019 LSA”). Under the terms of the 2019 LSA, Labcorp agreed to perform certain services for ProKidney-KY’s protocol REGEN-004. The 2019 LSA has an initial term of 50 months and will renew automatically for successive one- year periods unless a party provides the other party with written notice of its intention to not renew at least 60 days prior to the commencement of a renewal term. The parties may terminate the 2019 LSA under terms that are substantially similar to the termination provisions of the 2016 LSA and 2017 LSA.</w:t>
      </w:r>
    </w:p>
    <w:p>
      <w:pPr>
        <w:spacing w:after="0" w:line="289"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Laboratory Service Agreement, dated September 16, 2021, by and among Labcorp Central Laboratory Services LP, Labcorp Central Laboratory Services SA` RL and ProKidney-KY</w:t>
      </w:r>
    </w:p>
    <w:p>
      <w:pPr>
        <w:spacing w:after="0" w:line="5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ProKidney-KY and Labcorp Central Laboratory Services LP (formerly known as Covance Central Laboratory Services LP) and Labcorp Central Laboratory Services SA` RL (formerly known as Covance Central Laboratory Services SA` RL) (Collectively, “Labcorp”) entered into a Laboratory Service Agreement dated September 16, 2021 (the “Labcorp LSA”), under which Labcorp agreed to perform certain services for ProKidney-KY’s protocol REGEN-006.</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term of the Labcorp LSA will continue until the conclusion of the REGEN-006 study. Either party may terminate the Labcorp LSA under terms that are substantially similar to the termination provisions of the 2016 LSA, the 2017 LSA and the 2019 LSA, as well as pursuant to certain insolvency events. ProKidney-KY and Labcorp also agreed to indemnify each other against certain third-party claims. ProKidney-KY granted Labcorp an unrestricted, royalty-free license to aggregate and use any system data produced by or for Labcorp as part of the services with other system data owned or licensed by Labcorp provided Labcorp does not identify such data as belonging to ProKidney-KY.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For example, we have or are pursuing patents covering the composition of matter for each of our product candidates and we generally pursue patent protection covering methods-of-use for each clinical trial. We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clinical data exclusivity to compensate for the time required for regulatory approval of our products.</w:t>
      </w:r>
    </w:p>
    <w:p>
      <w:pPr>
        <w:spacing w:after="0" w:line="188"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technologies and product candidates. We plan to file additional patent applications based on our intellectual property strategies where appropriate, including where we seek to adapt to competition or to improve business opportunities. Further, we plan to file patent applications, as we consider appropriate under the circumstances, to protect new technologies that we develop.</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cover our proprietary technologies, proprietary cell-based REACT product and related methods, such as methods of use, we have filed patent applications representing 15 patent families. As of July 31, 2022, our patent estate, which is solely owned, included 286 total issued patents or pending patent applications with nine issued U.S. patents, nine pending U.S. non-provisional patent applications, five pending U.S. provisional patent applications, two pending Patent Cooperation Treaty (PCT) applications, 168 issued foreign patents and 93 pending foreign patent applications in various foreign jurisdictions.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Specifically, our patent family with claims directed to cells formulated in REACT, implantable constructs, and methods of using the same to, for example, improve kidney function or treat kidney disease, includes 30 issued patents and 10 pending patent applications. Patents in this family have been issued in nine jurisdictions, including the United States (three issued patents), Europe (two issued patents, each separately validated in seven countries), China, Japan, and South Korea. Issued patents and any further patents that may be issued from this family’s 10 pending applications are expected to expire in 2029 absent any patent term adjustments or extensions.</w:t>
      </w:r>
    </w:p>
    <w:p>
      <w:pPr>
        <w:spacing w:after="0" w:line="183"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We also own two patent families directed to our REACT formulations and methods of preparing the formulations. Across these families, we have 13 issued patents in multiple jurisdictions, including the United States, China, Japan, South Korea, and Canada. We also have 13 patent applications that are pending in multiple jurisdictions, including the United States, Europe, China, Japan, Hong Kong, South Korea, Canada, Mexico, and Australia.</w:t>
      </w:r>
    </w:p>
    <w:p>
      <w:pPr>
        <w:spacing w:after="0" w:line="1"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Patents across these two patent families, including any patents that may be issued from the pending applications, are expected to expire between 2031 and 2038, depending upon their respective filing dates and absent any patent term adjustments or extensions.</w:t>
      </w:r>
    </w:p>
    <w:p>
      <w:pPr>
        <w:spacing w:after="0" w:line="18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we own two patent families with claims directed to quality control methods for ensuring that renal cells for formulation in REACT, prepared by our proprietary methods, have phenotypic and functional profiles indicative of therapeutic activity. Within the first patent family, we have 58 issued patents in various jurisdictions, including the United States (two issued patents), Europe (two issued patents, one of which has been validated in 21 countries and the other has been validated in 20 countries), China, Japan (two issued patents), South Korea (two issued patents), Hong Kong, Australia (two issued patents), and New Zealand (two issued patents) and are expected to expire in 2033 absent any patent term adjustments or extensions. We also have nine patent applications that are pending in multiple jurisdictions, including the United States, Europe, Australia, China, and South Korea, and are expected to expire in 2033 absent any patent term adjustments or extensions. Our second patent family includes a PCT stage application. Any patents that issue from a national or regional stage application filed from this PCT application are expected to expire in 2041 absent any patent term adjustments or extensions.</w:t>
      </w:r>
    </w:p>
    <w:p>
      <w:pPr>
        <w:spacing w:after="0" w:line="18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further own three patent families directed to methods of improving kidney function and/or in treating kidney disease, e.g., diabetic kidney disease or kidney disease resulting from a congenital anomaly. Across these families, we have three issued patents, including one U.S. patent and 28 pending patent applications filed in 15 jurisdictions, including the United States, Europe, Hong Kong, China, Korea, Japan, Australia, Brazil, Mexico, Israel, Canada, and Mexico. Our issued U.S. patent is expected to expire in 2037 absent any patent term adjustments or extensions. Patents across all three patent families, if issued, are expected to expire between 2036 and 2042, depending upon their respective filing dates and absent any patent term adjustments or extensions.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plan to file additional applications on aspects of our innovations that may have patent terms that extend beyond these dates.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the countries in which we currently file, the patent term is 20 years from the earliest date of filing of a non-provisional patent application, which serves as a priority application. However, the term of a U.S. patent may be extended to compensate for the time required to obtain regulatory approval to sell a medicine (a patent term extension) or by delays encountered during patent prosecution that are caused by the USPTO (referred to as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82"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patent term adjustment). For example, the Hatch-Waxman Act permits a patent term extension for FDA-approved medicines of up to five years beyond the expiration of the patent. The length of the patent term extension is related to the length of time the medicine is under regulatory review and diligence during the review process. Patent term extensions cannot extend the remaining term of a patent beyond a total of 14 years from the date of product approval and only one patent covering an approved medicine or its method of use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spacing w:after="0" w:line="19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obtain and maintain a proprietary position on our product candidates and technologies will depend on our success in obtaining effective patent claims on these pending patents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Furthermore, our competitors may be able to independently develop and commercialize products with similar mechanisms of action and duplicate our methods of treatments or strategies without infringing our patents. Because of the extensive time required for clinical development and regulatory review of a therapeutic product we may develop, it is possible that, before any of our products can be commercialized, any related patent may expire or remain in force for only a short period following commercialization, thereby reducing any advantage of any such patent. Moreover, even our issued patents do not guarantee us the right to practice our technology in relation to the commercialization of our clinical candidates. The area of patent and other intellectual property rights in pharmaceuticals is an evolving one with many risks and uncertainties, and third parties may have blocking patents that could be used to prevent us from commercializing our clinical candidates.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obtain and maintain our proprietary position for our product candidates and technology will depend on our success in enforcing the claims that have been granted or may grant. However, any of our patents, including patents that we may rely on to protect our market for approved therapeutics,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countries may diminish our ability to protect our inventions and enforce our intellectual property rights. Accordingly, we cannot predict the breadth or enforceability of claims that have been or may be granted in our patents or in third-party patents.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biological products, including cell-based regenerative therapy products, are subject to regulation under the Federal Food, Drug, and Cosmetic Act (the “FD&amp;C Act”), the Public Health Service Act (the “PHS Act”) and other federal, state, local and foreign statutes and regulations. Both the FD&amp;C Act and the PHS Act and their corresponding regulations govern, among other things, the research, development, clinical trial, testing, manufacturing, safety, efficacy, labeling, packaging, storage, record keeping, distribution, reporting, advertising and other promotional practices involving biological products. Each clinical trial protocol for a cell- based therapy product must be reviewed by the FDA. FDA approval must be obtained before the marketing of any biological product. The process of obtaining regulatory approvals and the subsequent compliance with appropriate federal, state, local and foreign statutes and regulations requires the expenditure of substantial time and financial resources and we may not be able to obtain the required regulatory approvals.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Ethical, social and legal concerns about gene or cell-based therapies, genetic testing and genetic research could result in additional laws and regulations restricting or prohibiting the processes we may use. Federal and state legislatures, agencies, congressional committees and foreign governments have expressed interest in further regulating biotechnology. More restrictive laws and regulations or interpretations of existing laws or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80" w:right="6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GLP, and applicable requirements for the humane use of laboratory animals or other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IRB, or ethics committee at each clinical trial site before each clinical trial may be initiated;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applicable IND regulations, good clinical practices, or GCPs and other clinical-trial related regulation, to evaluate the safety and efficacy of the investigational biological product for each proposed indication;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sufficient evidence of establishing the safety, purity, and potency of the proposed biological product for each proposed indication, including from results of nonclinical testing and clinical trials;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compliance with the FDA’s cGTPs for the use of human cellular and tissue products;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to assure compliance with GLP and GCP and the integrity of the clinical data submitted in support of the BLA;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Before testing any biological product candidate, including a cell-based regenerative therapy product, in humans, the product candidate enters the preclinical testing stage. Preclinical tests, also referred to as nonclinical studies, include laboratory evaluations of a product candidate’s biological characteristics, chemistry, toxicity, stability and formulation, as well as animal studies to assess the potential safety and activity of the product candidate.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conduct of the preclinical tests must comply with federal regulations and requirements including GLP. Some long-term preclinical testing, such as animal tests of reproductive adverse events and carcinogenicity, may continue after an IND for an investigational drug candidate is submitted to the FDA and human clinical trials have been initiated.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qualified investigators. Clinical trials are conducted under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 IND is an exemption from the FD&amp;C Act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biologic product candidate that is not the subject of an approved BLA.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clinical trials can begin.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submission of an IND may not result in the FDA allowing clinical trials to commence.</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regulatory requirements of the FDA in order to use the study as support for an IND or application for marketing approval or licensing. In particular, such studies must be conducted in accordance with GCP, including review and approval by an IEC and informed consent from subjects and must meet other clinical trial requirements, such as sufficient patient population size and statistical powering. The FDA must be able to validate the data through an onsite inspection, if deemed necessary by the FDA.</w:t>
      </w:r>
    </w:p>
    <w:p>
      <w:pPr>
        <w:spacing w:after="0" w:line="180"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Some trials are overseen by an independent group of qualified experts organized by the trial sponsor, known as a DSMB. This group provides authorization as to whether or not a trial may move forward at designated check points based on access that only the group maintains to available data from the study.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National Institutes of Health’s (NIH) Final Rule on ClinicalTrials.gov registration and reporting requirements became effective in 2017, and both NIH and FDA have recently begun enforcing those requirements against non-compliant clinical trial sponsors.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Clinical trials typically are conducted in three sequential phases that may overlap or be combined:</w:t>
      </w:r>
    </w:p>
    <w:p>
      <w:pPr>
        <w:spacing w:after="0" w:line="129" w:lineRule="exact"/>
        <w:rPr>
          <w:sz w:val="20"/>
          <w:szCs w:val="20"/>
          <w:color w:val="auto"/>
        </w:rPr>
      </w:pPr>
    </w:p>
    <w:p>
      <w:pPr>
        <w:ind w:left="1080" w:right="12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85" w:lineRule="exact"/>
        <w:rPr>
          <w:rFonts w:ascii="Times New Roman" w:cs="Times New Roman" w:eastAsia="Times New Roman" w:hAnsi="Times New Roman"/>
          <w:sz w:val="18"/>
          <w:szCs w:val="18"/>
          <w:color w:val="auto"/>
        </w:rPr>
      </w:pPr>
    </w:p>
    <w:p>
      <w:pPr>
        <w:ind w:left="1080" w:right="520" w:hanging="424"/>
        <w:spacing w:after="0" w:line="267"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candidate for specific targeted diseases and to determine dosage tolerance, optimal dosage and dosing schedule.</w:t>
      </w:r>
    </w:p>
    <w:p>
      <w:pPr>
        <w:spacing w:after="0" w:line="7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product candidate and provide, if appropriate, an adequate basis for approval and product labeling. These trials may include comparisons with placebo and/or other comparator treatments. The duration of treatment is often extended to mimic the actual use of a product during marketing.</w:t>
      </w:r>
    </w:p>
    <w:p>
      <w:pPr>
        <w:spacing w:after="0" w:line="18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approval of a BLA.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such information. Phase 1, Phase 2 and Phase 3 clinical trials may not be completed successfully within any specified period, if at all.</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Human cell-based products administered directly into kidney tissue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purity and potency of human cell-based therapy products, or that the data generated in these studies will be acceptable to the FDA to support marketing approval.</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To support marketing approval, the data submitted must be sufficient in quality and quantity to establish the safety, purity, potency and efficacy of the investigational product for its proposed indication or indications to the satisfaction of the FDA. The testing and approval processes require substantial time and effort and there can be no assurance that the FDA will accept the BLA for filing and, even if filed, that any approval will be granted on a timely basis, if at all.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as amended (“PDUFA”), each BLA must be accompanied by a significant user fee (for example, for fiscal year 2022, this application fee exceeds $3.1 million). The FDA adjusts the PDUFA user fees on an annual basis. PDUFA also imposes an annual program fee for registered biologic product manufacturers, currently more than $300,000 per program. Fee waivers or reductions are available in certain circumstances, including a waiver of the application fee for the first application filed by a small business.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an in-depth substantive review of the BLA. The FDA reviews the BLA to determine, among other things, whether the proposed product is safe, pure, potent and effective for its proposed indication or indications and whether the product is being manufactured in accordance with cGMP to ensure the continued safety, purity and potency of such product.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performance goals and policies implemented by the FDA under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due to FDA requests for additional information or clarification. The review process and the PDUFA goal date may be extended by the FDA for three additional months to consider new information or in the case of a clarification provided by the applicant to address an outstanding deficiency identified by the FDA following the original submission.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cell-based therapy product, the FDA also will not approve the product if the manufacturer is not in compliance with the cGTPs. These are FDA regulations that govern the methods used in, and the facilities and controls used for, the manufacture of human cells, tissues, and cellular and tissue-based products (“HCT/ 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appropriate screening and testing.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the FDA may refer any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review process. The FDA also may require submission of a REMS if it determines that a REMS is necessary to ensure that the benefits of the medicine outweigh its risks and to assure the safe use of the medicine or biological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(“PREA”), a BLA or supplement to a BLA for a novel product (e.g., new active ingredient, new indication, etc.)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may grant deferrals for submission of data or full or partial waivers. The PREA requires a sponsor who is planning to submit a marketing application for a product that includes a new active ingredient, new indication, new dosage form, new dosing regimen or new route of administration to submit an initial Pediatric Study Plan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PSP</w:t>
      </w:r>
      <w:r>
        <w:rPr>
          <w:rFonts w:ascii="Times New Roman" w:cs="Times New Roman" w:eastAsia="Times New Roman" w:hAnsi="Times New Roman"/>
          <w:sz w:val="18"/>
          <w:szCs w:val="18"/>
          <w:color w:val="auto"/>
        </w:rPr>
        <w:t>”),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18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and the facility in which it is manufactured, processed, packed or held meets standards designed to assure the product’s continued safety, purity and potency. The approval process is lengthy and often difficult, and the FDA may refuse to approve a BLA if the applicable regulatory criteria are not satisfied or may require additional clinical or other data and information. On the basis of the FDA’s evaluation of the BLA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applicant may choose to either resubmit the BLA addressing all of the deficiencies identified in the letter, or withdraw the application. If and when those deficiencies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197"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Fast Track, RMAT and Priority Review Designations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RMAT designation and priority review, that are intended to expedite or simplify the process for the development or FDA review of medicines and biologics that are intended for the treatment of serious or life-threatening diseases or conditions. These programs do not change the standards for approval but may help expedite the development or approval process.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 be eligible for fast-track designation, the FDA must determine, based on the request of a sponsor, that a new medicine or biological product is intended to treat a serious or life-threatening condition and demonstrates the potential to address an unmet medical need by providing a therapy where none exists or a therapy that may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from the clinical trial process.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part of the 21st Century Cures Act (the “Cures Act”), enacted in December 2016, Congress amended the FD&amp;C Act to facilitate an efficient development program for, and expedite review of regenerative medicine advanced therapies, or RMATs, which include cell and gene therapies, therapeutic tissue engineered products, human cell and tissue products, and combination products using any such therapies or products. REACT has received RMAT designation from the FDA. RMAT designation does not include HCT/Ps regulated solely under section 361 of the PHS Act and 21 Code of Federal Regulations Part 1271. This program is intended to facilitate efficient development and expedite review of regenerative medicine therapies that are intended to treat, modify, reverse, or cure a serious or life-threatening disease or condition. A sponsor may request that FDA designate a medicine as a RMAT concurrently with or at any time after submission of an IND. The FDA has 60 calendar days to determine whether the medicine meets the criteria, including whether there is preliminary clinical evidence indicating that the medicine has the potential to address unmet medical needs for a serious or life- 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real-world evidence, such as electronic health records; the collection of larger confirmatory data sets; or post-approval monitoring of all patients treated with such therapy prior to its approval.</w:t>
      </w:r>
    </w:p>
    <w:p>
      <w:pPr>
        <w:spacing w:after="0" w:line="19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Finally, the FDA may designate a product for priority review if it is a medicine or biologic that treats a serious condition and, if approved, would provide a significant improvement in safety or effectiveness. The FDA determines at the time that the marketing application is submitted, on a case-by-case basis, whether the proposed medicine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 New Molecular Entity NDA from the date of filing.</w:t>
      </w:r>
    </w:p>
    <w:p>
      <w:pPr>
        <w:spacing w:after="0" w:line="192" w:lineRule="exact"/>
        <w:rPr>
          <w:sz w:val="20"/>
          <w:szCs w:val="20"/>
          <w:color w:val="auto"/>
        </w:rPr>
      </w:pPr>
    </w:p>
    <w:p>
      <w:pPr>
        <w:jc w:val="both"/>
        <w:ind w:left="120" w:right="540" w:firstLine="440"/>
        <w:spacing w:after="0" w:line="289" w:lineRule="auto"/>
        <w:rPr>
          <w:sz w:val="20"/>
          <w:szCs w:val="20"/>
          <w:color w:val="auto"/>
        </w:rPr>
      </w:pPr>
      <w:r>
        <w:rPr>
          <w:rFonts w:ascii="Times New Roman" w:cs="Times New Roman" w:eastAsia="Times New Roman" w:hAnsi="Times New Roman"/>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RMAT therapy designation and priority review do not change the standards for approval and may not ultimately expedite the development or approval process.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82"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product has an effect on a surrogate endpoint that is reasonably likely to predict clinical benefit. The FDA may also grant accelerated approval for such a medicine or biologic when the product has an effect on an intermediate clinical endpoint that can be measured earlier than an effect on irreversible morbidity or mortality (“</w:t>
      </w:r>
      <w:r>
        <w:rPr>
          <w:rFonts w:ascii="Times New Roman" w:cs="Times New Roman" w:eastAsia="Times New Roman" w:hAnsi="Times New Roman"/>
          <w:sz w:val="18"/>
          <w:szCs w:val="18"/>
          <w:i w:val="1"/>
          <w:iCs w:val="1"/>
          <w:color w:val="auto"/>
        </w:rPr>
        <w:t>IMM</w:t>
      </w:r>
      <w:r>
        <w:rPr>
          <w:rFonts w:ascii="Times New Roman" w:cs="Times New Roman" w:eastAsia="Times New Roman" w:hAnsi="Times New Roman"/>
          <w:sz w:val="18"/>
          <w:szCs w:val="18"/>
          <w:color w:val="auto"/>
        </w:rPr>
        <w:t>”), and that is reasonably likely to predict an effect on IMM or other clinical benefit, taking into account the severity, rarity, or prevalence of the condition and the availability or lack of alternative treatments. As a condition of approval, the FDA may require that a sponsor of a medicine receiving accelerated approval perform post- 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medicine,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medicine.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medicine, even if the effect on the surrogate or intermediate clinical endpoint occurs rapidly. For example, accelerated approval has been used extensively in the development and approval of medicines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medicine’s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medicine. All promotional materials for product candidates being considered and approved under the accelerated approval program are subject to prior review by the FDA.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We must comply with applicable requirements in the cGMP and cGTP regulations, including quality control and quality assurance and maintenance of records and documentation. Entities involved in the manufacture and distribution of approved biologics and HCT/Ps are required to register their establishments with the FDA and certain state agencies, as well as applicable foreign counterparts, and 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periodic unannounced inspections by such governmental authorities for compliance with cGMP, cGTP and other laws. Accordingly, we must continue to expend time, money and effort in the area of production and quality control to maintain cGMP compliance. Future inspections by governmental authorities may identify compliance issues at our facilities that may disrupt production or distribution or require substantial resources to correct. In addition, the discovery of conditions that violate these rules, including failure to conform to cGMP or cGTP,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industry-sponsored scientific and educational activities, and promotional activities involving the internet, as well as the prohibition on promoting products for uses or in patient populations that are not described in the product’s approved labeling (known as “off-label use”).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9"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Once an approval or clearance of a medicine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73"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NDAs/BLAs or supplements to approved NDAs/BLAs, or suspension or revocation of product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medicine and medicine samples at the federal level, and sets minimum standards for the registration and regulation of pharmaceutical distributors by the states. Both the PDMA and state laws limit the distribution of prescription pharmaceutical product samples and impose requirements to ensure accountability in distribution. Furthermore, the Drug Supply Chain Security Act (“</w:t>
      </w:r>
      <w:r>
        <w:rPr>
          <w:rFonts w:ascii="Times New Roman" w:cs="Times New Roman" w:eastAsia="Times New Roman" w:hAnsi="Times New Roman"/>
          <w:sz w:val="18"/>
          <w:szCs w:val="18"/>
          <w:i w:val="1"/>
          <w:iCs w:val="1"/>
          <w:color w:val="auto"/>
        </w:rPr>
        <w:t>DSCSA</w:t>
      </w:r>
      <w:r>
        <w:rPr>
          <w:rFonts w:ascii="Times New Roman" w:cs="Times New Roman" w:eastAsia="Times New Roman" w:hAnsi="Times New Roman"/>
          <w:sz w:val="18"/>
          <w:szCs w:val="18"/>
          <w:color w:val="auto"/>
        </w:rPr>
        <w:t>”) was enacted with the aim of building an electronic system to identify and trace certain prescription medicines distributed in the United States, including most biological products. The DSCSA mandates phased-in and resource-intensive obligations for pharmaceutical manufacturers, wholesale distributors, and dispensers over a 10-year period that is expected to culminate in November 2023.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biological product may also obtain pediatric market exclusivity in the United States. 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The issuance of a Written Request does not require the sponsor to undertake the described studies.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Reference product exclusivity for biological products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March 2010, the ACA was enacted in the United States and included the BPCIA. The BPCIA amended the PHSA to create an abbreviated approval pathway for biological products that are biosimilar to or interchangeable with an FDA-licensed reference biological product. 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biosimilar product is defined as one that is highly similar to a reference product notwithstanding minor differences in clinically 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 The FDA approved the first interchangeable biosimilars, including an interchangeable monoclonal antibody biosimilar, in 2021.</w:t>
      </w:r>
    </w:p>
    <w:p>
      <w:pPr>
        <w:spacing w:after="0" w:line="19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biosimilar applicant must demonstrate that the product is biosimilar based on data from (1) analytical studies showing that the biosimilar product is highly similar to the reference product; (2) animal studies (including toxicity);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If pediatric studies are performed and accepted by the FDA as responsive to a Written Request,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7"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some countries have enacted or are considering enacting legal restrictions on the import or export of human genetic materials, cells or tissues. For example, in China, the Ministry of Science and Technology (“</w:t>
      </w:r>
      <w:r>
        <w:rPr>
          <w:rFonts w:ascii="Times New Roman" w:cs="Times New Roman" w:eastAsia="Times New Roman" w:hAnsi="Times New Roman"/>
          <w:sz w:val="18"/>
          <w:szCs w:val="18"/>
          <w:i w:val="1"/>
          <w:iCs w:val="1"/>
          <w:color w:val="auto"/>
        </w:rPr>
        <w:t>MOST</w:t>
      </w:r>
      <w:r>
        <w:rPr>
          <w:rFonts w:ascii="Times New Roman" w:cs="Times New Roman" w:eastAsia="Times New Roman" w:hAnsi="Times New Roman"/>
          <w:sz w:val="18"/>
          <w:szCs w:val="18"/>
          <w:color w:val="auto"/>
        </w:rPr>
        <w:t>”) and the former Ministry of Health in June 1998 jointly established the Interim Measures for the Administration of Human Genetic Resources in China. In July 2015, the MOST issued the Service Guide for the Examination and Approval of Sampling, Collecting, Trading, Exporting Human Genetic Resources, which provides that foreign entities that collect and use patients’ human genetic resources in clinical trials shall be required to file for an advance approval with the Human Genetic Resources Administration Office (“</w:t>
      </w:r>
      <w:r>
        <w:rPr>
          <w:rFonts w:ascii="Times New Roman" w:cs="Times New Roman" w:eastAsia="Times New Roman" w:hAnsi="Times New Roman"/>
          <w:sz w:val="18"/>
          <w:szCs w:val="18"/>
          <w:i w:val="1"/>
          <w:iCs w:val="1"/>
          <w:color w:val="auto"/>
        </w:rPr>
        <w:t>HGRAO</w:t>
      </w:r>
      <w:r>
        <w:rPr>
          <w:rFonts w:ascii="Times New Roman" w:cs="Times New Roman" w:eastAsia="Times New Roman" w:hAnsi="Times New Roman"/>
          <w:sz w:val="18"/>
          <w:szCs w:val="18"/>
          <w:color w:val="auto"/>
        </w:rPr>
        <w:t>”) through its online system.</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October 2017, the MOST issued the Circular on Optimizing the Administrative Examination and Approval of Human Genetic Resources, which simplified the approval process for collecting and using human genetic resources for the purpose of seeking marketing authorization of medicines in China.</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May 2019, the State Council of China issued the Regulation on the Administration of Human Genetic Resources (the “HGR Regulation”), which stipulates the approval requirements pertinent to research collaborations between Chinese and foreign-owned entities. Pursuant to this new rule, a new filing system (as opposed to the advance approval approach originally in place) is put in place for international clinical trials using Chinese patients’ biospecimens at clinical study sites without involving the export of such biospecimens outside of China. A notification filing that specifies the type, quantity and usage of the biospecimens, among others, with the HGRAO is required before conducting such clinical trials. The collection, use, and outbound transfer of Chinese patients’ biospecimens in international collaboration for basic scientific research involving export are still subject to the advance approval of the HGRAO.</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October 2020, the Standing Committee of the National People’s Congress promulgated the China Biosecurity Law, which became effective on April 15, 2021. The China Biosecurity Law reaffirms the regulatory requirements stipulated by the HGR Regulation while potentially increasing the administrative fines significantly in cases in which foreign entities are alleged to have collected, preserved or exported Chinese human genetic resources.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FCPA,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2"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clinical trials regulation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for each clinical trial to each country’s National Competent Authority (“NCA”) and at least one IEC, much like the FDA and an IRB, respectively. Once the CTA is approved in accordance with a country’s requirements, the corresponding clinical trial may proceed. Under the current regime (the EU Clinical Trials Directive 2001/20/EC and corresponding national laws) all suspected unexpected serious adverse reactions to the investigated medicine that occur during the clinical trial have to be reported to the NCA and ECs of the Member State where they occurred.</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Clinical Trials Regulation (EU) No 536/2014, which came into effect on January 31, 2022, there is a centralized application procedure where one EU Member State’s competent authority takes the lead in reviewing part I of the application, which contains scientific and medicinal product documentation, and the other national authorities only have limited involvement. Part II, which contains the national and patient-level documentation, is assessed individually by each EU Member State. Any substantial changes to the trial protocol or other information submitted with the CTA must be notified to or approved by the relevant competent authorities and ethics committees. Medicines used in clinical trials must be manufactured in accordance with good manufacturing practices. Other national and EU-wide regulatory requirements may also apply.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Medicinal product review and approval in the EEA</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EEA (comprised of the EU Member States plus Norway, Iceland and Liechtenstein), medicinal products, including ATMPs, are subject to extensive pre- and post-market regulation by regulatory authorities at both the EEA and national levels. Regulated in accordance with Regulation (EC) No 1394/2007 (the “ATMP Regulation”), ATMPs comprise gene therapy products, somatic cell therapy products and tissue engineered products. The CAT (as defined below) designated REACT as a tissue engineered product. Gene therapy products deliver genes into the body that lead to a therapeutic, prophylactic or diagnostic effect. We anticipate that REACT will be regulated as an ATMP in the EEA.</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obtain regulatory approval of an ATMP under EEA regulatory systems, we must submit a marketing authorization application (“MAA”) under the centralized procedure administered by the EMA. The application used to submit the BLA in the United States is similar to the required application process in the European Union, with the exception of, among other things, certain specific requirements set out in the ATMP Regulation, for example certain additional product characteristic information that must be included in the MAA. The centralized procedure provides for the grant of a single marketing authorization by the European Commission that is valid across all of the EEA. As provided for in the ATMP Regulation, the scientific evaluation of MAAs for ATMPs is primarily performed by a specialized scientific committee called the Committee for Advanced Therapies (the “CAT”). The CAT prepares a draft opinion on the quality, safety and efficacy of the ATMP which is the subject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82"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of the MAA, which is sent for final approval to the Committee for Medicinal Products for Human Use (the “CHMP”). The CHMP recommendation is then sent to the European Commission, which adopts a decision binding in all EEA Member States. The maximum timeframe for the evaluation of a MAA for an ATMP is 210 days from receipt of a valid MAA, excluding clock stops when additional information or written or oral explanation is to be provided by the applicant in response to questions of the CAT and/or CHMP. Clock stops may extend the timeframe of evaluation of a MAA considerably beyond 210 days. Where the CHMP gives a positive opinion, the EMA provides the opinion together with supporting documentation to the European Commission, which makes and issues the final decision to grant a marketing authorization within 67 days of receipt of the EMA’s recommendation. Accelerated assessment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European Union, Great Britain will no longer be covered by centralized marketing authorizations (under the Northern Ireland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(the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EEA also provides opportunities for market exclusivity. Upon receiving marketing authorization in the EEA,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during a period of eight years from the date on which the reference product was first authorized in the EEA. During the additional two-year period of market exclusivity, a generic or biosimilar marketing authorization can be submitted, and the innovator’s data may be referenced, but no generic or biosimilar product can be marketed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an innovative medicinal product gains the prescribed period of data exclusivity, another company may market another version of the product if such company obtained marketing authorization based on a MAA with a complete independent data package of pharmaceutical tests, preclinical tests and clinical trials. There is, however, no guarantee that a product will be considered by the European Union’s regulatory authorities to be an innovative medicinal product, and products may therefore not qualify for data exclusivity.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controls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marketing authorization must establish and maintain a pharmacovigilance system and appoint an individual qualified person for pharmacovigilance, who is responsible for oversight of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82"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system. Key obligations include expedited reporting of suspected serious adverse reactions and submission of periodic safety update reports (“PSURs”).</w:t>
      </w:r>
    </w:p>
    <w:p>
      <w:pPr>
        <w:spacing w:after="0" w:line="67" w:lineRule="exact"/>
        <w:rPr>
          <w:sz w:val="20"/>
          <w:szCs w:val="20"/>
          <w:color w:val="auto"/>
        </w:rPr>
      </w:pPr>
    </w:p>
    <w:p>
      <w:pPr>
        <w:ind w:left="1080" w:right="60" w:hanging="424"/>
        <w:spacing w:after="0" w:line="258"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Failure to comply with European Union and EU Member State laws that apply to the conduct of clinical trials, manufacturing approval, marketing authorization of medicinal products and marketing of such products (both before and after grant of the marketing authorization), manufacturing of pharmaceutical products, statutory health insurance, bribery and anti-corruption or with other applicable regulatory requirements may result in administrative, civil or criminal penalties. Such penalties could include delays or refusal to authorize the conduct of clinical trials or to grant the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June 2016, the electorate in the United Kingdom voted in favor of leaving the European Union (commonly referred to as “Brexit”). Thereafter, in March 2017, the country formally notified the European Union of its intention to withdraw pursuant to Article 50 of the Lisbon Treaty. The United Kingdom formally left the European Union on January 31, 2020. A transition period began on February 1, 2020, during which EU pharmaceutical law remained applicable to the United Kingdom. This transition period ended on December 31, 2020. Since the regulatory framework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as United Kingdom legislation now has the potential to diverge from EU legislation. It remains to be seen how Brexit will impact regulatory requirements for product candidates and products in the United Kingdom in the long-term. The MHRA, the United Kingdom medicines and medical devices regulator, has recently published detailed guidance for industry and organizations to follow from January 1, 2021 now that the transition period is over, which will be updated as the United Kingdom’s regulatory position on medicinal products evolves over time. On June 28, 2021, the European Commission issued a decision that the United Kingdom ensures an adequate level of protection for personal data transferred under the GDPR from the European Union to the United Kingdom.</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 care laws and compliance requirements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have to comply with various U.S. federal and state laws, rules and regulations pertaining to health care fraud and abuse, including anti-kickback laws and false claims laws, rules and regulations. Violations of the fraud and abuse laws are punishable by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criminal and civil sanctions, including, in some instances, exclusion from participation in federal and state health care programs, including Medicare and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Medicaid. These laws include:</w:t>
      </w:r>
    </w:p>
    <w:p>
      <w:pPr>
        <w:spacing w:after="0" w:line="112" w:lineRule="exact"/>
        <w:rPr>
          <w:sz w:val="20"/>
          <w:szCs w:val="20"/>
          <w:color w:val="auto"/>
        </w:rPr>
      </w:pPr>
    </w:p>
    <w:p>
      <w:pPr>
        <w:ind w:left="1080" w:hanging="424"/>
        <w:spacing w:after="0" w:line="255"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AKS,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 care program, such as the Medicare and Medicaid programs;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spacing w:after="0" w:line="94"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85"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 care benefits, items or services relating to health care matters; similar to the AKS, a person or entity does not need to have actual knowledge of the statute or specific intent to violate it in order to have committed a violation;</w:t>
      </w:r>
    </w:p>
    <w:p>
      <w:pPr>
        <w:spacing w:after="0" w:line="94" w:lineRule="exact"/>
        <w:rPr>
          <w:rFonts w:ascii="Times New Roman" w:cs="Times New Roman" w:eastAsia="Times New Roman" w:hAnsi="Times New Roman"/>
          <w:sz w:val="18"/>
          <w:szCs w:val="18"/>
          <w:color w:val="auto"/>
        </w:rPr>
      </w:pPr>
    </w:p>
    <w:p>
      <w:pPr>
        <w:jc w:val="both"/>
        <w:ind w:left="1080" w:right="140" w:hanging="424"/>
        <w:spacing w:after="0" w:line="257"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ACA, including the provision commonly referred to as the Physician Payments Sunshine Act, and its implementing regulations, which requires applicable manufacturers of medicines, devices, biologics and medical supplies for which payment is available under Medicare, Medicaid or the Children’s Health Insurance Program to report annually to the U.S.</w:t>
      </w:r>
    </w:p>
    <w:p>
      <w:pPr>
        <w:spacing w:after="0" w:line="1" w:lineRule="exact"/>
        <w:rPr>
          <w:rFonts w:ascii="Times New Roman" w:cs="Times New Roman" w:eastAsia="Times New Roman" w:hAnsi="Times New Roman"/>
          <w:sz w:val="18"/>
          <w:szCs w:val="18"/>
          <w:color w:val="auto"/>
        </w:rPr>
      </w:pPr>
    </w:p>
    <w:p>
      <w:pPr>
        <w:ind w:left="1080"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of Health and Human Services (“DHHS”) information related to payments or other transfers of value made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the providers described above and their immediate family; and</w:t>
      </w:r>
    </w:p>
    <w:p>
      <w:pPr>
        <w:spacing w:after="0" w:line="94"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and other anti-corruption laws and regulations pertaining to our financial relationships and interactions with foreign government officials, which prohibit U.S. companies and their employees, officers, and representatives from paying, offering to pay, promising, or authorizing the payment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anything of value to any foreign government official (including, potentially, healthcare professionals in countries in which we operate or may sell our products), government staff member, political party, or political candidate to obtain or retain business or to otherwise seek favorable treatment.</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November 2020, the DHHS finalized significant changes to the regulations implementing the AKS, as well as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Additionally, we are subject to state and foreign equivalents of each of the health 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 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 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7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imprisonment and/or exclusion or suspension from federal and state health care programs such as Medicare and Medicaid and debarment from contracting with the U.S. government. In addition, private individuals have the ability to bring actions on behalf of the U.S. government under the FCA as well as under the false claims laws of several states.</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Law enforcement authorities are increasingly focused on enforcing health care fraud and abuse laws, and it is possible that some of our practices may be challenged under these laws. Efforts to ensure that our current and future business arrangements with third parties, and our business generally, will comply with applicable health care laws and regulations will involve substantial costs. If our operations, including our arrangements with physicians and other health 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 care programs (such as Medicare and Medicaid), and imprisonment, any of which could adversely affect our ability to operate our business and our financial results. The approval and commercialization of any of our product candidates outside the United States will also subject us to foreign equivalents of the health care laws mentioned above, among other foreign laws.</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health care providers or entities with whom we expect to do business are found to be not in compliance with applicable laws, they may be subject to criminal, civil or administrative sanctions, including exclusions from government-funded health care programs, which may also adversely affect our business.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these laws have not been fully interpreted by the regulatory authorities or the courts, and their provisions are open to a variety of interpretations. Any action against us for violation of these laws, even if we successfully defend against it, could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 care company may violate one or more of the requirements. Efforts to ensure that our business arrangements with third parties will comply with applicable health care laws and regulations will involve substantial cost.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are federal, state and foreign laws governing the privacy and security of health information and personal information, many of which differ from each other in significant ways and apply simultaneously, thus complicating compliance efforts.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HIPAA, as amended by HITECH, and its implementing regulations, strengthens and expands requirements relating to the privacy, security, and transmission of individually identifiable health information; and requires notification to affected individuals and regulatory authorities of certain breaches of security of individually identifiable health information.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HITECH strengthened and expanded HIPAA and increased penalties for violations. Under HITECH, regulated entities are subject to enforcement by the federal government and by state Attorneys General, who were given authority to enforce HIPAA under HITECH. Some state laws impose privacy protections more stringent than HIPAA and data security requirements applicable to information beyond health care information (for example, the CCPA). These state laws create an additional level of enforcement and may require additional reporting in the event of breach. Most of the health care providers in the United States with whom we collaborate to develop and test our products must comply with HIPAA and applicable state law. We may not be directly subject to these laws, however, we must structure our activities in compliance with these laws to ensure that we can access and use health information to support our research, development and other activities. Our failure to comply with these privacy and security laws or a breach of health information or personal data could prompt enforcement against our health care provider partners, create third party liability for our company and/or cause significant financial or reputational harm to our company.</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also be subject to additional privacy restrictions. The collection, use, storage, disclosure, transfer, or other processing of personal data regarding individuals in the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For example,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December 2016, the Cures Act was signed into law. The Cures Act, among other things, was intended to modernize the regulation of pharmaceuticals and devices and to spur innovation, but its ultimate implementation is uncertain.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medicine and biological product provisions. The next legislative reauthorization must be completed in 2022, which has the potential to make further changes to FDA authorities or policies pertaining to biopharmaceutical products.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the containment of healthcare costs has become a priority of federal and state governments and the prices of therapeutics have been a focus in this effort.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and biosimilar products for branded prescription medicines and biologics, respectively. In recent years, the U.S. Congress has considered reductions in Medicare reimbursement levels for medicines and biologics administered by physicians. CMS, the agency that administers the Medicare and Medicaid programs, also has authority to revise reimbursement rates and to implement coverage restrictions for some medicines and biologics. Cost reduction initiatives and changes in coverage implemented through legislation or regulation could decrease utilization of and reimbursement for any approved products we may market in the future. While Medicare regulations apply only to pharmaceutical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ACA, as amended by the Health Care and Education Affordability Reconciliation Act, was enacted in 2010 and substantially changed the way healthcare is financed by both governmental and private insurers in the United States, and significantly impacted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With regard to biopharmaceutical products, the ACA, among other things, addressed a new methodology by which rebates owed by manufacturers under the Medicaid Drug Rebate Program are calculated for therapeutics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medicines, created a new Medicare Part D coverage gap discount program, and expanded the 340B drug discount program. As another example, the 2021 Consolidated Appropriations Act signed into law on December 27, 2020 incorporated extensive healthcare provisions and amendments to existing laws, including a requirement that all manufacturers of medicines and biological products covered under Medicare Part B report the product’s average sales price, to the DHHS beginning on January 1, 2022, subject to enforcement via civil money penalties.</w:t>
      </w:r>
    </w:p>
    <w:p>
      <w:pPr>
        <w:spacing w:after="0" w:line="19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since its enactment, and it is possible that there will be additional challenges and amendments to the ACA in the future.</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passage of the ACA that affect health care expenditures. These changes include aggregate reductions to Medicare payments to providers of up to 2% per fiscal year pursuant to the Budget Control Act of 2011, which began in 2013 and will remain in effect through 2030 unless additional Congressional action is taken. However, due to COVID-19 pandemic relief legislation and subsequent legislation, the 2% Medicare sequester reductions were suspended from May 1, 2020 through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June 30, 2021 (a 1% sequester applied from April 1, 2022 through June 30, 2022), and the sequester was extended in order to offset the added expense of the 2020 suspension. Further legislative and regulatory changes under the ACA remain possible, although the new administration under President Biden has signaled that it plans to build on the ACA and expand the number of people who are eligible for health insurance subsidies under it. President Biden indicated that he intends to use executive orders to undo changes to the ACA made by the former administration and would advocate for legislation to build on the ACA. It is unknown what form any such changes or any law would take, and how or whether it may affect the biopharmaceutical industry as a whole or our business in the future. We expect that changes or additions to the ACA, the Medicare and Medicaid programs, changes allowing the federal government to directly negotiate medicine prices,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recent years, there has been heightened governmental scrutiny over the manner in which biopharmaceutical manufacturers set prices for their marketed products. Such scrutiny has resulted in several recent U.S. Congressional inquiries and proposed and enacted federal and state legislation designed to, among other things, bring more transparency to medicine pricing, review the relationship between pricing and manufacturer patient programs, reduce the cost of medicines under Medicare, and reform government program reimbursement methodologies for pharmaceutical products. Congress and the executive branch have each indicated that it will continue to seek new legislative and/or administrative measures to control the costs of medicines, making this area subject to ongoing uncertainty.</w:t>
      </w:r>
    </w:p>
    <w:p>
      <w:pPr>
        <w:spacing w:after="0" w:line="187"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At the state level in the United States, legislatures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healthcare and pharmaceutical supply chain, an important decision that may lead to further and more aggressive efforts by states in this area.</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cell-based regenerative therapies for which we may obtain regulatory approval. In the United States and markets in other countries, sales of any cell-based therapies for which we receive regulatory approval for commercial sale will depend, in part, on the availability of coverage and reimbursement from payors. Payors include government authorities, managed care providers, private health insurers and other organizations. Patients who are prescribed treatments for their conditions and providers who prescribe such treatments generally rely on these third-party payors to reimburse all or part of the treatment and other associated health care costs. The process for determining whether a payor will provide coverage for a medicine, device or biologic product may be separate from the process for setting the reimbursement rate that the payor will pay for the product. Payors may limit coverage to specific products on an approved list, or formulary, which might not include all of the FDA-approved products for a particular indication. A decision by a payor not to cover our cell-based therapies could reduce physician utilization of our products, if they are approved, and have a material adverse effect on our sales, results of operations and financial condition. Moreover, a payor’s decision to provide coverage for a product does not imply that an adequate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reimbursement rate will be approved. Adequate third-party reimbursement may not be available to enable us to maintain price levels sufficient to realize an appropriate return on our investment in product development and manufacturing costs. Further, due to the COVID-19 pandemic, millions of individuals have lost or may lose employer-based insurance coverage, which may adversely affect our ability to commercialize our products in certain jurisdictions.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In the United States, the principal decisions about reimbursement for new medicines are typically made by CMS.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Additionally, the coverage determination process will require us to provide scientific and clinical support for the use of our products to each payor separately and will be a time-consuming process.</w:t>
      </w:r>
    </w:p>
    <w:p>
      <w:pPr>
        <w:spacing w:after="0" w:line="162"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compared to current standards of care, they may not cover the product as a benefit under their plans or, if they do, the level of payment may not be sufficient to allow a company to cover its costs or make a profit.</w:t>
      </w:r>
    </w:p>
    <w:p>
      <w:pPr>
        <w:spacing w:after="0" w:line="16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with the government authority. Furthermore, some countries may require the completion of additional studies that compare the effectiveness and/or cost-effectiveness of a particular therapy to current standards of care as part of so-called health technology assessments in order to obtain reimbursement or pricing approval. Additionally, there may be a need for activities to secure reimbursement for procedures associated with products administered in a hospital setting under the diagnosis-related group system, whereby a billing code may not exist or may be currently insufficient to cover the cost of the procedure. In other instances, countries may monitor and control product volumes and issue guidance to physicians to limit prescriptions in the form of treatment policies. Efforts to control prices and utilization of pharmaceutical products and medical devices will likely continue as countries attempt to manage health care expenditures.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July 31, 2022, ProKidney had 77 full-time employees. This included 26 in research and development, 41 in manufacturing, operations, quality control and quality assurance, and 10 in general and administrative functions. We have no collective bargaining agreements with our employees, and we have not experienced any work stoppages. We consider our relations with our employees to be good.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headquarters are located in Winston-Salem, North Carolina, where we lease approximately 38,400 square feet of office, manufacturing and research space, under a lease that expires on September 30, 2026. We have leased approximately 2,700 square feet of additional office space in Winston-Salem, which we plan to use as our new principal executive offices. This lease commenced in April 2022 and is expected to expire in April 2027. There is an additional office located in Raleigh, North Carolina where we lease approximately 2,200 square feet, under a lease that expires February 28, 2025. There was an amendment to the original lease for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Raleigh office. The amended lease is for approximately 5,700 square feet that will expire on January 31, 2027. Further, there has been an additional amendment to the original lease for the Raleigh office, which increases the total space to approximately 7,900 square feet and will expire on July 31, 2027. We believe our facilities are adequate for our current needs and that suitable additional substitute space would be available if needed.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20"/>
          </w:cols>
          <w:pgMar w:left="320" w:top="482" w:right="6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should be read together with the financial statements and the related notes to those statements included elsewhere in this prospectus. The discussion and analysis should also be read together with the pro forma financial information as of and for the three and six months ended June 30, 2022 and as of and for the year ended December 31, 2021 included in this prospectus. See “Unaudited Pro Forma Condensed Financial Information.” Some of the information contained in this discussion and analysis or set forth elsewhere in this prospectus, including information with respect to our plans and strategy for our business, includes forward- 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In this section, unless the context otherwise requires, references to “we,” “us,” “our,” the “Company” and “ProKidney” refer to ProKidney LP and its subsidiaries prior to the Closing and to ProKidney Corp. and its subsidiaries after the Closing, and “SCS” refers to SCS prior to the Closing.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CKD, shifting the emphasis away from management of kidney failure, to the restoration or improvement of kidney function to stop or delay progression of CKD. Our lead product candidate, which we refer to as REACT, is designed to stabilize or improve kidney function in a CKD patient’s diseased kidneys. REACT is a product that includes SRCs prepared from a patient’s own, autologous, renal cells. SRCs are formulated into a product for reinjection into the patient’s kidney using a minimally invasive outpatient procedure that can be repeated if necessary. Because REACT is a personalized treatment composed of cells prepared from a patient’s kidney, there is no need for treatment with immunosuppressive therapies, which are required during a patient’s lifetime when a patient receives a kidney transplant from another, allogeneic donor.</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currently conducting a Phase 3 development program and multiple Phase 2 clinical trials for REACT in subjects with moderate to severe diabetic kidney disease. We are also conducting a Phase 1 clinical trial for REACT in subjects with CAKUT. REACT has been well tolerated by subjects with moderate to severe diabetic kidney disease in Phase 1 and 2 clinical testing to date. It has also been shown, in Phase 1 and 2 clinical testing, to stabilize renal function in subjects based on measurements of iohexol renal clearance and UACR. REACT has received RMAT designation from the FDA.</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ProKidney Bermuda was incorporated under the laws of Bermuda in December 2018, and it was initially capitalized with $75.0 million to finance the purchase of ProKidney-KY and ProKidney-US, and to fund the clinical development of REACT. In December 2014, Tengion, whose assets were purchased in March 2015 by RegenMedTX, LLC, a predecessor to ProKidney, commenced a Chapter 7 Case by filing a voluntary petition for relief under the provisions of chapter 7 of title 11 of the United States Code, 11 U.S.C. §§ 101 et seq. in the Bankruptcy Court. As a result of the filing of the Chapter 7 Case, a Chapter 7 trustee was appointed by the Bankruptcy Court to assume control of Tengion.</w:t>
      </w:r>
    </w:p>
    <w:p>
      <w:pPr>
        <w:spacing w:after="0" w:line="183"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On August 5, 2021, ProKidney LP was formed as a limited partnership under the laws of Ireland, with ProKidney Bermuda becoming a wholly owned subsidiary of ProKidney LP. Since inception, ProKidney and its subsidiaries have devoted substantially all of their resources to raising capital, organizing and staffing, business and scientific planning, conducting discovery and research activities, acquiring or discovering product candidates, establishing and protecting their intellectual property portfolio, developing and progressing REACT and preparing for clinical trials, establishing arrangements with third parties for the manufacture of component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materials, and providing general and administrative support for these operations. We do not have any product candidates approved for sale and have not generated any revenue from product sales.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July 11, 2022, SCS and ProKidney LP completed the Business Combination, and SCS’s corporate name was changed to “ProKidney Corp.”</w:t>
      </w:r>
    </w:p>
    <w:p>
      <w:pPr>
        <w:spacing w:after="0" w:line="225"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combined company was organized in an umbrella partnership-C corporation (a so called “Up-C” structure). ProKidney Corp. is a holding company, and our direct assets consist of Post-Combination ProKidney Common Units and all of the issued and outstanding equity interests of GP, which became the general partner of ProKidney LP upon the Closing. ProKidney Corp. controls GP, with the rights of management specified in the Second Amended and Restated ProKidney Limited Partnership Agreement.</w:t>
      </w:r>
    </w:p>
    <w:p>
      <w:pPr>
        <w:spacing w:after="0" w:line="180"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From inception through June 30, 2022, ProKidney and its subsidiaries funded their operations primarily through capital contributions and promissory notes issued to certain ProKidney unitholders and have received aggregate net proceeds from these transactions of $186.5 million and $35.0 million, respectively. The $35.0 million received under the promissory notes was repaid at the Closing.</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incurred significant operating losses since inception, including net losses of $22.1 million and $12.7 million for the three months ended June 30, 2022 and 2021, respectively; $89.6 million and $24.3 million for the six months ended June 30, 2022 and 2021, respectively; and $55.1 million and $26.7 million for the years ended December 31, 2021 and 2020, respectively. As of June 30, 2022 and December 31, 2021, we had an accumulated deficit of $251.1 million and $161.5 million, respectively. We expect to continue to incur significant and increasing expenses and operating losses for the foreseeable future, particularly if and as we continue to invest in our research and development activities, expand our product pipeline, hire additional personnel,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tax-related, director and officer insurance, investor relations and other expenses that we did not incur as a private company. 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units. Our ability to raise additional funds may be adversely impacted by potential worsening global economic conditions and disruptions to and volatility in the credit and financial markets in the United States and worldwide resulting from the ongoing COVID-19 pandemic or other events. Because of the numerous risks and uncertainties associated with product development, we cannot predict the timing or amount of increased expenses or when or if we will be able to achieve or maintain profitability.</w:t>
      </w:r>
    </w:p>
    <w:p>
      <w:pPr>
        <w:spacing w:after="0" w:line="191"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As of June 30, 2022, we had cash and cash equivalents of $21.9 million. Additionally, we have remaining availability of $65.0 million under the ProKidney Promissory Notes. We expect that, having completed the Business Combination and accounting for $574.8 million received in the PIPE Investment, our cash and cash equivalents will enable us to fund our operating expenses and capital expenditure requirements through 2024. We have based this estimate on assumptions that may prove to be wrong and we could exhaust our capital resources sooner than we expect. If and to the extent we determine to raise additional capital in the future, there can be no assurance that such additional capital would be available on attractive terms, if at all. Further, if all of the Selling Securityholders were to sell all or a significant portion of their Class A ordinary shares registered for resale in</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82"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this prospectus, it could have a significant negative impact on the trading price of our Class A ordinary shares, which may make it more difficult for us to sell equity securities in the future at a time and at a price that we deem appropriate. See the risk factor entitled “</w:t>
      </w:r>
      <w:r>
        <w:rPr>
          <w:rFonts w:ascii="Times New Roman" w:cs="Times New Roman" w:eastAsia="Times New Roman" w:hAnsi="Times New Roman"/>
          <w:sz w:val="18"/>
          <w:szCs w:val="18"/>
          <w:i w:val="1"/>
          <w:iCs w:val="1"/>
          <w:color w:val="auto"/>
        </w:rPr>
        <w:t>If the Selling Securityholders sell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a substantial portion of their securities, this may negatively impact the market price of our Class A ordinary shares, and such holders still may receive significant proceeds</w:t>
      </w:r>
      <w:r>
        <w:rPr>
          <w:rFonts w:ascii="Times New Roman" w:cs="Times New Roman" w:eastAsia="Times New Roman" w:hAnsi="Times New Roman"/>
          <w:sz w:val="18"/>
          <w:szCs w:val="18"/>
          <w:color w:val="auto"/>
        </w:rPr>
        <w:t>” for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common control transaction in accordance with GAAP. Under the guidance in ASC 805, SCS will be treated as the “acquired” company for financial reporting purposes. Accordingly, the Business Combination will be reflected as the equivalent of ProKidney issuing shares for the net assets of SCS, accompanied by a recapitalization whereby no goodwill or other intangible assets are recorded. Operations following the Business Combination are those of ProKidney Corp. The Business Combination will have a significant impact on our future reported financial position and results as a consequence of the reverse capitalization.</w:t>
      </w:r>
    </w:p>
    <w:p>
      <w:pPr>
        <w:spacing w:after="0" w:line="183" w:lineRule="exact"/>
        <w:rPr>
          <w:sz w:val="20"/>
          <w:szCs w:val="20"/>
          <w:color w:val="auto"/>
        </w:rPr>
      </w:pPr>
    </w:p>
    <w:p>
      <w:pPr>
        <w:jc w:val="both"/>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Business Combination resulted in gross proceeds of approximately $596,537,000. This amount reflects a contribution of $21,737,000 of cash held in SCS’s trust account, net of redemptions, and a $574,800,000 concurrent private placement of Class A ordinary shares of the combined company, priced at $10.00 per share (the “PIPE Placement”). At the Closing, these proceeds were used to repay the outstanding balance of $35,000,000 under the Company’s two promissory note agreements with certain holders of its Class A Units (the “Promissory Notes”) and related accrued interest.</w:t>
      </w:r>
    </w:p>
    <w:p>
      <w:pPr>
        <w:spacing w:after="0" w:line="3" w:lineRule="exact"/>
        <w:rPr>
          <w:sz w:val="20"/>
          <w:szCs w:val="20"/>
          <w:color w:val="auto"/>
        </w:rPr>
      </w:pPr>
    </w:p>
    <w:p>
      <w:pPr>
        <w:ind w:left="120" w:right="840"/>
        <w:spacing w:after="0" w:line="290" w:lineRule="auto"/>
        <w:rPr>
          <w:sz w:val="20"/>
          <w:szCs w:val="20"/>
          <w:color w:val="auto"/>
        </w:rPr>
      </w:pPr>
      <w:r>
        <w:rPr>
          <w:rFonts w:ascii="Times New Roman" w:cs="Times New Roman" w:eastAsia="Times New Roman" w:hAnsi="Times New Roman"/>
          <w:sz w:val="17"/>
          <w:szCs w:val="17"/>
          <w:color w:val="auto"/>
        </w:rPr>
        <w:t>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Impact of the COVID-19 Pandemic</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global COVID-19 pandemic continues to rapidly evolve, and we will continue to monitor the COVID-19 situation closely. 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our ongoing and planned clinical trials. The extent of the impact of COVID-19 on our business, operations and clinical development timelines and plans remains uncertain and will depend on certain developments, including the duration and spread of the outbreak and its impact on our clinical trial enrollment, trial sites, contract research organizations (“CROs”), and other third parties with whom we do business, as well as its impact on regulatory authorities and our key scientific and management personnel. To the extent possible, we are conducting business as usual, with necessary or advisable modifications to employee travel as some of our employees are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The development of our product candidates could be disrupted and materially adversely affected in the future by the COVID-19 pandemic. Our planned clinical trials also could be delayed due to government orders and site policies on account of the pandemic, and some patients may be unwilling or unable to travel to study sites,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REACT or any future product candidates. Furthermore, COVID-19 could affect our employees or the employees of research sites and service providers on whom we rely, including CROs, as well as those of companies with which we do business, including our suppliers, thereby disrupting our business operations. Quarantines and travel restrictions imposed by governments in the jurisdictions in which we and the companies with which we do business operate could materially impact the ability of employees to access clinical sites, laboratories, manufacturing sites and offices. These and other events resulting from the COVID-19 pandemic could disrupt, delay, or otherwise adversely impact our business.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inception, and we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REACT.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3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share-based compensation expenses, for individuals involved in research and development activities; and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REACT moves into later stages of clinical development.</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successful development of REACT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spacing w:after="0" w:line="89"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30" w:lineRule="exact"/>
        <w:rPr>
          <w:rFonts w:ascii="Times New Roman" w:cs="Times New Roman" w:eastAsia="Times New Roman" w:hAnsi="Times New Roman"/>
          <w:sz w:val="18"/>
          <w:szCs w:val="18"/>
          <w:color w:val="auto"/>
        </w:rPr>
      </w:pPr>
    </w:p>
    <w:p>
      <w:pPr>
        <w:ind w:left="5480" w:right="4220" w:hanging="4824"/>
        <w:spacing w:after="0" w:line="454" w:lineRule="auto"/>
        <w:tabs>
          <w:tab w:leader="none" w:pos="10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 145</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including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 particularly in light of the current COVID-19 pandemic environment;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U.S. Food and Drug Administration (“FDA”) and comparable foreign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particularly in light of the current COVID-19 pandemic environment;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REACT over other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REACT, if approved, whether alone or in collaboration with others;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REACT, should it obtain regulatory approval.</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SEC as well as listing standards applicable to companies listed on a national securities exchange.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8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income consists of interest income earned on cash and cash equivalents held in financial institutions. We expect our interest income to increase following the completion of the Business Combination as we invest the net proceeds from the Business Combination pending their use in our operations.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reflects federal and state taxes on income earned by our subsidiary that is organized as a C corporation for U.S.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8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$ 11,558</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$ 10,969</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(20,738)</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(22,131</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(12,725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increase in research and development expenses of approximately $0.6 million for the three months ended June 30, 2022 as compared to the three months ended June 30, 2021, was primarily driven by a $1.3 million increase in cost related to equity-based compensation related to awards granted during 2022. Further, cash-based compensation costs increased by $1.1 million, driven primarily by the hiring of additional personnel. Other research and development costs related to professional fees, quality control, manufacturing improvements and depreciation have also increased by approximately $1.9 million. These costs were offset by decreases in clinical trial cost of approximately $3.9 million related primarily to decreased costs for the Phase 3 trials which were incurring start-up costs during the three-month period ended June 30, 2021.</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of approximately $7.4 million for the three months ended June 30, 2022 as compared to the three months ended June 30, 2021, was primarily driven by a $6.5 million increase in equity-based compensation relating to the expense for awards granted in 2022 as well as the sale of Class B-1 Units to service providers at less than their fair value. Additionally, there was a $0.7 million increase in cash-based compensation expense which was driven by the hiring of additional personnel.</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of approximately $1.2 million for the three months ended June 30, 2022 as compared to the three months ended June 30, 2021, was driven primarily by the impact of a provision of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40"/>
          </w:cols>
          <w:pgMar w:left="320" w:top="482" w:right="5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Tax Cuts and Jobs Act of 2017 (the “TCJA”) which became effective for tax years beginning after December 31, 2021. This provision requires specified research and development expenses to be capitalized and amortized ratably over a five-year period and is the primary driver of the income tax expense recognized during the three months ended June 30,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00" w:type="dxa"/>
            <w:vAlign w:val="bottom"/>
            <w:gridSpan w:val="2"/>
          </w:tcPr>
          <w:p>
            <w:pPr>
              <w:jc w:val="center"/>
              <w:ind w:left="2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$ 40,048</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$ 20,828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(87,200)</w:t>
            </w:r>
          </w:p>
        </w:tc>
        <w:tc>
          <w:tcPr>
            <w:tcW w:w="134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(24,320)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(89,617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(24,334</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(65,283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increase in research and development expenses of approximately $19.2 million for the six months ended June 30, 2022 as compared to the six months ended June 30, 2021, was primarily driven by a $14.1 million increase in cost related to equity-based payments for services rendered by a third-party in prior periods, as the cost of those payments was adjusted to the fair value of the awards issued upon their grant date in the six months ended June 30, 2022. Additionally, equity-based compensation costs increased approximately $4.6 million for the six months ended June 30, 2022, due to additional awards granted to employees during the period and the modification of existing awards. Further, cash-based compensation costs increased by $2.0 million, driven primarily by the hiring of additional personnel. Other research and development costs related to professional fees, quality control, manufacturing improvements and depreciation have also increased by approximately $3.5 million. These costs were offset by decreases in clinical trial cost of approximately $5.0 million related primarily to decreased costs for the Phase 3 trials which were incurring start-up costs in the six-month period ended June 30, 2021 and decreases in spending for the Phase 2 trials.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of approximately $43.7 million for the six months ended June 30, 2022 as compared to the six months ended June 30, 2021, was primarily driven by a $33.0 million increase in equity-based compensation for Class B-1 Units sold at less than their fair value to employees, board members and other service providers of the Company. Additionally, there was a $8.6 million increase in equity-based compensation expense which was driven by a modification to the existing awards as well as the grant of additional awards during the six months ended June 30, 2022. Cash-based compensation has also increased by approximately $1.5 million driven by the hiring of additional personnel.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increase in income tax expense of approximately $2.2 million for the six months ended June 30, 2022 as compared to the six months ended June 30, 2021, was driven primarily by the impact of a provision of the TCJA which became effective for tax years beginning after December 31, 2021. This provision requires specified research and development expenses to be capitalized and amortized ratably over a five-year period and is the primary driver of the income tax expense recognized during the six months ended June 30,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2021 and 2020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2021 and 2020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5"/>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$ 46,255</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$ 21,042</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(55,110)</w:t>
            </w:r>
          </w:p>
        </w:tc>
        <w:tc>
          <w:tcPr>
            <w:tcW w:w="11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(27,024)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(55,146</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(26,749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(28,397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primarily due to the startup costs incurred in 2021 in connection with the launch of our Phase 3 clinical study REGEN-006 in 2022. As a Phase 3 trial, REGEN-006 is planned to be much larger in scope than the clinical trials ongoing in 2020. In addition to the impact of spending on REGEN-006, we also began enrollment in our Phase 2 study REGEN-007 in the latter part of 2021.</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of approximately $2.9 million was primarily driven by services performed in anticipation of a going-public transaction and our reorganization pursuant to our organization as an Irish limited partnership.</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Since inception, we have not recognized any revenue and have incurred operating losses and negative cash flows from our operations. We have not yet commercialized any product and we do not expect to generate revenue from sales of any products for several years, if at all. From inception through June 30, 2022, we have funded our operations primarily through capital contributions and the ProKidney Promissory Notes and have received aggregate net proceeds from these transactions of $186.5 million and $20.0 million, respectively. The $20.0 million received under the promissory notes was repaid at the Closing.</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net proceeds from the Business Combination, together with our cash and cash equivalents at June 30, 2022 will enable us to fund our operating expenses and capital expenditure requirements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82"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through 2024. We have based this estimate on assumptions that may prove to be wrong and we could exhaust our capital resources sooner than we expect.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3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REACT;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 in developing internal manufacturing capabilities;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we expect to incur additional costs associated with operating as a public company, including significant legal, audit, accounting, investor and public relations, regulatory, tax-related, director and officer insurance premiums and other expenses that we did not incur as a private company.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189"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unitholders.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units. 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82"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Flows for the Six Months Ended June 30, 2022 and 2021</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2022 and 2021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(38,485)</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(19,095)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41,034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29,985</w:t>
            </w: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Flows for the Years Ended December 31, 2021 and 2020</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2021 and 2020 (in thousands):</w:t>
      </w:r>
    </w:p>
    <w:p>
      <w:pPr>
        <w:spacing w:after="0" w:line="24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(50,299)</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(25,181)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71,470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19,989</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(10,648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$38.5 million for the six months ended June 30, 2022, reflecting a net loss of approximately $89.6 million and uses driven by changes in working capital of approximately $11.0 million. Such uses were partially offset by non-cash charges of $62.1 million. The non-cash charges primarily consisted of equity-based compensation expense of $60.7 million and depreciation and amortization expense of $1.5 million. The changes in working capital primarily relate to the timing of payments made to our vendors for services performed particularly as significant prepayments were made during the six months ended June 30, 2022.</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$19.1 million for the six months ended June 30, 2021, reflecting a net loss of $24.3 million, partially offset by non-cash charges of $1.2 million and a net change of $4.0 million in our net working capital. The non-cash charges primarily consisted of depreciation and amortization of $0.9 million and equity-based compensation expense of $0.4 million.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approximately $19.4 million increase in cash used in operating activities for the six months ended June 30, 2022 compared to the six months ended June 30, 2021 was primarily driven by the increased use of cash related to the timing of payments to our vendors and the net loss incurred during the period, after adjusting for the non-cash charges.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$50.3 million for the year ended December 31, 2021, reflecting a net loss of approximately $55.1 million, partially offset by non-cash charges of $2.7 million, and changes in working capital of $2.2 million. The non-cash charges primarily consisted of depreciation and amortization expense of $2.0 million and equity-based compensation expense of $0.7 million. The changes in working capital primarily relate to the timing of payments made to our vendors for services performed.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40"/>
          </w:cols>
          <w:pgMar w:left="320" w:top="482" w:right="5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$25.2 million for the year ended December 31, 2020, reflecting a net loss of $26.7 million, partially offset by non-cash charges of $1.7 million and a net change of $0.1 million in our net operating assets. The non-cash charges primarily consisted of depreciation and amortization of $1.0 million and equity-based compensation expense of $0.7 million.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approximately $25.1 million increase in cash used in operating activities for the year ended December 31, 2021 compared to the year ended December 31, 2020 was primarily due to a $28.4 million increase in our net loss which was driven by increased spending related to the planned launch of our Phase 3 clinical study, REGEN-006. The impact of the increased net loss was offset by higher non-cash charges for depreciation, amortization and equity compensation as well as changes in net working capital.</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were approximately $1.2 million and $3.4 million for the six months ended June 30, 2022 and 2021, respectively, which was due to purchases of equipment and facility expansion.</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were approximately $5.2 million and $5.5 million for the years ended December 31, 2021 and 2020, respectively, which was due to purchases of equipment and facility expansion.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$41.0 million and $30.0 million for the six months ended June 30, 2022 and 2021, respectively, which was due to the borrowing of funds under the Promissory Notes and sales of Legacy Class B-1 Units in the 2022 period and due to proceeds received from the issuance of the Legacy Class A Units in the 2021 period.</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$71.5 million and $20.0 million for the years ended December 31, 2021 and 2020, respectively, which was due to proceeds received from the issuance of the Legacy Class A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unaudited condensed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included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82"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82"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PROKIDNEY SECURITIES</w:t>
      </w:r>
    </w:p>
    <w:p>
      <w:pPr>
        <w:spacing w:after="0" w:line="22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securities is not intended to be a complete summary of the rights and preferences of such securities and is qualified by reference to our Charter, which is incorporated by reference as an exhibit to the registration statement of which this prospectus is a part. We urge you to read our Charter described herein in its entirety for a complete description of the rights and preferences of our securities. Unless the context requires otherwise, all references to “we,” “us,” “our,” the “Company” and “ProKidney” in this section refer solely to ProKidney Corp. and not to our subsidiaries.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are authorized to issue 1,005,000,000 shares, consisting of (x) 500,000,000 Class A ordinary shares, par value $0.0001 per share, (y) 500,000,000 Class B ordinary shares, par value $0.0001 per share and (z) 5,000,000 preference shares,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holder of Class A ordinary shares is entitled to one vote for each Class A ordinary shares held of record by such holder on all matters on which shareholders generally are entitled to vote. The holders of the Class A ordinary shares do not have cumulative voting rights in the appointment of directors. Generally, all matters to be voted on by shareholders must be approved by a resolution passed by the holders of not less than a simple majority of ordinary shares entitled to vote in person or represented by proxy, with Class A shareholders and Class B shareholders voting together as a single class. Notwithstanding the foregoing, the holders of the outstanding Class A ordinary shares are entitled to vote separately upon any amendment to the Charter (including by merger, consolidation, reorganization or similar event) that would alter or change the powers, preferences or special rights of such Class A ordinary shares in a manner that has an adverse effect upon such rights.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preference shares, the holders of Class A ordinary shares are entitled to receive ratably such dividends, if any, as may be declared from time to time by the Board out of funds legally available therefor. All dividends are subject to certain restrictions under Cayman Islands law, namely that we may only pay dividends out of profits or share premium account, and provided always that, in no circumstances may a dividend be paid if this would result in us being unable to pay our debts as they fall due in the ordinary course of business.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A ordinary shares are entitled to share ratably in all assets remaining after payment of our debts and other liabilities, subject to prior distribution rights of preference shares or any class or series of shares having a preference over our Class A ordinary shares, then outstanding, if 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holders of our Class A ordinary shares have no preemptive or conversion rights or other subscription rights (other than in connection with certain issuances of common units under the Second Amended and Restated ProKidney Limited Partnership Agreement). There are no redemption or sinking fund provisions applicable to our Class A ordinary shares. The rights, preferences and privileges of holders of our Class A ordinary shares will be subject to those of the holders of any preference shares we may issue in the future.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82"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Ordinary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holder of our Class B ordinary shares is entitled to one vote for each Class B ordinary share held of record by such holder on all matters on which shareholders generally are entitled to vote. The holders of our Class B ordinary shares do not have cumulative voting rights in the election of directors. Generally, all matters to be voted on by shareholders must be approved by a majority of the votes entitled to be cast by all shareholders present in person or represented by proxy, with Class A shareholders and Class B shareholders voting together as a single class. Notwithstanding the foregoing, the holders of our outstanding Class B ordinary shares are entitled to vote separately upon any amendment to the Charter (including by merger, consolidation, reorganization or similar event) that would alter or change the powers, preferences or special rights of such Class B ordinary shares in a manner that has an adverse effect upon such rights.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our Class B ordinary shares will not participate in any dividends declared by our board of directors.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B ordinary shares are entitled to a ratable amount equal to the capital paid up on such Class B ordinary shares of all assets remaining after payment of our debts and other liabilities, subject to prior distribution rights of preference shares or any class or series of shares having a preference over our Class B ordinary shares, then outstanding, if any. Our Class B ordinary shares shall not carry any other right to participate in our profits or assets.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Class B ordinary shares do not have preemptive, subscription, redemption or conversion rights. There will be no redemption or sinking fund provisions applicable to our Class B ordinary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and Forfeiture of Class B Ordinary Shares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of our outstanding Class B ordinary shares cease to be held directly or indirectly by a holder of an equal amount of Post-Combination ProKidney Common Units, such share will automatically be transferred to us for no consideration and thereupon will be retired. We will not issue additional Class B ordinary shares other than in connection with the valid issuance or transfer of Post-Combination ProKidney Common Units in accordance with our governing documents.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Charter provides that the Board has the authority, without further action by the holders of our ordinary shares, to establish one or more series of preference shares where issue of such series of preference shares is considered by the Board not to have an adverse effect upon rights attached to our Class A ordinary shares and Class B ordinary shares. Preference shares may be issued from time to time in one or more series of any number of shares, provided that the aggregate number of shares issued shall not exceed the total number of preference shares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preference shares from time to time adopted by the Board pursuant to authority so to do which 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expressly vested in the Board. The powers, including voting powers, if any, preferences and relative, participating, optional and other special rights of each series of preference shares, and the qualifications, limitations or restrictions thereof, if any, may differ from those of any and all other series at any time outstanding.</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preference shares may have the effect of delaying, deferring or preventing a change in control of ProKidney without further action by the shareholders. Additionally, the issuance of preference shares may adversely affect the holders of our ordinary shares by restricting dividends on our Class A ordinary shares, diluting the voting power of our Class A ordinary shares and Class B ordinary shares or subordinating the liquidation rights of our Class A ordinary shares and Class B ordinary shares. As a result of these or other factors, the issuance of preference shares could have an adverse impact on the market price of our Class A ordinary shares. At present, we have no plans to issue any preference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the Company must keep a register of members and there will be entered therein:</w:t>
      </w:r>
    </w:p>
    <w:p>
      <w:pPr>
        <w:spacing w:after="0" w:line="131" w:lineRule="exact"/>
        <w:rPr>
          <w:sz w:val="20"/>
          <w:szCs w:val="20"/>
          <w:color w:val="auto"/>
        </w:rPr>
      </w:pPr>
    </w:p>
    <w:p>
      <w:pPr>
        <w:ind w:left="1080" w:right="8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Earnout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Earnout Participants received an additional aggregate amount of 17,500,000 Earnout RCUs and 17,500,000 Earnout RSRs which will convert, in the case of Earnout RCUs, into Post-Combination ProKidney Common Units and, in the case of Earnout RSRs, into our Class B ordinary shares to vest in three equal tranches upon our ordinary shares satisfying certain VWAP thresholds of $15.00, $20.00, $25.00, respectively, for any 20 trading days within any 30 consecutive trading day period commencing on or after the Closing and ending on or prior to the fifth anniversary of the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one or all of the VWAP thresholds has not been achieved prior to the end of the five-year period following the Closing and</w:t>
      </w:r>
    </w:p>
    <w:p>
      <w:pPr>
        <w:spacing w:after="0" w:line="9" w:lineRule="exact"/>
        <w:rPr>
          <w:sz w:val="20"/>
          <w:szCs w:val="20"/>
          <w:color w:val="auto"/>
        </w:rPr>
      </w:pPr>
    </w:p>
    <w:p>
      <w:pPr>
        <w:ind w:left="120" w:right="320" w:hanging="4"/>
        <w:spacing w:after="0" w:line="255" w:lineRule="auto"/>
        <w:tabs>
          <w:tab w:leader="none" w:pos="3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consummate a transaction that results in a change of control with a per share price exceeding the VWAP thresholds, then the applicable share price trigger that has not been satisfied will be deemed to have been satisfied, and, at the closing of such transaction, we shall issue the applicable portion of the Class B ordinary shares issuable upon the vesting of the Earnout Rights as if such share price trigger has been achieved.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RCUs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issued to the Earnout Participants the Earnout RCUs, denoted as Series 1 RCUs, Series 2 RCUs and Series 3 RCUs, in each case, equal to the earnout series amount for such Earnout Participant. Upon the achievement of certain of our share price milestones, the Earnout RCUs held by such participant will be converted into Post-Combination ProKidney Common Units. Any Earnout RCUs that have not vested by the fifth anniversary of the Closing will be forfeited and cancelled for no consideration.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RSRs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issued to Earnout Participants the Earnout RSRs, denoted as Class B Series 1 RSRs, Class B Series 2 RSRs and Class B Series 3 RSRs, in each case, equal to the earnout series amount for such Earnout Participant. Upon the achievement of certain of our share price milestones, such Earnout RSRs held by such Earnout Participant will be converted into our Class B ordinary shares. Any such Earnout RSRs that have not vested by the fifth anniversary of the Closing will be forfeited and cancelled for no consideration.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PMEL Post-Combination Issuance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PMEL Post-Combination Unitholders received an additional aggregate amount of each of PMEL RCUs and PMEL RSRs equal to the amount of such unitholder’s pro rata interest in the unvested Legacy ProKidney Class B Units held by PMEL prior to the Closing, which will convert, in the case of PMEL RCUs, into Post-Combination ProKidney Common Units and, in the case of PMEL RSRs, into our Class B ordinary shares when vested in accordance with the terms of the applicable award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PMEL RCUs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At the Closing, we issued to PMEL Post-Combination Unitholders a number of PMEL RCUs equal to the amount of such unitholder’s pro rata interest in the unvested Legacy ProKidney Class B Units held by PMEL prior to the Closing. Upon the vesting of a PMEL RCU in accordance with the terms of the applicable award agreement, if any, such RCUs held by such PMEL Post-Combination Unitholder will be converted into Post-Combination ProKidney Common Units.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PMEL RSRs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Closing, we issued to PMEL Post-Combination Unitholders a number of PMEL RSRs equal to the amount of such unitholder’s pro rata interest in the unvested Legacy Class B Units held by PMEL prior to the Closing. Upon the vesting of a PMEL RCU in accordance with the terms of the applicable award agreement, if any, such PMEL RSRs held by such PMEL Post-Combination Unitholder will be converted into our Class B ordinary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payment of any cash dividends is within the discretion of the Board.</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Second Amended and Restated ProKidney Limited Partnership Agreement provides that pro rata cash distributions be made to holders of Post-Combination ProKidney Common Units at certain assumed tax rates, which we refer to as “tax distributions.”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financing arrangements that we enter into in the future may include restrictive covenants that limit our ability to pay dividends. All dividends are subject to certain restrictions under Cayman Islands law, namely that we may only pay dividends out of profits or share premium account, and provided always that, in no circumstances may a dividend be paid if this would result in the Company being unable to pay its debts as they fall due in the ordinary course of business.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82"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subsidiaries are generally subject to similar legal limitations on their ability to make distributions to ProKidney.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the Closing, we entered into the Amended and Restated Registration Rights Agreement with the Sponsor and certain Holders. Under the Amended and Restated Registration Rights Agreement, Class A ordinary shares held by the Holders party thereto (as well as their permitted transferees) and by parties to the Exchange Agreement are entitled to registration rights. The Amended and Restated Registration Rights Agreement provides for us to, within 30 days after the Closing Date, submit or file with the SEC a shelf registration statement registering the resale of our ordinary shares held by the Holders and use our commercially reasonable efforts to have such registration statement declared effective as soon as practicable after the submission or filing thereof, but in no event later than (a) 90 days following the submission or filing deadline, if the SEC notifies us that it will “review” the Registration Statement and (b) the 10th business day after the date we are notified (orally or in writing, whichever is earlier) by the SEC that the registration statement will not be “reviewed” or will not be subject to further review. In addition, the Holders have certain “piggy-back” registration rights.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21"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At the closing of the Business Combination, we, the Sponsor and certain Closing ProKidney Unitholders entered into the Lock-Up Agreement. The Lock-Up Agreement contains certain restrictions on transfer with respect to the Sponsor and the ProKidney Unitholders party thereto (including their permitted transferees). Such restrictions begin at the Closing and end on the earlier of (i) the date that is 180 days after the Closing and (ii)(a) for 33% of the Lock-Up Shares (other than the Earnout Shares and the Private Placement Shares)(as each such term is defined in the Lock-Up Agreement), the date on which the last reported sale price of our Class A ordinary share equals or exceeds $12.50 per share for any 20 trading days within</w:t>
      </w:r>
    </w:p>
    <w:p>
      <w:pPr>
        <w:spacing w:after="0" w:line="3"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any 30-trading day period commencing at least 30 days after the Closing and (b) for an additional 50% of the Lock-Up Shares (other than the Earnout Shares and the Private Placement Shares), the date on which the last reported sale price of our Class A ordinary share equals or exceeds $15.00 per share for any 20 trading days within any 30-trading day period commencing at least 30 days after the Closing. Notwithstanding the above,</w:t>
      </w:r>
    </w:p>
    <w:p>
      <w:pPr>
        <w:spacing w:after="0" w:line="1" w:lineRule="exact"/>
        <w:rPr>
          <w:sz w:val="20"/>
          <w:szCs w:val="20"/>
          <w:color w:val="auto"/>
        </w:rPr>
      </w:pPr>
    </w:p>
    <w:p>
      <w:pPr>
        <w:ind w:left="120" w:hanging="4"/>
        <w:spacing w:after="0" w:line="253"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we receive notice of any regulatory market authorization, including full or conditional authorization, to market REACT (but, in any event, not earlier than 180 days following the Closing or (in the case of Earnout Shares) the date of issuance); and (iii) the lock-up period for the Private Placement Shares will expire 30 days after the Closing. The restrictions on transfer set forth in the Lock-Up Agreement are subject to customary exceptions.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for our ordinary shares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ordinary shares is listed for traing on Nasdaq under the symbol “PROK.”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the Charter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contains provisions that could have the effect of rendering more difficult, delaying, or preventing an acquisition deemed undesirable by the Board. These provisions could also make it difficult for shareholders to take certain actions, including appointing directors who are not nominated by the members of the Board or taking other corporate actions, including effecting changes in our management. For instance,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Charter does not provide for cumulative voting in the appointment of directors and does provide for a classified board of directors with three-year staggered terms, which could delay the ability of shareholders to change the membership of a majority of the Board. The Board is empowered to appoint a director to fill a vacancy created by the expansion of the Board or the resignation, death, or removal of a director in certain circumstances; and our advance notice provisions in our Charter requires that shareholders must comply with certain procedures in order to nominate candidates to the Board or to propose matters to be acted upon at a shareholders’ meeting.</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ProKidney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Cayman Islands Companies Act. The Cayman Islands Companies Act is modeled on English Law but does not follow recent English Law statutory enactments, and differs from laws applicable to United States corporations and their shareholders. Set forth below is a summary of the material differences between the provisions of the Cayman Islands Companies Act applicable to us and the laws applicable to companies incorporated in the United States and their shareholders.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the Cayman Islands Companies Act allows for mergers or consolidations between two Cayman 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facilitated by the laws of that other jurisdiction).</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2/3% in value of the voting shares voted at a shareholder meeting) of the shareholders of each company; or (b) such other authorization, if any, as may be specified in such constituent company’s memorandum and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Cayman Islands Companies Act (which includes certain other formalities) have been complied with, the Registrar of Companies will register the plan of merger or consolidation.</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82"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spacing w:after="0" w:line="1" w:lineRule="exact"/>
        <w:rPr>
          <w:sz w:val="20"/>
          <w:szCs w:val="20"/>
          <w:color w:val="auto"/>
        </w:rPr>
      </w:pPr>
    </w:p>
    <w:p>
      <w:pPr>
        <w:ind w:left="120" w:right="40" w:hanging="4"/>
        <w:spacing w:after="0" w:line="252" w:lineRule="auto"/>
        <w:tabs>
          <w:tab w:leader="none" w:pos="3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Where the above procedures are adopted, the Cayman Islands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and the consideration paid for such shares meets certain requirements under the Cayman Islands Companies Act or where the consideration for such shares to be contributed are shares of any company listed on a national securities exchange or shares of the surviving or consolidated company.</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1" w:lineRule="exact"/>
        <w:rPr>
          <w:sz w:val="20"/>
          <w:szCs w:val="20"/>
          <w:color w:val="auto"/>
        </w:rPr>
      </w:pPr>
    </w:p>
    <w:p>
      <w:pPr>
        <w:ind w:left="1540" w:right="180" w:hanging="331"/>
        <w:spacing w:after="0" w:line="28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Islands Companies Act or that would amount to a “fraud on the minority.”</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Squeeze-out Provisions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Cayman Islands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89" w:lineRule="exact"/>
        <w:rPr>
          <w:sz w:val="20"/>
          <w:szCs w:val="20"/>
          <w:color w:val="auto"/>
        </w:rPr>
      </w:pPr>
    </w:p>
    <w:p>
      <w:pPr>
        <w:ind w:left="1540" w:hanging="331"/>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Enforcement of Civil Liabilities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Cayman Islands has a different body of corporate and securities laws as compared to the United States and provides less protection to investors. Additionally, Cayman Islands companies may not have standing to sue before the Federal courts of the United States.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Considerations for Exempted Companies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an exempted company with limited liability (meaning our public shareholders have no liability, as members of the company, for liabilities of the company over and above the amount paid for their shares) under the Cayman Islands Companies Act. The Cayman Islands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9" w:lineRule="exact"/>
        <w:rPr>
          <w:sz w:val="20"/>
          <w:szCs w:val="20"/>
          <w:color w:val="auto"/>
        </w:rPr>
      </w:pPr>
    </w:p>
    <w:p>
      <w:pPr>
        <w:ind w:left="1540" w:right="160" w:hanging="331"/>
        <w:spacing w:after="0" w:line="282" w:lineRule="auto"/>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requirements are minimal and consist mainly of a statement that the company has conducted its operations mainly outside of the Cayman Islands and has complied with the provisions of the Cayman Islands Companies Act;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30 years in the first instance);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2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Anti-Money Laundering, Counter-Terrorist Financing, Prevention of Proliferation Financing and Financial Sanctions Compliance – Cayman Islands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terrorist financing, proliferation financing and compliance with financial sanctions, we are required to adopt and maintain certain procedures, and may require purchasers to provide evidence to verify their identity and source of funds. Where permitted, and subject to certain conditions, we may also delegate the maintenance of our anti-money laundering, terrorist financing, prevention of proliferation financing and financial sanctions compliance procedures (including the acquisition of due diligence information) to a suitable person.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82"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We reserve the right to request such information as is necessary to verify the identity of a purchaser. In some cases the directors may be satisfied that no further information is required since an exemption applies under the Anti-Money Laundering Regulations (as amended) of the Cayman Islands (the “Regulations”). Depending on the circumstances of each application, a detailed verification of identity might not be required where:</w:t>
      </w:r>
    </w:p>
    <w:p>
      <w:pPr>
        <w:spacing w:after="0" w:line="63" w:lineRule="exact"/>
        <w:rPr>
          <w:sz w:val="20"/>
          <w:szCs w:val="20"/>
          <w:color w:val="auto"/>
        </w:rPr>
      </w:pPr>
    </w:p>
    <w:p>
      <w:pPr>
        <w:ind w:left="1080" w:right="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relevant financial business required to comply with the Regulations or is a majority-owned subsidiary of such a business; or</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as having a low degree of risk of money laundering and terrorist financing in accordance with the Regulations (each a “Low Risk Country”) or is a majority-owned subsidiary of such subscriber;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central or local government organization, statutory body or agency of government in the Cayman Islands or a Low Risk Country;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company that is listed on a recognized stock exchange and subject to disclosure requirements which impose requirements to ensure adequate transparency of beneficial ownership, or is a majority-owned subsidiary of such a company; or</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pension fund for a professional association, trade union or is acting on behalf of employees of an entity referred to in sub-paragraphs (a) to (d);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 nominee or the applicant is relying on an introduction from an introducer, which nominee or introducer, as applicable, falls within one of sub-paragraphs (a) to (e). In this situation the company may rely on a written assurance from the nominee or the introducer (as applicable) which confirms (i) that the requisite identification and verification procedures on the applicant for business and (for introducers only) its beneficial owners have been carried out; (ii) the nature and intended purpose of the business relationship; (iii) that the nominee or the introducer has identified the source of funds of the applicant for business; (iv) (for introducers only) that the introducer is supervised or monitored by an overseas regulatory authority and has measures in place to comply with customer due diligence and record keeping requirements; and (v) that the nominee or introducer shall make available on request and without delay copies of any identification and verification data or information and relevant documents.</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the Equivalent Jurisdiction definition.</w:t>
      </w:r>
    </w:p>
    <w:p>
      <w:pPr>
        <w:spacing w:after="0" w:line="162"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4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also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is involved with terrorism or terrorist property or proliferation financing or is the target of a financial sanction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amended) of the Cayman Islands if the disclosure relates to criminal conduct, money laundering or proliferation financing or is the target of a financial sanction or (ii) a police officer of the rank of constable or higher, or the Financial Reporting Authority,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pursuant to the Terrorism Act (as amended)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Protection – Cayman Islands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amended) of the Cayman Islands (the “DPA”)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DPA (“personal data”). In the following discussion, the “company” refers to us and our affiliates and/or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Company May Use a Shareholder’s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5480" w:right="2460" w:hanging="4824"/>
        <w:spacing w:after="0" w:line="454" w:lineRule="auto"/>
        <w:tabs>
          <w:tab w:leader="none" w:pos="10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 164</w:t>
      </w:r>
    </w:p>
    <w:p>
      <w:pPr>
        <w:sectPr>
          <w:pgSz w:w="11900" w:h="16838" w:orient="portrait"/>
          <w:cols w:equalWidth="0" w:num="1">
            <w:col w:w="11120"/>
          </w:cols>
          <w:pgMar w:left="320" w:top="482"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counter-terrorist financing, prevention of proliferation financing, financial sanctions and FATCA/CRS requirements); and/or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We May Transfer Your Personal Data</w:t>
      </w:r>
    </w:p>
    <w:p>
      <w:pPr>
        <w:spacing w:after="0" w:line="11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Data Protection Measures We Take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DPA.</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4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Individual Data Subjects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Individual data subjects have certain data protection rights, including the right to:</w:t>
      </w:r>
    </w:p>
    <w:p>
      <w:pPr>
        <w:spacing w:after="0" w:line="131"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about the purposes for which your personal data are processed;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your personal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direct marketing;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processing of your personal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incomplete or inaccurate personal data corrected;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stop processing your personal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of a personal data breach (unless the breach is unlikely to be prejudicial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 to the Data Protection Ombudsman;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delete your personal data in some limited circumstances.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82"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Pursuant to Rule 144 under the Securities Act (“Rule 144”), a person who has beneficially owned restricted Class A ordinary shares of ProKidney for at least six months would be entitled to sell their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ordinary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ordinary shares during the four calendar weeks preceding the filing of a notice on Form 144 with respect to the sale.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by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we are no longer a shell company, and so, once the conditions listed above are satisfied, Rule 144 will become available for the resale of the above-noted restricted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82"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ordinary shares as of July 31, 2022 by:</w:t>
      </w:r>
    </w:p>
    <w:p>
      <w:pPr>
        <w:spacing w:after="0" w:line="6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the outstanding Company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Company’s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beneficial ownership of the Company ordinary shares is based on 61,540,231 Class A ordinary shares and 170,723,961 Class B ordinary shares issued and outstanding as of July 31, 2022.</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60"/>
        </w:trPr>
        <w:tc>
          <w:tcPr>
            <w:tcW w:w="8140" w:type="dxa"/>
            <w:vAlign w:val="bottom"/>
            <w:gridSpan w:val="3"/>
            <w:vMerge w:val="continue"/>
          </w:tcPr>
          <w:p>
            <w:pPr>
              <w:spacing w:after="0"/>
              <w:rPr>
                <w:sz w:val="13"/>
                <w:szCs w:val="13"/>
                <w:color w:val="auto"/>
              </w:rPr>
            </w:pPr>
          </w:p>
        </w:tc>
        <w:tc>
          <w:tcPr>
            <w:tcW w:w="10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16"/>
                <w:szCs w:val="16"/>
                <w:color w:val="auto"/>
              </w:rPr>
            </w:pPr>
          </w:p>
        </w:tc>
        <w:tc>
          <w:tcPr>
            <w:tcW w:w="79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 Bertram, Ph.D.(2)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2,696,468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Pablo Legorreta(3)(11)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94,677,968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William F. Doyle(4)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1,350,469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Jennifer Fox</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Alan M. Lotvin(5)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1,350,469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John M. Maraganore, Ph.D.(6)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450,156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Brian J.G. Pereira, M.D(7)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1,350,469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Uma Sinha, Ph.D.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Deepak Jain, Ph.D.(8)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937,836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Joseph Stavas, M.D., MPH(9)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735,391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(14 persons)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103,453,062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Greater-than-Five Percent Holders: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Tolerantia, LLC(3)(11)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94,677,968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Control Empresarial de Capitales, S.A. de C.V. (formerly Inversora Carso, S.A. de C.V.)(10)(11)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63,118,645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Chamath Palihapitiya(12)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16,273,000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Banco Invex, S.A., Institución de Banca Múltiple, Invex Grupo Financiero, as Trustee of Trust I14165(13)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IHCI Investments LP(14)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Jupiter CAN LP(15)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Morgan Stanley Investment Management Inc.(16)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Aaron Cowen(17)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6,227,000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Indicated beneficial ownership of less than 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792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61"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c/o ProKidney Corp., 2000 Frontis Plaza Blvd., Ste 250, Winston-Salem, North Carolina, 27103.</w:t>
      </w:r>
    </w:p>
    <w:p>
      <w:pPr>
        <w:ind w:left="540" w:right="5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2,696,468 Class B ordinary shares issued as consideration in the Business Combination and does not include 2,248,469 Class B ordinary shares issuable upon the vesting of PMEL RCUs.</w:t>
      </w:r>
    </w:p>
    <w:p>
      <w:pPr>
        <w:ind w:left="540" w:right="60" w:hanging="424"/>
        <w:spacing w:after="0" w:line="265" w:lineRule="auto"/>
        <w:tabs>
          <w:tab w:leader="none" w:pos="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94,677,968 Class B ordinary shares held by Tolerantia, LLC (“Tolerantia”), a Delaware limited liability company, which is an affiliate controlled and majority-owned by Mr. Pablo Legorreta. Mr. Legorreta controls the voting and disposition of the shares held by Tolerantia.</w:t>
      </w:r>
    </w:p>
    <w:p>
      <w:pPr>
        <w:ind w:left="540" w:right="2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Legorreta disclaims beneficial ownership of the shares held by Tolerantia except to the extent of his indirect pecuniary interest therein. The business address of Tolerantia is 110, East 59th Street, Suite 3300, New York, New York, 10022.</w:t>
      </w:r>
    </w:p>
    <w:p>
      <w:pPr>
        <w:ind w:left="540" w:right="2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1,350,469 Class B ordinary shares issued as consideration in the Business Combination and does not include 163,857 Class B ordinary shares issuable upon the vesting of PMEL RCUs.</w:t>
      </w:r>
    </w:p>
    <w:p>
      <w:pPr>
        <w:ind w:left="540" w:right="2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1,350,469 Class B ordinary shares issued as consideration in the Business Combination and does not include 163,857 Class B ordinary shares issuable upon the vesting of PMEL RCUs.</w:t>
      </w:r>
    </w:p>
    <w:p>
      <w:pPr>
        <w:ind w:left="540" w:right="1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450,156 Class B ordinary shares issued as consideration in the Business Combination and does not include 163,857 Class B ordinary shares issuable upon the vesting of PMEL RCUs.</w:t>
      </w:r>
    </w:p>
    <w:p>
      <w:pPr>
        <w:ind w:left="540" w:right="2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1,350,469 Class B ordinary shares issued as consideration in the Business Combination and does not include 163,857 Class B ordinary shares issuable upon the vesting of PMEL RCUs.</w:t>
      </w:r>
    </w:p>
    <w:p>
      <w:pPr>
        <w:ind w:left="540" w:right="1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937,836 Class B ordinary shares issued as consideration in the Business Combination and does not include 630,103 Class B ordinary shares issuable upon the vesting of PMEL RCUs.</w:t>
      </w:r>
    </w:p>
    <w:p>
      <w:pPr>
        <w:ind w:left="540" w:right="1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735,391 Class B ordinary shares issued as consideration in the Business Combination and does not include 315,650 Class B ordinary shares issuable upon the vesting of PMEL RCUs.</w:t>
      </w:r>
    </w:p>
    <w:p>
      <w:pPr>
        <w:ind w:left="540" w:right="2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in the table and footnote is based upon information provided to us by the direct shareholder, Control Empresarial de Capitales S.A. de C.V., acting as successor of Inversora Carso S.A. de C.V. by virtue of a merger (“CEC”). Represents 63,118,645 Class B ordinary shares held by CEC. Members of the Slim family, directly or indirectly, own all of the issued and outstanding voting equity securities of CEC. Therefore, the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 11000 Ciudad de Mexico, Mexico and Control Empresarial has an address of Paseo de las Palmas 781, Piso 3, Colonia Lomas de Chapultepec, Seccion III, Migual Hidalgo, Ciudad de Mexico, Mexico, 11000.</w:t>
      </w:r>
    </w:p>
    <w:p>
      <w:pPr>
        <w:spacing w:after="0" w:line="2"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Agreement provides that from the Closing until the third anniversary of the Closing, CEC shall vote all ordinary shares beneficially held by it in a manner proportionate to the manner in which all other Class B ordinary shares not held by CEC, including the Class B ordinary shares beneficially held by Tolerantia, are voted, with respect to the election, appointment, or removal of any director to the Board. As a result, Tolerantia may be deemed to share beneficial ownership of CEC’s ordinary shares.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16,273,000 Class A ordinary shares. SC PIPE Holdings LLC (“SC PIPE Holdings”) is the record holder of 9,500,000 of the Class A ordinary shares reported herein. SC PIPE Holdings is controlled by Mr. Palihapitiya, the former Chief Executive Officer and Chairman of the Board of Directors of SCS. SC Master Holdings, LLC (“SC Master Holdings”) is the sole member of SC PIPE Holdings. Mr. Palihapitiya and SC Master Holdings may be deemed to beneficially own Class A ordinary shares held directly by SC PIPE Holdings by virtue of their indirect or direct interests in SC PIPE Holdings or their control over SC PIPE Holdings, as the case may be. SC Master Holdings is the record holder of 3,773,000 of the Class A ordinary shares reported herein. SC Master Holdings is controlled by Mr. Palihapitiya. Mr. Palihapitiya may be deemed to beneficially own Class A ordinary shares held directly by SC Master Holdings by virtue of his indirect interests in SC Master Holdings or his control over SC Master Holdings, as the case may be. A trust for the benefit of members of Mr. Palihapitiya’s immediate family (the “Family Trust”), is the record holder of 3,000,000 of the Class A ordinary shares reported herein. Mr. Palihapitiya may be deemed to beneficially own Class A ordinary shares held directly by the Family Trust. The address of each of Mr. Palihapitiya, SC Master Holdings and SC PIPE Holdings is c/o SC Master Holdings, LLC, 506 Santa Cruz Avenue, Suite 300, Menlo Park, California 94025.</w:t>
      </w:r>
    </w:p>
    <w:p>
      <w:pPr>
        <w:spacing w:after="0" w:line="4"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Class A ordinary shares held of record by Banco Invex, S.A., Institución de Banca Múltiple, Invex Grupo Financiero, acting solely and exclusively in its capacity as trustee of the trustee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82"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Trust I14165 (the “Trust”), whose record holders are the Trust Beneficiaries (as defined below), issued in connection with, and, upon the closing of, the PIPE Placement. Each of (i) Bertha Paula Michel Gonzalez, (ii) Maria Magdalena Michel Gonzalez and (iii) Maximino Jose Michel Gonzalez (collectively, the “Trust Beneficiaries”), has voting and dispositive power over, one-third of the total number of Class A ordinary shares held by the Trust. The address of the Trust is Boulevard Manuel Avila Camacho No. 40, Piso 7, Lomas De Chapultepec, Ciudad De México 11000. The address of each of the Trust Beneficiaries is Bosque De Radiatas 6-602, Bosques De Las Lomas, Cuajimalpa 05120, Mexico.</w:t>
      </w:r>
    </w:p>
    <w:p>
      <w:pPr>
        <w:spacing w:after="0" w:line="3" w:lineRule="exact"/>
        <w:rPr>
          <w:sz w:val="20"/>
          <w:szCs w:val="20"/>
          <w:color w:val="auto"/>
        </w:rPr>
      </w:pPr>
    </w:p>
    <w:p>
      <w:pPr>
        <w:ind w:left="540" w:right="36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Class A ordinary shares held of record by IHCI Investments LP issued in connection with, and, upon the closing of, the PIPE Placement. The address of IHCI Investments LP is 1188 Union, Montreal QC H3B 0E5, Canada.</w:t>
      </w:r>
    </w:p>
    <w:p>
      <w:pPr>
        <w:ind w:left="540" w:right="32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Class A ordinary shares held of record by Jupiter CAN LP issued in connection with, and, upon the closing of, the PIPE Placement. The address of Jupiter CAN LP is 5930 Royal Lane, Suite E, #117, Dallas TX 75230-3896.</w:t>
      </w:r>
    </w:p>
    <w:p>
      <w:pPr>
        <w:ind w:left="540" w:right="12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Investment Management Inc. is the adviser or sub-adviser, as the case may be, of each of (i) Brighthouse Funds Trust I: Morgan Stanley Discovery Portfolio, holding 497,653 Class A ordinary shares, (ii) ERAFP Actions Mid Cap USA I holding 12,443 Class A ordinary shares, (iii) Growth Trust holding 245,905 Class A ordinary shares, (iv) Inception Trust holding, 166,790 Class A ordinary shares, (v) Johnson &amp; Johnson Pension and Savings Master Trust (JJ9L) holding 15,421 Class A ordinary shares, (vi) Johnson &amp; Johnson Pension and Savings Master Trust (JJ9LDB) holding 136,426 Class A ordinary shares, (vii) Kinstead Global Equity Pool holding 16,039 Class A ordinary shares,</w:t>
      </w:r>
    </w:p>
    <w:p>
      <w:pPr>
        <w:spacing w:after="0" w:line="1" w:lineRule="exact"/>
        <w:rPr>
          <w:rFonts w:ascii="Times New Roman" w:cs="Times New Roman" w:eastAsia="Times New Roman" w:hAnsi="Times New Roman"/>
          <w:sz w:val="18"/>
          <w:szCs w:val="18"/>
          <w:color w:val="auto"/>
        </w:rPr>
      </w:pPr>
    </w:p>
    <w:p>
      <w:pPr>
        <w:ind w:left="540" w:right="20" w:firstLine="8"/>
        <w:spacing w:after="0" w:line="265" w:lineRule="auto"/>
        <w:tabs>
          <w:tab w:leader="none" w:pos="94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Lawrencium Atoll Investments Ltd. holding 34,707 Class A ordinary shares, (ix) Master Trust for Defined Contribution Plans of American Airlines, Inc. and Affiliates holding 109,253 Class A ordinary shares, (x) Morgan Stanley Funds (UK)—Global Insight Fund holding 7,231 Class A ordinary shares, (xi) Morgan Stanley Insight Fund holding 1,421,688 Class A ordinary shares, (xii) Morgan Stanley Institutional Fund Trust—Discovery Portfolio holding 800,384 Class A ordinary shares, (xiii) Morgan Stanley Institutional Fund, Inc.—Inception Portfolio holding 332,167 Class A ordinary shares, (xiv) Morgan Stanley Institutional Fund, Inc.—Counterpoint Global Portfolio holding 3,802 Class A ordinary shares, (xv) Morgan Stanley Institutional Fund, Inc.—Global Endurance Portfolio holding 19,748 Class A ordinary shares, (xvi) Morgan Stanley Institutional Fund, Inc.—Global Insight Portfolio holding 67,622 Class A ordinary shares, (xvii) Morgan Stanley Institutional Fund, Inc.—Growth Portfolio holding 3,865,953 Class A ordinary shares, (xviii) Morgan Stanley Investment Funds—Counterpoint Global Fund holding 1,657 Class A ordinary shares, (xiv) Morgan Stanley Investment Funds—Global Endurance Fund holding 34,186 Class A ordinary shares, (xx) Morgan Stanley Investment Funds—Global Insight Fund holding 293,852 Class A ordinary shares, (xxi) Morgan Stanley Investment Funds—US Growth Fund holding 1,549,102 Class A ordinary shares, (xxii) Morgan Stanley Investment Funds—US Insight Fund holding 46,844 Class A ordinary shares,</w:t>
      </w:r>
    </w:p>
    <w:p>
      <w:pPr>
        <w:spacing w:after="0" w:line="1" w:lineRule="exact"/>
        <w:rPr>
          <w:rFonts w:ascii="Times New Roman" w:cs="Times New Roman" w:eastAsia="Times New Roman" w:hAnsi="Times New Roman"/>
          <w:sz w:val="17"/>
          <w:szCs w:val="17"/>
          <w:color w:val="auto"/>
        </w:rPr>
      </w:pPr>
    </w:p>
    <w:p>
      <w:pPr>
        <w:ind w:left="540" w:firstLine="8"/>
        <w:spacing w:after="0" w:line="250" w:lineRule="auto"/>
        <w:tabs>
          <w:tab w:leader="none" w:pos="103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Variable Insurance Fund, Inc.—Discovery Portfolio holding 79,084 Class A ordinary shares, (xxiv) Morgan Stanley Variable Insurance Fund, Inc.—Growth Portfolio holding 242,043 Class A ordinary shares (collectively, the “MS Accounts”) and holds voting and dispositive power with respect to shares of record held by each of the MS Accounts. Each of the MS accounts received their respective Class A ordinary shares in connection with the issuance of, and, upon the closing of, the PIPE Placement. The address of Morgan Stanley Investment Management Inc., acting as adviser or sub-adviser, as the case may be, of each of the MS Accounts is 522 Fifth Avenue, New York, NY 10036.</w:t>
      </w:r>
    </w:p>
    <w:p>
      <w:pPr>
        <w:spacing w:after="0" w:line="1" w:lineRule="exact"/>
        <w:rPr>
          <w:rFonts w:ascii="Times New Roman" w:cs="Times New Roman" w:eastAsia="Times New Roman" w:hAnsi="Times New Roman"/>
          <w:sz w:val="18"/>
          <w:szCs w:val="18"/>
          <w:color w:val="auto"/>
        </w:rPr>
      </w:pPr>
    </w:p>
    <w:p>
      <w:pPr>
        <w:ind w:left="540" w:right="80" w:hanging="424"/>
        <w:spacing w:after="0" w:line="252"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6,227,000 Class A ordinary shares. Averill Master Fund, Ltd. (“Averill Fund”) is the record holder of 3,140,000 Class A ordinary shares reported herein. Mr. Cowen may be deemed to control Suvretta Capital Management, LLC, the investment manager of the Averill Fund, and therefore may be deemed to beneficially own the Class A ordinary shares held by the Averill Fund. SVAV Sponsor III, LLC (“SVAV”) is the record holder of 3,087,000 Class A ordinary shares reported herein. Mr. Cowen may be deemed to control SVAV and therefore may be deemed to beneficially own the Class A ordinary shares held by SVAV. Mr. Cowen disclaims beneficial ownership of the Class A ordinary shares reported herein except to the extent of any indirect pecuniary interest therein. The address of Mr. Cowen is c/o Suvretta Capital Management, LLC, 540 Madison Avenue, 7th Floor, New York, NY 10022.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239,420,000 Class A ordinary shares. The Selling Securityholders may from time to time offer and sell any or all of the Class A ordinary shares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ordinary shares other than through a public sale. We cannot advise you as to whether the Selling Securityholders will in fact sell any or all of such Class A ordinary shares. In addition, the Selling Securityholders may sell, transfer or otherwise dispose of, at any time and from time to time, Class A ordinary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the Selling Securityholders, the aggregate number of Class A ordinary shares and Class B ordinary shares or restricted stock rights underlying Class B ordinary shares (issuable upon the vesting of the restricted stock rights), which Class B ordinary shares are exchangeable, pursuant to the Exchange Agreement, to for Class A ordinary Shares that the Selling Securityholders may offer pursuant to this prospectus, and the beneficial ownership of the Selling Securityholders both before and after the offering. We have based the percentage ownership prior to this offering on a total of 232,314,192 shares outstanding, which includes 61,540,231 Class A ordinary shares and 170,723,961 Class B ordinary shares outstanding, in each case as of July 31, 2022.</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Class B</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Shares (or</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Number of Ordinary</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Number of</w:t>
            </w:r>
          </w:p>
        </w:tc>
        <w:tc>
          <w:tcPr>
            <w:tcW w:w="14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Class A</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Percentage</w:t>
            </w:r>
          </w:p>
        </w:tc>
        <w:tc>
          <w:tcPr>
            <w:tcW w:w="920" w:type="dxa"/>
            <w:vAlign w:val="bottom"/>
            <w:gridSpan w:val="2"/>
            <w:vMerge w:val="continue"/>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Shares Beneficially</w:t>
            </w:r>
          </w:p>
        </w:tc>
        <w:tc>
          <w:tcPr>
            <w:tcW w:w="8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7"/>
              </w:rPr>
              <w:t>Percentage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into Class B</w:t>
            </w: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Owned After the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Selling Securityholder</w:t>
            </w:r>
          </w:p>
        </w:tc>
        <w:tc>
          <w:tcPr>
            <w:tcW w:w="3200" w:type="dxa"/>
            <w:vAlign w:val="bottom"/>
            <w:vMerge w:val="restart"/>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9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Voting</w:t>
            </w: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Offered Shares are</w:t>
            </w:r>
          </w:p>
        </w:tc>
        <w:tc>
          <w:tcPr>
            <w:tcW w:w="80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Voting</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w w:val="99"/>
              </w:rPr>
              <w:t>Shares)</w:t>
            </w:r>
          </w:p>
        </w:tc>
        <w:tc>
          <w:tcPr>
            <w:tcW w:w="98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Offered</w:t>
            </w:r>
          </w:p>
        </w:tc>
        <w:tc>
          <w:tcPr>
            <w:tcW w:w="14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Sold</w:t>
            </w:r>
          </w:p>
        </w:tc>
        <w:tc>
          <w:tcPr>
            <w:tcW w:w="800" w:type="dxa"/>
            <w:vAlign w:val="bottom"/>
            <w:gridSpan w:val="2"/>
          </w:tcPr>
          <w:p>
            <w:pPr>
              <w:jc w:val="right"/>
              <w:ind w:right="228"/>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0" w:type="dxa"/>
            <w:vAlign w:val="bottom"/>
          </w:tcPr>
          <w:p>
            <w:pPr>
              <w:spacing w:after="0"/>
              <w:rPr>
                <w:sz w:val="1"/>
                <w:szCs w:val="1"/>
                <w:color w:val="auto"/>
              </w:rPr>
            </w:pPr>
          </w:p>
        </w:tc>
      </w:tr>
      <w:tr>
        <w:trPr>
          <w:trHeight w:val="135"/>
        </w:trPr>
        <w:tc>
          <w:tcPr>
            <w:tcW w:w="504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Anna-Maria and Stephen Kellen Foundation, Inc.(1)</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1,000,000</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1,000,000</w:t>
            </w:r>
          </w:p>
        </w:tc>
        <w:tc>
          <w:tcPr>
            <w:tcW w:w="2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ind w:left="9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5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Averill Master Fund, Ltd.(2)</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3,140,000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3,140,000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5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Banco Invex, S.A., Institución de Banca Múltiple, Invex Grupo Financiero, as</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5,000,000</w:t>
            </w: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5,000,000</w:t>
            </w:r>
          </w:p>
        </w:tc>
        <w:tc>
          <w:tcPr>
            <w:tcW w:w="142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Trustee of Trust I14165(3)</w:t>
            </w:r>
          </w:p>
        </w:tc>
        <w:tc>
          <w:tcPr>
            <w:tcW w:w="90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Brighthouse Funds Trust I: Morgan Stanley Discover y Portfolio(4)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497,653</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497,653</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Brown University(5)</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Carlos X. Del Rio(6)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Chamath Palihapitiya (7)</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13,273,000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13,273,000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5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Control Empresarial de Capitales, S.A. de C.V. (formerly Inversora Carso, S.A. de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63,118,645</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27.2%</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63,118,645</w:t>
            </w:r>
          </w:p>
        </w:tc>
        <w:tc>
          <w:tcPr>
            <w:tcW w:w="14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C.V.)(8)</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82"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Class B</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Shares (or</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Number of Ordinary</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Number of</w:t>
            </w:r>
          </w:p>
        </w:tc>
        <w:tc>
          <w:tcPr>
            <w:tcW w:w="15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Class A</w:t>
            </w: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Percentage</w:t>
            </w:r>
          </w:p>
        </w:tc>
        <w:tc>
          <w:tcPr>
            <w:tcW w:w="980" w:type="dxa"/>
            <w:vAlign w:val="bottom"/>
            <w:gridSpan w:val="2"/>
            <w:vMerge w:val="continue"/>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Shares Beneficially</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into Class B</w:t>
            </w:r>
          </w:p>
        </w:tc>
        <w:tc>
          <w:tcPr>
            <w:tcW w:w="1120" w:type="dxa"/>
            <w:vAlign w:val="bottom"/>
            <w:gridSpan w:val="2"/>
            <w:vMerge w:val="continue"/>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9"/>
              </w:rPr>
              <w:t>Owned After the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Selling Securityholder</w:t>
            </w:r>
          </w:p>
        </w:tc>
        <w:tc>
          <w:tcPr>
            <w:tcW w:w="2700" w:type="dxa"/>
            <w:vAlign w:val="bottom"/>
            <w:vMerge w:val="restart"/>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11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Voting</w:t>
            </w: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Offered Shares are</w:t>
            </w: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Voting</w:t>
            </w:r>
          </w:p>
        </w:tc>
        <w:tc>
          <w:tcPr>
            <w:tcW w:w="0" w:type="dxa"/>
            <w:vAlign w:val="bottom"/>
          </w:tcPr>
          <w:p>
            <w:pPr>
              <w:spacing w:after="0"/>
              <w:rPr>
                <w:sz w:val="1"/>
                <w:szCs w:val="1"/>
                <w:color w:val="auto"/>
              </w:rPr>
            </w:pPr>
          </w:p>
        </w:tc>
      </w:tr>
      <w:tr>
        <w:trPr>
          <w:trHeight w:val="163"/>
        </w:trPr>
        <w:tc>
          <w:tcPr>
            <w:tcW w:w="1840" w:type="dxa"/>
            <w:vAlign w:val="bottom"/>
            <w:tcBorders>
              <w:bottom w:val="single" w:sz="8" w:color="auto"/>
            </w:tcBorders>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9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10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1120" w:type="dxa"/>
            <w:vAlign w:val="bottom"/>
            <w:gridSpan w:val="2"/>
          </w:tcPr>
          <w:p>
            <w:pPr>
              <w:jc w:val="right"/>
              <w:ind w:right="620"/>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9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color w:val="auto"/>
              </w:rPr>
              <w:t>Offered</w:t>
            </w:r>
          </w:p>
        </w:tc>
        <w:tc>
          <w:tcPr>
            <w:tcW w:w="15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color w:val="auto"/>
              </w:rPr>
              <w:t>Sold</w:t>
            </w:r>
          </w:p>
        </w:tc>
        <w:tc>
          <w:tcPr>
            <w:tcW w:w="80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0" w:type="dxa"/>
            <w:vAlign w:val="bottom"/>
          </w:tcPr>
          <w:p>
            <w:pPr>
              <w:spacing w:after="0"/>
              <w:rPr>
                <w:sz w:val="1"/>
                <w:szCs w:val="1"/>
                <w:color w:val="auto"/>
              </w:rPr>
            </w:pPr>
          </w:p>
        </w:tc>
      </w:tr>
      <w:tr>
        <w:trPr>
          <w:trHeight w:val="20"/>
        </w:trPr>
        <w:tc>
          <w:tcPr>
            <w:tcW w:w="4540" w:type="dxa"/>
            <w:vAlign w:val="bottom"/>
            <w:gridSpan w:val="2"/>
            <w:vMerge w:val="restart"/>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CP WY REMAINDER INTEREST TRUST U/A/D DATED</w:t>
            </w: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540" w:type="dxa"/>
            <w:vAlign w:val="bottom"/>
            <w:gridSpan w:val="2"/>
            <w:vMerge w:val="continue"/>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3,000,000</w:t>
            </w: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3,000,000</w:t>
            </w:r>
          </w:p>
        </w:tc>
        <w:tc>
          <w:tcPr>
            <w:tcW w:w="15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22, 2021(9)</w:t>
            </w:r>
          </w:p>
        </w:tc>
        <w:tc>
          <w:tcPr>
            <w:tcW w:w="98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David Spiegel, M.D., Ph.D.(10)</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Denise and Michael Kellen Foundation, Inc.(11)</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DJG Associated, LLC(12)</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Donald P. Spencer and Vickie Riccardo JTWROS(13)</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ERAFP Actions Mid Cap USA I(4)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12,443</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12,443</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Fourteen Plus Twelve Partners, LLC(14)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George W. Siguler Family Trust (15)</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Growth Trust(4)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245,905</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245,905</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Hill Family Alternative Investments LLC(16)</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Hottinger AG(17)</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IHCI Investments LP(18)</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Inception Trust(4)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166,790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166,790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Johnson &amp; Johnson Pension and Savings Master Trust (JJ9L)(4)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15,421</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15,421</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Johnson &amp; Johnson Pension and Savings Master Trust (JJ9LDB)(4)</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136,426</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136,426</w:t>
            </w:r>
          </w:p>
        </w:tc>
        <w:tc>
          <w:tcPr>
            <w:tcW w:w="15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Juan Maria Pedro David Michel(19)</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Jupiter CAN(20)</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Kinstead Global Equity Pool(4)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16,039</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16,039</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KJB Associated LLC(21)</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Lawrencium Atoll Investments Ltd.(4)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34,707</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34,707</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Leman Management Nominees Limited(22)</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Luis Felipe Mancera de Arrigunaga(23)</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 Semigran(24)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Marina Kellen French Foundation(25)</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4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Master Trust for Defined Contribution Plans of American Airlines, Inc.</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109,253</w:t>
            </w: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109,253</w:t>
            </w:r>
          </w:p>
        </w:tc>
        <w:tc>
          <w:tcPr>
            <w:tcW w:w="15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Affiliates(4)</w:t>
            </w:r>
          </w:p>
        </w:tc>
        <w:tc>
          <w:tcPr>
            <w:tcW w:w="98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Max Pierre David Michel(26)</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4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MGG Strategic SICAF SIF, for and on behalf of its compartment, MGG</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1,000,000</w:t>
            </w: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1,000,000</w:t>
            </w:r>
          </w:p>
        </w:tc>
        <w:tc>
          <w:tcPr>
            <w:tcW w:w="15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Strategic(27)</w:t>
            </w:r>
          </w:p>
        </w:tc>
        <w:tc>
          <w:tcPr>
            <w:tcW w:w="98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Mikel Andoni Arriola Peñalosa (28)</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Monique Berthe Michele Madeleine David Michel(29)</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Morgan Stanley Funds (UK)—Global Insight Fund(4)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7,231</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7,231</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Morgan Stanley Insight Fund(4)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1,421,688</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1,421,688</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Institutional Fund Trust—Discovery Portfolio(4)</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800,384</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800,384</w:t>
            </w:r>
          </w:p>
        </w:tc>
        <w:tc>
          <w:tcPr>
            <w:tcW w:w="15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4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Morgan Stanley Institutional Fund, Inc.—Counterpoint Global</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3,802</w:t>
            </w: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3,802</w:t>
            </w:r>
          </w:p>
        </w:tc>
        <w:tc>
          <w:tcPr>
            <w:tcW w:w="15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Portfolio(4)</w:t>
            </w:r>
          </w:p>
        </w:tc>
        <w:tc>
          <w:tcPr>
            <w:tcW w:w="98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Institutional Fund, Inc.—Global Endurance Portfolio(4)</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19,748</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19,748</w:t>
            </w:r>
          </w:p>
        </w:tc>
        <w:tc>
          <w:tcPr>
            <w:tcW w:w="15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Institutional Fund, Inc.—Global Insight Portfolio(4)</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67,622</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67,622</w:t>
            </w:r>
          </w:p>
        </w:tc>
        <w:tc>
          <w:tcPr>
            <w:tcW w:w="15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Morgan Stanley Institutional Fund, Inc.—Growth Portfolio(4)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3,865,953</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3,865,953</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Morgan Stanley Institutional Fund, Inc.—Inception Portfolio(4)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332,167</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332,167</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Investment Funds—Counterpoint Global Fund(4)</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1,657</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1,657</w:t>
            </w:r>
          </w:p>
        </w:tc>
        <w:tc>
          <w:tcPr>
            <w:tcW w:w="15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Morgan Stanley Investment Funds—Global Endurance Fund(4)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34,186</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34,186</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Morgan Stanley Investment Funds—Global Insight Fund(4)</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293,852</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293,852</w:t>
            </w:r>
          </w:p>
        </w:tc>
        <w:tc>
          <w:tcPr>
            <w:tcW w:w="154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Morgan Stanley Investment Funds—US Growth Fund(4)</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1,549,102</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1,549,102</w:t>
            </w:r>
          </w:p>
        </w:tc>
        <w:tc>
          <w:tcPr>
            <w:tcW w:w="1540" w:type="dxa"/>
            <w:vAlign w:val="bottom"/>
            <w:gridSpan w:val="2"/>
            <w:shd w:val="clear" w:color="auto" w:fill="CCEEFF"/>
          </w:tcPr>
          <w:p>
            <w:pPr>
              <w:ind w:left="9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82"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Class B</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Shares (or</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Number of Ordinary</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Number of</w:t>
            </w:r>
          </w:p>
        </w:tc>
        <w:tc>
          <w:tcPr>
            <w:tcW w:w="14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Class A</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Percentage</w:t>
            </w:r>
          </w:p>
        </w:tc>
        <w:tc>
          <w:tcPr>
            <w:tcW w:w="920" w:type="dxa"/>
            <w:vAlign w:val="bottom"/>
            <w:gridSpan w:val="2"/>
            <w:vMerge w:val="continue"/>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Shares Beneficially</w:t>
            </w:r>
          </w:p>
        </w:tc>
        <w:tc>
          <w:tcPr>
            <w:tcW w:w="8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7"/>
              </w:rPr>
              <w:t>Percentage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into Class B</w:t>
            </w: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Owned After the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Selling Securityholder</w:t>
            </w:r>
          </w:p>
        </w:tc>
        <w:tc>
          <w:tcPr>
            <w:tcW w:w="3260" w:type="dxa"/>
            <w:vAlign w:val="bottom"/>
            <w:vMerge w:val="restart"/>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9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Voting</w:t>
            </w: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Offered Shares are</w:t>
            </w:r>
          </w:p>
        </w:tc>
        <w:tc>
          <w:tcPr>
            <w:tcW w:w="80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Voting</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w w:val="99"/>
              </w:rPr>
              <w:t>Shares)</w:t>
            </w:r>
          </w:p>
        </w:tc>
        <w:tc>
          <w:tcPr>
            <w:tcW w:w="98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Offered</w:t>
            </w:r>
          </w:p>
        </w:tc>
        <w:tc>
          <w:tcPr>
            <w:tcW w:w="14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Sold</w:t>
            </w:r>
          </w:p>
        </w:tc>
        <w:tc>
          <w:tcPr>
            <w:tcW w:w="800" w:type="dxa"/>
            <w:vAlign w:val="bottom"/>
            <w:gridSpan w:val="2"/>
          </w:tcPr>
          <w:p>
            <w:pPr>
              <w:jc w:val="right"/>
              <w:ind w:right="228"/>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0" w:type="dxa"/>
            <w:vAlign w:val="bottom"/>
          </w:tcPr>
          <w:p>
            <w:pPr>
              <w:spacing w:after="0"/>
              <w:rPr>
                <w:sz w:val="1"/>
                <w:szCs w:val="1"/>
                <w:color w:val="auto"/>
              </w:rPr>
            </w:pPr>
          </w:p>
        </w:tc>
      </w:tr>
      <w:tr>
        <w:trPr>
          <w:trHeight w:val="136"/>
        </w:trPr>
        <w:tc>
          <w:tcPr>
            <w:tcW w:w="510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Morgan Stanley Investment Funds—US Insight Fund(4)</w:t>
            </w: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46,844</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46,844</w:t>
            </w:r>
          </w:p>
        </w:tc>
        <w:tc>
          <w:tcPr>
            <w:tcW w:w="2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ind w:left="9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Variable Insurance Fund, Inc.—Discovery Portfolio(4)</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79,084</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79,084</w:t>
            </w: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Variable Insurance Fund, Inc.—Growth Portfolio(4)</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242,043</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242,043</w:t>
            </w:r>
          </w:p>
        </w:tc>
        <w:tc>
          <w:tcPr>
            <w:tcW w:w="1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5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Nogra Group SICAF-SIF, for and on behalf of its compartment, Nogra Group SICAF</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1,200,000</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1,200,000</w:t>
            </w:r>
          </w:p>
        </w:tc>
        <w:tc>
          <w:tcPr>
            <w:tcW w:w="14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—SIF—GG Strategic (the Investor)(30)</w:t>
            </w:r>
          </w:p>
        </w:tc>
        <w:tc>
          <w:tcPr>
            <w:tcW w:w="8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Pamela Mallon Siguler Family Trust(31)</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Paul Mower(32)</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ProKidney Management Equity LLC(33)</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22,203,387</w:t>
            </w: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22,203,387</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iPrime Participations LLC(34)</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Regina Mancera Bustamante(35)</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Ricardo José Garza Bustamante(36)</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Stephen M. Kellen 2004 Trust FBO Annabelle Garrett(37)</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Stephen M. Kellen 2004 Trust FBO Andrew Gundlach(38)</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Stephen M. Kellen 2004 Trust FBO Caroline L. Kellen(39)</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Stephen M. Kellen 2004 Trust FBO Christopher N. Kellen(40)</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Sukumar Nagendran(41)</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SVAV Sponsor III, LLC(42)</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3,087,000</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3,087,000</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Tensleep Group LLC(43)</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Tolerantia, LLC(44)</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94,677,968</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94,677,968</w:t>
            </w:r>
          </w:p>
        </w:tc>
        <w:tc>
          <w:tcPr>
            <w:tcW w:w="14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WECMA Family, LLC(45)</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420" w:type="dxa"/>
            <w:vAlign w:val="bottom"/>
            <w:gridSpan w:val="2"/>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Uma Sinha, Ph.D.(46)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30,000</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30,000</w:t>
            </w: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ind w:left="540" w:hanging="424"/>
        <w:spacing w:after="0" w:line="226"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1,000,000 Class A ordinary shares. The address of Anna-Maria and Stephen Kellen Foundation, Inc. is 1345 Avenue of the Americas, 47th Floor, New York, NY 10105.</w:t>
      </w:r>
    </w:p>
    <w:p>
      <w:pPr>
        <w:ind w:left="540" w:right="120" w:hanging="424"/>
        <w:spacing w:after="0" w:line="221"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3,140,000 Class A ordinary shares held by Averill Fund issued in the PIPE Investment. Suvretta Capital Management, LLC, the investment manager of Averill Fund, may be deemed to beneficially own the Class A ordinary shares held by Averill Fund. Aaron Cowen may be deemed to control Suvretta Capital Management, LLC, and therefore may be deemed to beneficially own the Class A ordinary shares held by Averill Fund. The address of Averill Fund, is 540 Madison Avenue, 7th Floor, New York, NY 10022.</w:t>
      </w:r>
    </w:p>
    <w:p>
      <w:pPr>
        <w:ind w:left="540" w:hanging="424"/>
        <w:spacing w:after="0" w:line="221"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5,000,000 Class A ordinary shares held of record by Banco Invex, S.A., Institución de Banca Múltiple, Invex Grupo Financiero, acting solely and exclusively in its capacity as trustee of the trustee of Trust, whose record holders are the Trust Beneficiaries. Each of (i) Bertha Paula Michel Gonzalez, (ii) Maria Magdalena Michel Gonzalez and</w:t>
      </w:r>
    </w:p>
    <w:p>
      <w:pPr>
        <w:jc w:val="both"/>
        <w:ind w:left="540" w:right="300" w:firstLine="8"/>
        <w:spacing w:after="0" w:line="221" w:lineRule="auto"/>
        <w:tabs>
          <w:tab w:leader="none" w:pos="792"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Maximino Jose Michel Gonzalez has voting and dispositive power over, one-third of the total number of Class A ordinary shares held by the Trust. The address of the Trust is Boulevard Manuel Avila Camacho No. 40, Piso 7, Lomas De Chapultepec, Ciudad De México 11000. The address of each of the Trust Beneficiaries is Bosque De Radiatas 6-602, Bosques De Las Lomas, Cuajimalpa 05120, Mexico.</w:t>
      </w:r>
    </w:p>
    <w:p>
      <w:pPr>
        <w:ind w:left="540" w:right="120" w:hanging="424"/>
        <w:spacing w:after="0" w:line="221"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Morgan Stanley Investment Management Inc. is the adviser or sub-adviser, as the case may be, of each of (i) Brighthouse Funds Trust I: Morgan Stanley Discovery Portfolio, holding 497,653 Class A ordinary shares, (ii) ERAFP Actions Mid Cap USA I holding 12,443 Class A ordinary shares, (iii) Growth Trust holding 245,905 Class A ordinary shares,</w:t>
      </w:r>
    </w:p>
    <w:p>
      <w:pPr>
        <w:ind w:left="540" w:right="20" w:firstLine="8"/>
        <w:spacing w:after="0" w:line="221" w:lineRule="auto"/>
        <w:tabs>
          <w:tab w:leader="none" w:pos="784"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Inception Trust holding, 166,790 Class A ordinary shares, (v) Johnson &amp; Johnson Pension and Savings Master Trust (JJ9L) holding 15,421 Class A ordinary shares, (vi) Johnson &amp; Johnson Pension and Savings Master Trust (JJ9LDB) holding 136,426 Class A ordinary shares, (vii) Kinstead Global Equity Pool holding 16,039 Class A ordinary shares,</w:t>
      </w:r>
    </w:p>
    <w:p>
      <w:pPr>
        <w:jc w:val="both"/>
        <w:ind w:left="540" w:right="80" w:firstLine="8"/>
        <w:spacing w:after="0" w:line="221" w:lineRule="auto"/>
        <w:tabs>
          <w:tab w:leader="none" w:pos="864"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Lawrencium Atoll Investments Ltd. holding 34,707 Class A ordinary shares, (ix) Master Trust for Defined Contribution Plans of American Airlines, Inc. and Affiliates holding 109,253 Class A ordinary shares, (x) Morgan Stanley Funds (UK)—Global Insight Fund holding 7,231 Class A ordinary shares, (xi) Morgan Stanley Insight Fund holding 1,421,688 Class A ordinary shares, (xii) Morgan Stanley Institutional Fund Trust—Discovery Portfolio holding 800,384 Class A ordinary shares, (xiii) Morgan Stanley Institutional Fund, Inc.— Inception Portfolio holding 332,167 Class A ordinary shares, (xiv) Morgan Stanley Institutional Fund, Inc.—Counterpoint Global Portfolio holding 3,802 Class A ordinary shares,</w:t>
      </w:r>
    </w:p>
    <w:p>
      <w:pPr>
        <w:spacing w:after="0" w:line="1" w:lineRule="exact"/>
        <w:rPr>
          <w:rFonts w:ascii="Times New Roman" w:cs="Times New Roman" w:eastAsia="Times New Roman" w:hAnsi="Times New Roman"/>
          <w:sz w:val="14"/>
          <w:szCs w:val="14"/>
          <w:color w:val="auto"/>
        </w:rPr>
      </w:pPr>
    </w:p>
    <w:p>
      <w:pPr>
        <w:ind w:left="540" w:right="360" w:firstLine="8"/>
        <w:spacing w:after="0" w:line="239" w:lineRule="auto"/>
        <w:tabs>
          <w:tab w:leader="none" w:pos="816"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Morgan Stanley Institutional Fund, Inc.—Global Endurance Portfolio holding 19,748 Class A ordinary shares, (xvi) Morgan Stanley Institutional Fund, Inc.—Global Insight Portfolio holding 67,622 Class A ordinary shares, (xvii) Morgan Stanley Institutional Fund,</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82"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Inc.—Growth Portfolio holding 3,865,953 Class A ordinary shares, (xviii) Morgan Stanley Investment Funds—Counterpoint Global Fund holding 1,657 Class A ordinary shares,</w:t>
      </w:r>
    </w:p>
    <w:p>
      <w:pPr>
        <w:spacing w:after="0" w:line="4" w:lineRule="exact"/>
        <w:rPr>
          <w:sz w:val="20"/>
          <w:szCs w:val="20"/>
          <w:color w:val="auto"/>
        </w:rPr>
      </w:pPr>
    </w:p>
    <w:p>
      <w:pPr>
        <w:ind w:left="540" w:right="120" w:firstLine="8"/>
        <w:spacing w:after="0" w:line="221" w:lineRule="auto"/>
        <w:tabs>
          <w:tab w:leader="none" w:pos="856"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Morgan Stanley Investment Funds—Global Endurance Fund holding 34,186 Class A ordinary shares, (xx) Morgan Stanley Investment Funds—Global Insight Fund holding 293,852 Class A ordinary shares, (xxi) Morgan Stanley Investment Funds—US Growth Fund holding 1,549,102 Class A ordinary shares, (xxii) Morgan Stanley Investment Funds— US Insight Fund holding 46,844 Class A ordinary shares, (xxiii) Morgan Stanley Variable Insurance Fund, Inc.—Discovery Portfolio holding 79,084 Class A ordinary shares,</w:t>
      </w:r>
    </w:p>
    <w:p>
      <w:pPr>
        <w:ind w:left="540" w:right="260" w:firstLine="8"/>
        <w:spacing w:after="0" w:line="221" w:lineRule="auto"/>
        <w:tabs>
          <w:tab w:leader="none" w:pos="92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Morgan Stanley Variable Insurance Fund, Inc.—Growth Portfolio holding 242,043 Class A ordinary shares and holds voting and dispositive power with respect to shares of record held by each of the MS Accounts. The address of Morgan Stanley Investment Management Inc., acting as adviser or sub-adviser, as the case may be, of each of the MS Accounts is 522 Fifth Avenue, New York, NY 10036.</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1,000,000 Class A ordinary shares. The address of Brown University is 121 South Main Street, 9th floor, Providence RI, 02903.</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27,500 Class A ordinary shares. The address of Carlos X. Del Rio is Monte Everest 440, Col. Lomas de Chapultepec, Ciudad de México, 11000, Mexico.</w:t>
      </w:r>
    </w:p>
    <w:p>
      <w:pPr>
        <w:ind w:left="540" w:right="12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13,273,000 Class A ordinary shares, including 9,500,000 Class A ordinary shares held of record by SC PIPE Holdings and 3,773,000 Class A ordinary shares held of record by SC Master Holdings. SC PIPE Holdings is controlled by Mr. Palihapitiya, the former Chief Executive Officer and Chairman of the Board of Directors of SCS. SC Master Holdings is the sole member of SC PIPE Holdings. Mr. Palihapitiya and SC Master Holdings may be deemed to beneficially own Class A ordinary shares held directly by SC PIPE Holdings by virtue of their indirect or direct interests in SC PIPE Holdings or their control over SC PIPE Holdings, as the case may be. SC Master Holdings is controlled by Mr. Palihapitiya. Mr. Palihapitiya may be deemed to beneficially own Class A ordinary shares held directly by SC Master Holdings by virtue of his indirect interests in SC Master Holdings or his control over SC Master Holdings, as the case may be. The Class A ordinary shares reported herein do not include 3,000,000 Class A ordinary shares held directly by the Family Trust, which are otherwise reported in this table. Mr. Palihapitiya may be deemed to beneficially own Class A ordinary shares held directly by the Family Trust. The address of each of Mr. Palihapitiya, SC Master Holdings and SC PIPE Holdings is c/o SC Master Holdings, LLC, 506 Santa Cruz Avenue, Suite 300, Menlo Park, California 94025.</w:t>
      </w:r>
    </w:p>
    <w:p>
      <w:pPr>
        <w:spacing w:after="0" w:line="2"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in the table and footnote is based upon information provided to us by the direct shareholder, CEC. Consists of 63,118,645 Class B ordinary shares held by CEC, which may be exchanged, together with a corresponding number of Post-Combination ProKidney Common Units, pursuant to the Exchange Agreement, for 63,118,645 Class A ordinary shares. Members of the Slim family, directly or indirectly, own all of the issued and outstanding voting equity securities of CEC. Therefore, the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 11000 Ciudad de Mexico, Mexico and Control Empresarial has an address of Paseo de las Palmas 781, Piso 3, Colonia Lomas de Chapultepec, Seccion III, Migual Hidalgo, Ciudad de Mexico, Mexico, 11000.</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3,000,000 Class A ordinary shares. Mr. Palihapitiya, the former Chief Executive Officer and Chairman of the Board of Directors of SCS, may be deemed to beneficially own Class A ordinary shares held directly by CP WY REMAINDER INTEREST TRUST U/A/D DATED DECEMBER 22, 2021. The address of CP WY REMAINDER INTEREST TRUST U/A/D DATED DECEMBER 22, 2021 is 415 W. 17th Street STE B2, Cheyenne, WY 82001.</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 Class A ordinary shares underlying the RSUs held by David Spiegel, M.D., Ph.D. that vested at Closing and are issuable on January 7, 2023.</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 Class A ordinary shares. The address of Denise and Michael Kellen Foundation, Inc. is 1345 Avenue of the Americas, 47th Floor, New York, NY 10105.</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600,000 Class A ordinary shares. The address of DJG Associated, LLC is 62 Vineyard Lane, Greenwich, CT 06831.</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 Class A ordinary shares. The address of Donald P. Spencer and Vickie Riccardo JTWROS is 370 Palmetto Road, St. Augustine, FL 32080.</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200,000 Class A ordinary shares. The address of Fourteen Plus Twelve Partners, LLC is 62 Vineyard Lane, Greenwich, CT 06831.</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125,000 Class A ordinary shares. The address of George W. Siguler Family Trust is 893 Ponte Vedra Blvd, Ponte Vedra Beach, FL 32082.</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500,000 Class A ordinary shares. The address of Hill Family Alternative Investments LLC is 834 Fifth Avenue, 10B, New York, NY 10065.</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 Class A ordinary shares. The address of Hottinger AG is 60 Rue du Stand, Geneva 1204, Switzerland.</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5,000,000 Class A ordinary shares. The address of IHCI Investments LP is 1188 Union, Montreal QC H3B 0E5, Canada.</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800,000 Class A ordinary shares. The address of Juan María Pedro David Michel is Bosque de Radiatas 6-602, Bosques de las Lomas, Cuajimalpa 05120, Mexico.</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5,000,000 Class A ordinary shares. The address of Jupiter CAN LP is 5930 Royal Lane, Suite E, #117, Dallas, TX 75230.</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200,000 Class A ordinary shares. The address of KJB Associated LLC is 860 United Nations Plz Apt #33D, New York, NY 10017.</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2,000,000 Class A ordinary shares. The address of Leman Management Nominees Limited is Wessex House 2nd Floor, 45 Reid Street, Hamilton HM 12, Bermuda.</w:t>
      </w:r>
    </w:p>
    <w:p>
      <w:pPr>
        <w:ind w:left="540" w:hanging="424"/>
        <w:spacing w:after="0" w:line="221" w:lineRule="auto"/>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80,000 Class A ordinary shares. The address of Luis Felipe Mancera de Arrigunaga is Colina 52 Lomas de Bezarcs 11910, Mexico City, Mexico.</w:t>
      </w:r>
    </w:p>
    <w:p>
      <w:pPr>
        <w:ind w:left="540" w:hanging="424"/>
        <w:spacing w:after="0"/>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Class A ordinary shares.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82"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 Class A ordinary shares. The address of Marina Kellen French Foundation is 1345 Avenue of the Americas, 47th Floor, New York, NY 10105.</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800,000 Class A ordinary shares. The address of Max Pierre David Michel is Bosque de Radiatas 6-602-103, Bosques de las Lomas, Cuajimalpa 05120, Mexico.</w:t>
      </w:r>
    </w:p>
    <w:p>
      <w:pPr>
        <w:ind w:left="540" w:right="38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1,000,000 Class A ordinary shares. The address of MGG Strategic SICAF SIF, for and on behalf of its compartment, MGG Strategic is 18 Avenue de la Porte Neuve, Luxembourg 2227, Luxembourg.</w:t>
      </w:r>
    </w:p>
    <w:p>
      <w:pPr>
        <w:ind w:left="540" w:right="8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15,000 Class A ordinary shares. The address of Mikel Andoni Arriola Peñalosa is Av. Paseo de la Reforma 2693, 401-C, Lomas de Bezares, Miguel Hidalgo, Mexico City 11910, Mexico.</w:t>
      </w:r>
    </w:p>
    <w:p>
      <w:pPr>
        <w:ind w:left="540" w:right="12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800,000 Class A ordinary shares. The address of Monique Berthe Michele Madeleine David Michel is Bosque de Radiatas 6-602-103, Bosques de las Lomas, Cuajimalpa 05120, Mexico.</w:t>
      </w:r>
    </w:p>
    <w:p>
      <w:pPr>
        <w:ind w:left="540" w:right="6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1,200,000 Class A ordinary shares. The address of GG 1978 SICAF SIF, for and on behalf of its compartment, GG Strategic (the Investor) is 18 Avenue de la Porte Neuve, Luxembourg 2227, Luxembourg.</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125,000 Class A ordinary shares. The address of Pamela Mallon Siguler Family Trust is 893 Ponte Vedra Blvd, Ponte Vedra Beach, FL 32082.</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 Class A ordinary shares. The address of Paul Mower is 614 Lakota Lane (PO Box 4112), Jackson, WY 83001.</w:t>
      </w:r>
    </w:p>
    <w:p>
      <w:pPr>
        <w:ind w:left="540" w:right="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12,927,348 13,045,190 Class B ordinary shares, (ii) 117,842 Class B ordinary shares issuable upon the vesting of PMEL RCUs within 60 days of July 31, 2022 and (iii) 9,158,197 PMEL RCUs held by ProKidney Management Equity LLC on behalf of individual unitholders. Upon vesting of the PMEL RCUS, the aggregate of 22,203,387 Class B ordinary shares may be exchanged, together with a corresponding number of Post-Combination ProKidney Common Units, pursuant to the Exchange Agreement, for a total of 22,203,387 Class A ordinary shares.</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300,000 Class A ordinary shares. The address of Prime Participations LLC is 110 East 59th Street, 33rd Fl, New York, NY 10022.</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 Class A ordinary shares. The address of Regina Mancera Bustamante is Bosque de Tulipanes 14, Col. Bosques de las Lomas, Cuajimalpa 05120, Mexico.</w:t>
      </w:r>
    </w:p>
    <w:p>
      <w:pPr>
        <w:ind w:left="540" w:right="46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 Class A ordinary shares. The address of Ricardo José Garza Bustamante is Av de Los Poetas 100, RCA 901, Col. Cumbres de Santa Fe, Mexico City 05600, Mexico.</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75,000 Class A ordinary shares. The address of Stephen M. Kellen 2004 Trust FBO Annabelle Garrett is 1345 Avenue of the Americas, 47th Floor, New York, NY 10105.</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75,000 Class A ordinary shares. The address of Stephen M. Kellen 2004 Trust FBO Andrew Gundlach is 1345 Avenue of the Americas, 47th Floor, New York, NY 10105.</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75,000 Class A ordinary shares. The address of Stephen M. Kellen 2004 Trust FBO Caroline L. Kellen is 1345 Avenue of the Americas, 47th Floor, New York, NY 10105.</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75,000 Class A ordinary shares. The address Stephen M. Kellen 2004 Trust FBO Christopher N. Kellen is 1345 Avenue of the Americas, 47th Floor, New York, NY 10105.</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 Class A ordinary shares underlying the RSUs held by Sukumar Nagendran that vested at Closing and are issuable on January 7, 2023.</w:t>
      </w:r>
    </w:p>
    <w:p>
      <w:pPr>
        <w:ind w:left="540" w:right="12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3,087,000 Class A ordinary shares. Aaron Cowen and Kishan Mehta may be deemed to control SVAV, and therefore may be deemed to beneficially own the Class A ordinary shares held by SVAV. Kishan Mehta was the president and on the board of directors of SCS. The address of SVAV is 540 Madison Avenue, 7th Floor, New York, NY 10022.</w:t>
      </w: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 Class A ordinary shares. The address of Tensleep Group LLC is 140 S. Cache St. (PO Box 4112), Jackson, WY 83001.</w:t>
      </w:r>
    </w:p>
    <w:p>
      <w:pPr>
        <w:jc w:val="both"/>
        <w:ind w:left="540" w:right="10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94,677,968 Class B ordinary shares held by Tolerantia, which may be exchanged, together with a corresponding number of Post-Combination ProKidney Common Units, pursuant to the Exchange Agreement, for 94,677,968 Class A ordinary shares. Tolerantia is an affiliate controlled and majority-owned by Mr. Pablo Legorreta. Mr. Legorreta controls the voting and disposition of the shares held by Tolerantia. Mr. Legorreta disclaims beneficial ownership of the shares held by Tolerantia except to the extent of his indirect pecuniary interest therein. The business address of Tolerantia is 110, East 59th Street, Suite 3300, New York, New York, 10022.</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250,000 Class A ordinary shares. The address of WECMA Family, LLC is 893 Ponte Vedra Blvd, Ponte Vedra Beach, FL 32082.</w:t>
      </w:r>
    </w:p>
    <w:p>
      <w:pPr>
        <w:ind w:left="540" w:right="320" w:hanging="424"/>
        <w:spacing w:after="0" w:line="239"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Class A ordinary shares underlying the RSUs held by Uma Sinha, Ph.D. that vested at Closing and are issuable on January 7, 2023. The address of Uma Sinha, Ph.D. is c/o ProKidney Corp., 2000 Frontis Plaza Blvd., Ste 250, Winston-Salem, North Carolina, 27103.</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25, 2022, the closing price of our Class A ordinary shares was $7.50 per share. The ordinary shares held by the Selling Securityholders were purchased at prices no higher than $10.00 per share. In particular, (i) the 6,250,000 Class B ordinary shares (which were converted into Class A ordinary shares on a one-for-one basis upon the closing of the Business Combination) held by former holders of Class B ordinary shares were purchased at an effective price of $0.004 per share; (ii) the 52,480,000 PIPE Shares, 5,000,000 Class B ordinary shares acquired by Tolerantia and CEC pursuant to their Subscription Agreements and subsequent election to receive Post-Combination ProKidney Common Units (and a corresponding number of Class B ordinary shares) in lieu of Class A ordinary shares, and the 640,000 Private Placement Shares registered for resale hereby were purchased at a price of $10.00 per share; (iii) 152,796,613 Class B ordinary shares held by Tolerantia and CEC, which are exchangeable for Class A ordinary shares pursuant to the Exchange Agreement, were purchased from ProKidney LP at a price per share of $1.22, after adjusting for the recapitalization of Class A and Class B units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ProKidney LP into Class B ordinary shares (including Class B ordinary shares underlying restricted stock rights); (iv) 7,699,927 Class B ordinary shares (including Class B ordinary shares underlying restricted stock rights) held by PMEL were purchased by individual holders at a price per share of $1.11, after adjusting for the recapitalization mentioned in clause (iii); (v) 14,503,460 Class B ordinary shares (including Class B ordinary shares underlying restricted stock rights) held by PMEL were granted to, rather than purchased by, individual holders; and (vi) 50,000 Class A ordinary shares held by directors and advisors of SCS prior to the Closing that were granted in the form of RSUs that vested at Closing as compensation for services rendered prior to the Closing.</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Based on the closing price of our Class A ordinary shares on August 25, 2022 of $7.50 per share (and notwithstanding any lock-up restrictions with and/or vesting provisions), those Selling Securityholders that were granted their shares or that purchased their shares at a price per share below the current market price of our Class A ordinary shares (or that was a transferee of shares that were purchased at a price per share below the current market price of our Class A ordinary shares) would have a potential unrealized gain of approximately $1.2 billion in the aggregate. Moreover, even if the price of our Class A ordinary shares falls below $10.00 per share, which was the price per share sold in our initial public offering and the per-share price of the PIPE Shares, certain of the Selling Securityholders may still have an incentive to sell the securities registered hereby in light of the prices such securityholders paid for such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ProKidney Executive Officers and Directors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concerning the persons who serve as directors and executive officers of ProKidney following the consummation of the Business Combination and their ages as of July 31, 2022 and positions following the Business Combination: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80" w:type="dxa"/>
            <w:vAlign w:val="bottom"/>
          </w:tcPr>
          <w:p>
            <w:pPr>
              <w:spacing w:after="0"/>
              <w:rPr>
                <w:sz w:val="15"/>
                <w:szCs w:val="15"/>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Age</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71"/>
        </w:trPr>
        <w:tc>
          <w:tcPr>
            <w:tcW w:w="37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 Bertram, Ph.D.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Coulston, CPA</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Jain, Ph.D.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Darin J. Weber, Ph.D.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Senior Vice President of Regulatory Development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C. Girolamo</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Libbie P. McKenzie, M.D.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30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Pablo Legorreta</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F. Doyle</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M. Lotvin, M.D.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J.G. Pereira, M.D.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Uma Sinha, Ph.D.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 Maraganore, Ph.D.</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José Ignacio Jimenez Santos</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w:t>
            </w:r>
          </w:p>
        </w:tc>
        <w:tc>
          <w:tcPr>
            <w:tcW w:w="4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Officers and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James Coulston, CPA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Coulston has served as our Chief Financial Officer since the Closing, having served as ProKidney-US’s Chief Financial Officer since January</w:t>
      </w:r>
    </w:p>
    <w:p>
      <w:pPr>
        <w:spacing w:after="0" w:line="27" w:lineRule="exact"/>
        <w:rPr>
          <w:sz w:val="20"/>
          <w:szCs w:val="20"/>
          <w:color w:val="auto"/>
        </w:rPr>
      </w:pPr>
    </w:p>
    <w:p>
      <w:pPr>
        <w:ind w:left="120"/>
        <w:spacing w:after="0" w:line="244" w:lineRule="auto"/>
        <w:rPr>
          <w:sz w:val="20"/>
          <w:szCs w:val="20"/>
          <w:color w:val="auto"/>
        </w:rPr>
      </w:pPr>
      <w:r>
        <w:rPr>
          <w:rFonts w:ascii="Times New Roman" w:cs="Times New Roman" w:eastAsia="Times New Roman" w:hAnsi="Times New Roman"/>
          <w:sz w:val="18"/>
          <w:szCs w:val="18"/>
          <w:color w:val="auto"/>
        </w:rPr>
        <w:t>2022. Prior to that, Mr. Coulston served as ProKidney-US’s Senior Vice President, Finance from January 2021 to December 2021 and ProKidney-US’s Vice President, Finance from February 2019 to December 2020. Before joining ProKidney, from August 2015 to January 2019, Mr. Coulston served as the Executive Director, Finance of Banner Life Sciences LLC, a privately held clinical-stage pharmaceutical company combining a proven history of formulation expertise with proprietary technologies to create specialty pharmaceuticals that solve real unmet clinical needs, where Mr. Coulston oversaw the financial, human resources, and IT activities. From 2007 to 2015, Mr. Coulston held finance roles of increasing responsibility at Targacept Inc. (Nasdaq: TRGT), a clinical-stage biopharmaceutical company developing novel NNR Therapeutics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before it merged with and into Catalyst Biosciences, Inc. (Nasdaq: CBIO), a clinical-stage biopharmaceutical company focused on creating and developing novel medicines to address serious medical conditions, including Senior Director, Finance and Controller. Mr. Coulston earned his B.S. and master degree in Accounting from North Carolina State University and is a Certified Public Accountant in the state of North Carolina.</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Deepak Jain, Ph.D.</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Dr. Jain has served as our Chief Operating Officer since the Closing, having served as ProKidney-US’s Chief Operating Officer since March 2016. Dr. Jain brings over 36 years of experience in the development of tissue-engineered and cell therapy products. Previously, Dr. Jain held management roles of increasing responsibility at Johnson &amp; Johnson (NYSE: JNJ) and Merck (NYSE: MRK) and was involved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development of four marketed products including Johnson &amp; Johnson’s erythropoietin-based drug Eprex (epoetin alfa). Dr. Jain has served as Chairman of the American Society for Testing and Materials Task Group on Preservation of Cells and Tissue Engineered Medical Product’s with Cells, and has served as Chairman of the USP Tissue and Tissue-based Products Ad hoc Advisory Panel and was member of the USP Biologics and Biotechnology Cell, Gene and Tissue Therapy Expert Committee. Dr. Jain received his B. Tech and M. Tech in Chemical Engineering and his Ph.D. in Biochemical Engineering from the Indian Institute of Technology in Delhi, India.</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Darin J. Weber, Ph.D.</w:t>
      </w:r>
    </w:p>
    <w:p>
      <w:pPr>
        <w:spacing w:after="0" w:line="119"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Dr. Weber has served as our Senior Vice President of Regulatory Development since the Closing, having served as ProKidney-US’s Senior Vice President of Regulatory Development since September 2020, where he is responsible for leading the development and implementation of ProKidney’s regulatory strategy in all markets, worldwide, and interfacing with regulatory authorities. Dr. Weber has over 25 years of experience in cellular and tissue-based regenerative medicine products, with previous roles as Senior Vice President of Regulatory and Quality at Medeor Therapeutics, from February 2016 to December 2019; Executive Vice President of Global Regulatory Affairs and Quality Management at Mesoblast, from June 2011 to February 2016; Senior Consultant for Cell and Gene Therapies at Biologics Consulting Group from February 2004 to May 2011, and positions of increasing responsibility at the FDA’s CBER, including as Chief of Cellular Therapies Branch in the Office of Cellular, Tissues and Gene Therapies, (now known as the Office of Tissues and Advanced Therapies) from September 1996 to January 2004. He is a long-serving member of United States Pharmacopeia (USP) expert committees for human tissues and advanced therapies. Dr. Weber received his B.S. in Molecular Biology from The Evergreen State College and a Ph.D. in Biochemistry and Biophysics from Oregon State University.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Todd C. Girolamo</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Mr. Girolamo has served as our Chief Legal Officer since July 2022. Mr. Girolamo joined ProKidney as General Counsel in March 2022. Prior to that, he spent 11 years at Caladrius Biosciences, Inc. (Nasdaq: CLBS), where he served as Chief Legal Officer, Senior Vice President of Corporate Development and Corporate Secretary. He began his legal career at Cahill Gordon &amp; Reindel in 1990 and later at Reid &amp; Priest, practicing in the areas of securities law, intellectual property, employment law and general commercial litigation. After private practice, Mr. Girolamo spent 12 years on Wall Street in institutional equities as a series 24, 7 and 63 licensed principal at Oppenheimer &amp; Co., CIBC World Markets, Leerink Swann (now SVB Securities LLC) and Summer Street Research Partners where he specialized in equity research, sales, and trading of biotechnology, pharmaceuticals and medical technology market sectors. Mr. Girolamo then served as an analyst and portfolio manager at Lion’s Path Capital managing a long-short portfolio of biopharma and med-tech equities. Mr. Girolamo received an A.B. with honors from Harvard College, a J.D. from the University of Pennsylvania Law School and an MBA from Columbia Business School.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Libbie P. McKenzie, M.D.</w:t>
      </w:r>
    </w:p>
    <w:p>
      <w:pPr>
        <w:spacing w:after="0" w:line="11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Dr. McKenzie has served as our Chief Medical Officer since the Closing, having served as ProKidney-US’s Chief Medical Officer since April 2022. Prior to that, she held roles of increasing responsibility at IQVIA / Quintiles since June 2007. Most recently, Dr. McKenzie served as Vice President, Medical, Global Head of Lifecycle Safety Project Leadership and Strategic Solutions from November 2019 to March 2022, and as Vice President, Medical, Global Head of Marketed Product Safety and Medical Information from March 2015 to November 2018, and as Executive Director, Medical, Global Head of Safety Aggregate Reporting and Analytics from January 2013 to March 2015, and as Executive Director, Medical, Global Head of Medical Safety from January 2009 to January 2013, and as Associate Medical Director from June 2007 to January 2009. Prior to joining IQVIA</w:t>
      </w:r>
    </w:p>
    <w:p>
      <w:pPr>
        <w:spacing w:after="0" w:line="5" w:lineRule="exact"/>
        <w:rPr>
          <w:sz w:val="20"/>
          <w:szCs w:val="20"/>
          <w:color w:val="auto"/>
        </w:rPr>
      </w:pPr>
    </w:p>
    <w:p>
      <w:pPr>
        <w:ind w:left="120" w:right="500" w:hanging="4"/>
        <w:spacing w:after="0" w:line="255" w:lineRule="auto"/>
        <w:tabs>
          <w:tab w:leader="none" w:pos="2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Quintiles, Dr. McKenzie was Medical Director and Medical Safety Officer at Ashfield / Drug Safety Alliance from October 2005 to May 2007. Dr. McKenzie has expertise in clinical, pharmacovigilance and regulatory affairs, with over fifteen years of industry experience. In addition to her corporate roles, Dr. McKenzie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was Dialysis Unit Medical Director at NaphCare in Raleigh, NC, from 2006 to 2020, making her intimately familiar with the challenges faced by patients undergoing dialysis. She holds a B.S. in Biology and Psychology from Duke University and an M.D. from Duke University School of Medicine. She completed a residency in internal medicine and a fellowship in nephrology at Duke University Medical Center. Dr. McKenzie is a Fellow of the American Society of Nephrology and an Associate of the American College of Physicians.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Tim Bertram, Ph.D.</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Dr. Bertram has served on the Board, as our Chief Executive Officer, and as a director on the GP Board since the Closing. Dr. Bertram has served as Chief Executive Officer of ProKidney-US and ProKidney-KY since January 2019. and served on the Legacy GP Board from January 2022 until the Closing. Dr. Bertram has also served as a member of the board of directors of ProKidney-KY (the “ProKidney-KY Board”) since January 2022. Since February 2017, Dr. Bertram has served on the board of directors of NexImmune, Inc. (Nasdaq: NEXI), a clinical-stage biotechnology company developing a novel approach to immunotherapy designed to orchestrate a targeted immune response by directing the function of antigen-specific T cells. Dr. Bertram served as Chief Scientific Officer of Tengion Inc. from 2004 to 2014 after serving as President of Research and Development, where he brought four cell-based therapeutic products from discovery through Phase 2 clinical development. Dr. Bertram was also involved in the development and registration of eight medical products while serving as a senior executive at Pfizer Inc. (NYSE: PFE), SmithKline Beecham Pharmaceuticals, and The Procter &amp; Gamble Company (NYSE: PG) from 1985 to 2004. He was a faculty member at the University of Illinois, and a visiting scientist at the National Institutes of Health. Tengion Inc. filed a voluntary Chapter 7 bankruptcy petition in December 2014. Dr. Bertram received his D.V.M. in Biology and Veterinary Medicine and his Ph.D. in Cellular Pathology from Iowa State University and was board certified in Veterinary Pathology in 1984. Dr. Bertram’s qualifications to serve on the Board include his leadership experience in the healthcare industry, as well as his knowledge of ProKidney’s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Pablo Legorreta</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Mr. Legorreta has served as Chairman of the Board and a director on the GP Board since the Closing. Mr. Legorreta served on the Legacy GP Board from August 2021 until the Closing, as a director of the ProKidney-KY Board since January 2019, and as a manager of ProKidney Bermuda since January 2019. Mr. Legorreta is the founder and has served as Chief Executive Officer of Royalty Pharma plc (Nasdaq: RPRX), a rapidly growing biopharma company and one of the largest dedicated life sciences investors in the world, since September 1996. Mr. Legorreta has also served as the Chairman of the board of directors of Royalty Pharma plc since April 2020. Mr. Legorreta has over 25 years of experience building and managing Royalty Pharma plc. Additionally, Mr. Legorreta is a co-founder of Pharmakon Advisors, LP, a leading provider of debt capital to the life sciences industry, where he has served as a managing member, since April 2009. Mr. Legorreta has served as a director of Epizyme, Inc. (Nasdaq: EPZM), a fully integrated, commercial-stage biopharmaceutical company developing and delivering novel epigenetic therapies, since November 2019. Additionally, Mr. Legorreta is a co-founder of Pharmakon Advisors, LP, a leading provider of debt capital to the life sciences industry, where he has served as a managing member since April 2009. Mr. Legorreta has served on the Board of Governors of the New York Academy of Sciences since January 2015, the Board of Trustees of Rockefeller University since March 2017, and the Board of Trustees and Compensation, Research and Innovation and Development Committees of the Hospital for Special Surgery since January 2015. Mr. Legorreta has also served on the boards of Brown University; Pasteur Foundation (French: Institut Pasteur), a French non-profit private foundation dedicated to the study of biology, micro-organisms, diseases, and vaccines; Open Medical Institute, an international initiative for medical professionals, which through education and research, aims to improve healthcare on a global scale; and The Park Avenue Armory, a nonprofit cultural institution within the historic Seventh Regiment Armory. Mr. Legorreta is the founder and Chairman of Alianza Me´dica para la Salud, a non-profit organization dedicated to enhancing the quality of health care in Latin America by providing doctors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82"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and healthcare providers with continued education opportunities. Since its foundation in December 2010, AMSA has provided over 500 scholarships to Mexican and Latin American doctors and healthcare providers to study abroad. Mr. Legorreta is also a founding member of Mount Sinai’s new Institute for Health Equity Research, which is created in May 2020 in part as a response to the health inequities made apparent by COVID-19. Mr. Legorreta received his B.A. degree in Industrial Engineering from Universidad Iberoamericana in Mexico City. We believe that Mr. Legorreta’s experience in investing in pharmaceutical royalties and managing a growing life sciences investment company, as well as significant background in investment banking and debt financing provide him with the qualifications and skills to serve as the Chairman and a member of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William F. Doyle</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Mr. Doyle has served on the Board and on the GP Board since the Closing. Mr. Doyle was a member of the Legacy GP Board from January 2022 until the Closing and has served on the ProKidney KY-Board since January 2022. Mr. Doyle is a recognized expert in medical devices commercialization with over 20 years’ experience in the advanced technology and healthcare industries as an entrepreneur, executive, management consultant and investor. He has served as Executive Chairman of NovoCure Limited (Nasdaq: NVCR), a commercial-stage oncology company which is currently developing Tumor Treating Fields, a new therapy for solid tumor cancers (“</w:t>
      </w:r>
      <w:r>
        <w:rPr>
          <w:rFonts w:ascii="Times New Roman" w:cs="Times New Roman" w:eastAsia="Times New Roman" w:hAnsi="Times New Roman"/>
          <w:sz w:val="18"/>
          <w:szCs w:val="18"/>
          <w:i w:val="1"/>
          <w:iCs w:val="1"/>
          <w:color w:val="auto"/>
        </w:rPr>
        <w:t>NovoCure</w:t>
      </w:r>
      <w:r>
        <w:rPr>
          <w:rFonts w:ascii="Times New Roman" w:cs="Times New Roman" w:eastAsia="Times New Roman" w:hAnsi="Times New Roman"/>
          <w:sz w:val="18"/>
          <w:szCs w:val="18"/>
          <w:color w:val="auto"/>
        </w:rPr>
        <w:t>”), since May 2016 and a member of the board of directors of NovoCure since Feburary, 2004. Mr. Doyle has been a managing director of WFD Ventures LLC, a private venture capital firm he co-founded, since June 2002. Prior to that, Mr. Doyle was a member of Johnson &amp; Johnson’s Medical Devices and Diagnostics Group Operating Committee and was the Vice President, Licensing and Acquisitions from 1994 to 1999. While at Johnson &amp; Johnson, Mr. Doyle was also the Worldwide President of Biosense-Webster, Inc. and a member of the board of directors of Johnson &amp; Johnson Development Corporation, Johnson &amp; Johnson’s venture capital subsidiary. Mr. Doyle has served as a member of the board of directors of Elanco Animal Health, Inc. (NYSE: ELAN), a global leader in animal health dedicated to innovating and delivering products and services to prevent and treat disease in farm animals and pets, creating value for farmers, pet owners, veterinarians, stakeholders, and society as a whole, since October 2020 and a member of the board of directors of Minerva Neurosciences, Inc. (Nasdaq: NERV), a clinical-stage biopharmaceutical company focused on the development of therapies to treat central nervous system disorders, since November 2017. Previously, Mr. Doyle served as a member of the board of directors of OptiNose, Inc. (Nasdaq: OPTN), a pharmaceutical company focused on patients treated by ear, nose and throat (ENT) and allergy specialists, from June 2004 to October 2020, and Zoetis, Inc. (NYSE: ZTS), a leading animal health company, dedicated to supporting its customers and their businesses, from February 2015 to March 2016. Mr. Doyle earned his B.S. in Materials Science and Engineering from Massachusetts Institute of Technology and his M.B.A. from Harvard Business School. We believe Mr. Doyle is qualified to serve on the Board due to his business and investment experience and his extensive knowledge of ProKidney and the healthcare industry.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Jennifer Fox</w:t>
      </w:r>
    </w:p>
    <w:p>
      <w:pPr>
        <w:spacing w:after="0" w:line="11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Jennifer Fox has served on the Board and on the GP Board since July 2022. Ms. Fox has served as the Chief Financial Officer of Nuvation Bio Inc. since October 2020. Prior to this role, Ms. Fox served as Managing Director, Co-Head of North America Healthcare Corporate and Investment Banking Group at Citigroup from June 2015 to October 2020. From February 2006 to June 2015, Ms. Fox served as Managing Director at Deutsche Bank,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w:t>
      </w:r>
    </w:p>
    <w:p>
      <w:pPr>
        <w:spacing w:after="0" w:line="5"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Ms. Fox received B.S. degrees in Finance and Marketing from Manhattan College. We believe that Ms. Fox is qualified to serve on the Board because she has over 25 years of experience in the healthcare investment banking industry and has been a lead advisor to life sciences companies on over 200 financing and strategic transactions.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82"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José Ignacio Jiménez Santos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Mr. Jiménez Santos has served on the Board and on the GP Board since the Closing and was a member of the Legacy GP Board from August 2021 until the Closing. Mr. Jiménez Santos has served as the Chief Executive Officer of Afore Inbursa since August 2015 and the Chief Investment Officer of Grupo Financiero Inbursa, SAB de C.V., a public company registered on the Mexican Stock Exchange, since August 2013. Mr. Jiménez Santos served on the board of directors of Procesar SA de C.V., a private company that provides data processing services, from May 2019 to May 2022. Mr. Jiménez Santos also serves on the board of directors of Glycosyn, a private biotechnology company developing products based on unique bioactive sugars found in human milk. Mr. Jiménez Santos received his bachelor’s degree in economics and finance from the Instituto Tecnológico Autonomo de México. We believe that Mr. Jiménez Santos’ combined experience in finance, international investments and the biotechnology industry provide him with the qualifications and skills to serve as a member of the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Alan M. Lotvin, M.D.</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Dr. Lotvin has served on the Board and on the GP Board since the Closing. Dr. Lotvin was a member of the Legacy GP Board from January 2022 until the Closing and has served on the ProKidney KY-Board since January 2022. Dr. Lotvin has served as the Executive Vice President at CVS Health Corp (NYSE: CVS), a leading health solutions company, since November 2012, and the President of CVS Caremark since March 2020. Prior to that, Dr. Lotvin served as the Executive Vice President—Transformation at CVS Health Corporation from June 2018 to February 2020 and the Executive Vice President—Specialty Pharmacy at CVS Caremark from November 2012 to May 2018. Dr. Lotvin has extensive experience in the pharmacy benefit management (“PBM”) and specialty pharmacy industries. Before joining CVS Health Corp, Dr. Lotvin was the President and Chief Executive Officer of ICORE Healthcare, a Magellan Health Services company, and prior to that, Dr. Lotvin held senior positions in the PBM industry. Dr. Lotvin earned his B.S. in Biochemistry from Stony Brook University, his M.D. in Medicine from SUNY Downstate Health Sciences University, and his M.A. in Medical Informatics from Columbia University Graduate School of Arts and Sciences. We believe Dr. Lotvin is qualified to serve on the Board due to his extensive knowledge of ProKidney and the healthcare industry.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M. Maraganore, Ph.D.</w:t>
      </w:r>
    </w:p>
    <w:p>
      <w:pPr>
        <w:spacing w:after="0" w:line="119"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Dr. Maraganore has served on the Board and on the GP Board since the Closing. Dr. Maraganore was a member of Legacy GP Board from May 2022 until the Closing and has been a member of the ProKidney KY-Board since May 2022. Dr. Maraganore is the owner of JMM Consulting, LLC and is a venture partner at ARCH Venture Partners, a venture advisor at Atlas Venture, an executive advisor at RTW Investments and a senior advisor at Blackstone Life Sciences, each of which are investment funds. Previously, Dr. Maraganore served as the founding chief executive officer and as a director of Alnylam Pharmaceuticals, Inc. (“Alnylam”) (Nasdaq: ALNY), a publicly traded biopharmaceutical company, from 2002 until the end of 2021. From 2002 to 2007, Dr. Maraganore also served as president of Alnylam. From 1997 to 2002, Dr. Maraganore served in a number of leadership roles including as senior vice president, strategic product development with Millennium Pharmaceuticals, Inc., a biopharmaceutical company (now Takeda Oncology) (“Millennium”). Before Millennium, he served as director of molecular biology and director of market and business development at Biogen. Prior to Biogen, Dr. Maraganore was a scientist at ZymoGenetics, Inc., a biotechnology company, and The Upjohn Company, a pharmaceutical manufacturing company. Dr. Maraganore currently serves on the board of directors of publicly traded biotechnology companies Agios Pharmaceuticals, Inc. (Nasdaq: AGIO), Beam Therapeutics Inc. (Nasdaq: BEAM) and Kymera Therapeutics, Inc. (Nasdaq: KYMR), and on the board of directors of private biotechnology companies, including Hemab Therapeutics ApS, TranSend Therapeutics, Inc., Versanis Bio, Inc. and Aerium Therapeutics, Inc. Dr. Maraganore was formerly a director of bluebird bio, Inc. (Nasdaq: BLUE). In addition, he was formerly a venture partner at Third Rock Ventures, L.P., and was formerly chairman of the board of directors of Regulus Therapeutics, Inc. (Nasdaq: RGLS), a publicly traded biotechnology company. Dr. Maraganore serves as a strategic advisor and investor to Brii Biosciences, a private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72" w:lineRule="auto"/>
        <w:rPr>
          <w:sz w:val="20"/>
          <w:szCs w:val="20"/>
          <w:color w:val="auto"/>
        </w:rPr>
      </w:pPr>
      <w:r>
        <w:rPr>
          <w:rFonts w:ascii="Times New Roman" w:cs="Times New Roman" w:eastAsia="Times New Roman" w:hAnsi="Times New Roman"/>
          <w:sz w:val="17"/>
          <w:szCs w:val="17"/>
          <w:color w:val="auto"/>
        </w:rPr>
        <w:t>biotechnology company, and also serves in an advisory role with Pictet &amp; Cie, an investment firm. He also serves as a strategic advisor for a number of private and public biotechnology companies. He is the former Chair and current member of the Executive Committee, the Emerging Companies Section Governing Board and the Health Section Governing Board of the Biotechnology Innovation Organization (BIO), where he serves as Chair Emeritus.</w:t>
      </w:r>
    </w:p>
    <w:p>
      <w:pPr>
        <w:spacing w:after="0" w:line="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Dr. Maraganore holds an M.S. and a Ph.D. in Biochemistry and Molecular Biology from the University of Chicago and a B.S. in Biological Sciences also from the University of Chicago. We believe that Dr. Maraganore is qualified to serve on the Board because he has over 35 years of experience in the biotechnology industry, bringing to the Board critical scientific, research and development, international and general management expertise.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Brian J. G. Pereira, M.D.</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Dr. Pereira has served on the Board and on the GP Board since the Closing and was a member of the Legacy GP Board from January 2022 until the Closing. Dr. Pereira has served as the Chief Executive Officer at Visterra Inc., a clinical-stage biotechnology company committed to developing innovative antibody-based therapies for the treatment of patients with kidney diseases and other hard-to-treat diseases and a subsidiary of Otsuka America Inc., a global healthcare company listed on Tokyo Stock Exchange, since July 2013. Dr. Pereira has also served on the board of directors of Visterra Inc. since July, 2013. Dr. Pereira is a nationally recognized expert on kidney disease and nephrology, is the former Editor of the widely read textbook “Chronic Kidney Disease, Dialysis and Transplantation,” and has over 200 scientific papers to his credit. He currently serves on the board of directors of Africa Healthcare Network, Ltd, a dialysis provider, as the Chairman of the Board, the board of directors of KalVista Pharmaceuticals, Inc. (Nasdaq: KALV), a pharmaceutical company focused on the discovery, development, and commercialization of small molecule protease inhibitors for diseases with significant unmet need, the board of directors of Cullinan Pearl Corp, a privately held biotechnology company and a subsidiary of Cullinan Oncology, Inc. (Nasdaq: CGEM), an oncology company. He was the former Executive Chairman of the board of directors of Abeona Therapeutics Inc. (Nasdaq: ABEO), a clinical-stage biopharmaceutical company developing gene and cell therapies for serious diseases. Dr. Pereira is a graduate of St. John’s Medical College, Bangalore, India and has an MBA from the Kellogg Business School, Northwestern University. Dr. Pereira obtained his D.M. in Nephrology and M.D. in Internal Medicine from Post Graduate Institute, Chandigarh, India. We believe Dr. Pereira’s qualifications to serve on the Board include his extensive experience with pharmaceutical companies, and his years of experience providing services to pharmaceutical and biotechnology organizations, including evaluating business plans involving clinical trials.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Uma Sinha, Ph.D.</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Dr. Sinha has served on the Board and on the GP Board since the Closing. Dr. Sinha was a member of the SCS Board from September 2021 until the Closing. In April, 2016, Dr. Sinha was appointed the Chief Scientific Officer of BridgeBio Pharma, Inc. (“BridgeBio”) and serves as the Chief Scientific Officer of other BridgeBio subsidiaries, including Eidos Therapeutics. Prior to that, Dr. Sinha served as Chief Scientific Officer of Global Blood Therapeutics, Inc., a clinical-stage biopharmaceutical company, from 2014 to 2015 and as Senior Vice President of research from 2013 to 2014. She was Vice President, head of biology at Portola Pharmaceuticals, Inc., a clinical-stage biotechnology company, from 2010 to 2012 and was the Vice President of translational biology from 2004 to 2010. Previously, Dr. Sinha held senior research positions at Millennium Pharmaceuticals, Inc., a biopharmaceutical company, and COR Therapeutics, Inc., a biopharmaceutical company. Dr. Sinha received her Ph.D. in biochemistry from the University of Georgia and her B.Sc. with honors in chemistry from Presidency College. We believe Dr. Sinha’s qualifications to serve on the Board include her significant scientific experience in the biopharmaceutical industry.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ProKidney’s directors or executive officers.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82"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Composition of the Board of Directors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ProKidney’s business and affairs is organized under the direction of the Board. Mr. Legorreta serves as the Chairperson of the Board. The primary responsibilities of Board are to provide oversight, strategic guidance, counseling and direction to ProKidney’s management. The Board meets on a regular basis and additionally as required.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Charter, the Board may establish the authorized number of directors from time to time by resolution. The Board consists of nine members and is divided into three classes with staggered three-year terms. At each annual general meeting of shareholders, the successors to directors whose terms then expire will be elected to serve from the time of election and qualification until the third annual general meeting following election. ProKidney’s directors is divided among the three classes as follows:</w:t>
      </w:r>
    </w:p>
    <w:p>
      <w:pPr>
        <w:spacing w:after="0" w:line="85" w:lineRule="exact"/>
        <w:rPr>
          <w:sz w:val="20"/>
          <w:szCs w:val="20"/>
          <w:color w:val="auto"/>
        </w:rPr>
      </w:pPr>
    </w:p>
    <w:p>
      <w:pPr>
        <w:ind w:left="1080" w:right="50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William F. Doyle, Alan M. Lotvin, M.D., Brian J. G. Pereira, M.D., and their terms will expire at the annual general meeting of shareholders to be held in 2023;</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Jennifer Fox, John M. Maraganore, Ph.D. and José Ignacio Jiménez Santos, and their terms will expire at the annual general meeting of shareholders to be held in 2024;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Tim Bertram, Ph.D., Pablo Legorreta and Uma Sinha, Ph.D., and their terms will expire at the annual general meeting of shareholders to be held in 2025.</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division of the Board into three classes with staggered three-year terms may delay or prevent a change of our management or a change in control.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19"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ProKidney believes that all members of the Board should have a voice in the affairs and the management of ProKidney. The Board believes that ProKidney’s shareholders are best served at this time by having Mr. Legorreta, who plays an integral part of the board of director leadership structure and a critical aspect of effective corporate governance, serves as the Chairperson. The active involvement of the independent directors, combined with the qualifications and significant responsibilities of ProKidney’s Chairperson, provide balance and promote strong oversight of ProKidney’s management and affairs. ProKidney intends to evaluate its Board leadership structure on a periodic basis, commencing with the first meeting of the Board following the Closing, which evaluations will include, among other things, whether it is appropriate to appoint a lead independent director.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Controlled Company Exemption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terms of the Voting Agreement, Tolerantia effectively controls a majority of the voting power of all outstanding ProKidney ordinary shares with respect to the election, appointment or removal of any ProKidney director. As a result, ProKidney is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that (i) a majority of its board of directors consist of independent directors, (ii) subject to the exception pursuant to Nasdaq Listing Rule 5605(b)(2), its board of directors have a compensation committee that is composed of at least two members, each of whom is an independent director,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by a nominating and corporate governance committee comprised solely of independent directors with a written charter addressing the committee’s purpose and responsibilities. Under the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Business Combination Agreement, immediately following the Closing, a majority of the directors of the Board were required to be “independent” directors for the purposes of the Nasdaq Listing Rules, but for at least some period following the Business Combination, ProKidney could utilize the other exemptions described above. If any of these exemptions are used, you may not have the same protections afforded to shareholders of companies that are subject to all of these corporate governance requirements. If ProKidney ceases to be a “controlled company” and its shares continue to be listed on the Nasdaq, ProKidney will be required to comply with these standards and, depending on the Board’s independence determination with respect to its then-current directors, ProKidney may be required to add additional directors to its board in order to achieve such compliance within the applicable transition period.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An “independent director” is defined generally as a person who has no material relationship with the listed company (either directly or as a partner, shareholder or officer of an organization that has a relationship with the company). The Board has determined that each of William F. Doyle, Alan M. Lotvin, M.D., Brian J. G. Pereira, M.D., John M. Maraganore, Ph.D., Uma Sinha, Ph.D, José Ignacio Jiménez Santos and Jennifer Fox is an independent director under applicable SEC and Nasdaq rules. The independent directors have regularly scheduled meetings at which only independent directors are present.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the Board in Risk Oversight</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is to oversee ProKidney’s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ProKidney’s audit committee has the responsibility to consider and discuss ProKidney’s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ProKidney’s compensation committee also assesses and monitors whether ProKidney’s compensation plans, policies and programs comply with applicable legal and regulatory requirements.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Committees of the Board of Directors</w:t>
      </w:r>
    </w:p>
    <w:p>
      <w:pPr>
        <w:spacing w:after="0" w:line="11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standing committees of Board consist of an audit committee, a compensation committee and a nominating and corporate governance committee. The Board may establish other committees as it deems necessary or appropriate from time to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William F. Doyle, who serves as the chairperson, Brian J. G. Pereira, M.D., Jennifer Fox and Alan M. Lotvin, M.D. Each member of the audit committee qualifies as an independent director under the Nasdaq Listing Rules and the independence requirements of Rule 10A-3 under the Exchange Act. The Board has determined that Mr. Doyle qualifies as an “audit committee financial expert” as such term is defined in Item 407(d)(5) of Regulation S-K and possesses financial sophistication, as defined under the rules of the Nasdaq.</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corporate accounting and financial reporting processes, systems of internal control and financial statement audits, and to oversee ProKidney’s independent registered public accounting firm. Specific responsibilities of the audit committee include:</w:t>
      </w:r>
    </w:p>
    <w:p>
      <w:pPr>
        <w:spacing w:after="0" w:line="81" w:lineRule="exact"/>
        <w:rPr>
          <w:sz w:val="20"/>
          <w:szCs w:val="20"/>
          <w:color w:val="auto"/>
        </w:rPr>
      </w:pPr>
    </w:p>
    <w:p>
      <w:pPr>
        <w:ind w:left="5480" w:right="4100" w:hanging="4824"/>
        <w:spacing w:after="0" w:line="454" w:lineRule="auto"/>
        <w:tabs>
          <w:tab w:leader="none" w:pos="107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 183</w:t>
      </w:r>
    </w:p>
    <w:p>
      <w:pPr>
        <w:sectPr>
          <w:pgSz w:w="11900" w:h="16838" w:orient="portrait"/>
          <w:cols w:equalWidth="0" w:num="1">
            <w:col w:w="11100"/>
          </w:cols>
          <w:pgMar w:left="320" w:top="482"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6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ProKidney’s consolidated financial statements;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ProKidney’s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ProKidney’s internal quality control procedures, any material issues with such procedures, and any steps taken to deal with such issues when required by applicable law;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audit committee, which is available on ProKidney’s website at </w:t>
      </w:r>
      <w:r>
        <w:rPr>
          <w:rFonts w:ascii="Times New Roman" w:cs="Times New Roman" w:eastAsia="Times New Roman" w:hAnsi="Times New Roman"/>
          <w:sz w:val="18"/>
          <w:szCs w:val="18"/>
          <w:u w:val="single" w:color="auto"/>
          <w:color w:val="auto"/>
        </w:rPr>
        <w:t>https://www.prokidney.com</w:t>
      </w:r>
      <w:r>
        <w:rPr>
          <w:rFonts w:ascii="Times New Roman" w:cs="Times New Roman" w:eastAsia="Times New Roman" w:hAnsi="Times New Roman"/>
          <w:sz w:val="18"/>
          <w:szCs w:val="18"/>
          <w:color w:val="auto"/>
        </w:rPr>
        <w:t xml:space="preserve"> under Investors—Corporate Governance—Governance Overview.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Alan M. Lotvin, M.D., who serves as the chairperson, William F. Doyle, John M. Maraganore, Ph.D. and Uma Sinha, Ph.D.</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81"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chief executive officer, other executive officers and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ProKidney Incentive Equity Plan and other benefit programs;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162" w:lineRule="exact"/>
        <w:rPr>
          <w:sz w:val="20"/>
          <w:szCs w:val="20"/>
          <w:color w:val="auto"/>
        </w:rPr>
      </w:pPr>
    </w:p>
    <w:p>
      <w:pPr>
        <w:ind w:left="120" w:right="19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compensation committee, which is available on ProKidney’s website at </w:t>
      </w:r>
      <w:r>
        <w:rPr>
          <w:rFonts w:ascii="Times New Roman" w:cs="Times New Roman" w:eastAsia="Times New Roman" w:hAnsi="Times New Roman"/>
          <w:sz w:val="18"/>
          <w:szCs w:val="18"/>
          <w:u w:val="single" w:color="auto"/>
          <w:color w:val="auto"/>
        </w:rPr>
        <w:t>https://www.prokidney.com</w:t>
      </w:r>
      <w:r>
        <w:rPr>
          <w:rFonts w:ascii="Times New Roman" w:cs="Times New Roman" w:eastAsia="Times New Roman" w:hAnsi="Times New Roman"/>
          <w:sz w:val="18"/>
          <w:szCs w:val="18"/>
          <w:color w:val="auto"/>
        </w:rPr>
        <w:t xml:space="preserve"> under Investors—Corporate Governance—Governance Overview.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John M. Maraganore, Ph.D., who serves as the chairperson, Brian J.G. Pereira, M.D., Uma Sinha, Ph.D., and José Ignacio Jiménez Santos. The purpose of the nominating and corporate governance committee is to assist the Board in discharging its responsibilities relating to:</w:t>
      </w:r>
    </w:p>
    <w:p>
      <w:pPr>
        <w:spacing w:after="0" w:line="81" w:lineRule="exact"/>
        <w:rPr>
          <w:sz w:val="20"/>
          <w:szCs w:val="20"/>
          <w:color w:val="auto"/>
        </w:rPr>
      </w:pPr>
    </w:p>
    <w:p>
      <w:pPr>
        <w:ind w:left="1080" w:right="3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shareholders, to serve on the ProKidney Board;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82"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ProKidney Board;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including in relation to corporate social responsibility;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including its individual directors and committees.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nominating and corporate governance committee, which is available on ProKidney’s website at https://www.prokidney.com under Investors—Corporate Governance—Governance Overview.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ProKidney has adopted a code of business conduct that applies to all of its directors, officers and employees, including its principal executive officer, principal financial officer and principal accounting officer, which is available on ProKidney’s website at https://www.prokidney.com under Investors—Corporate Governance—Governance Overview. ProKidney’s code of business conduct is a “code of ethics” as defined in Item 406(b) of Regulation S-K. ProKidney will make any legally required disclosures regarding amendments to, or waivers of, provisions of its code of ethics on its Internet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ProKidney’s executive compensation program is designed to:</w:t>
      </w:r>
    </w:p>
    <w:p>
      <w:pPr>
        <w:spacing w:after="0" w:line="131" w:lineRule="exact"/>
        <w:rPr>
          <w:sz w:val="20"/>
          <w:szCs w:val="20"/>
          <w:color w:val="auto"/>
        </w:rPr>
      </w:pPr>
    </w:p>
    <w:p>
      <w:pPr>
        <w:ind w:left="1080" w:right="26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senior management leaders who are capable of advancing ProKidney’s mission and strategy and, ultimately, creating and maintaining its long-term equity value. Such leaders must engage in a collaborative approach and possess the ability to execute its business strategy in an industry characterized by competitiveness and growth;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senior management in a manner aligned with ProKidney’s financial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senior management’s interests with ProKidney’s equity owners’ long-term interests through equity participation and ownership.</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Decisions with respect to the compensation of ProKidney’s executive officers, including its named executive officers, are made by the compensation committee of the Board. Compensation for ProKidney’s executive officers has the following components: base salary, cash bonus opportunities, long-term incentive compensation, broad-based employee benefits, and severance benefits. Base salaries, broad-based employee benefits, supplemental executive perquisites and severance benefits are designed to attract and retain senior management talent. ProKidney also uses cash bonuses and long-term equity awards to promote performance-based pay that aligns the interests of its named executive officers with the long-term interests of its equity owners and to enhance executive retention.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the section entitled “Executive and Director Compensation” below for additional information regarding the compensation paid to ProKidney’s named executive officers and non-employee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base salaries for ProKidney’s named executive officers were in effect prior to the Business Combination and are subject to adjustments made by the compensation committee, including in connection with ProKidney’s annual review of its named executive officers’ base salaries.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82"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Bonuses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ProKidney uses annual cash incentive bonuses for the named executive officers to motivate their achievement of short-term performance goals and tie a portion of their cash compensation to performance. Near the beginning of each year, the compensation committee will select the performance targets, target amounts, target award opportunities and other terms and conditions of annual cash bonuses for the named executive officers, subject to the terms of their employment agreements. Following the end of each year, the compensation committee will determine the extent to which the performance targets were achieved and the amount of the award that is payable to the named executive officers.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Share-Based Awards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ProKidney uses share-based awards to promote its interests by providing the executives with the opportunity to acquire equity interests as an incentive for their remaining in its service and aligning the executives’ interests with those of ProKidney. Share-based awards will be awarded under the ProKidney Incentive Equity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ProKidney maintains various broad-based employee benefit plans, including medical, dental, vision, life and disability insurance and 401(k) plans, paid vacation, sick leave and holidays and employee assistance program benefits in which the named executive officers will participate.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ProKidney plans to adopt a director compensation program that is designed to align compensation with the Company’s business objectives and the creation of shareholder value, while enabling ProKidney to attract, retain, incentivize and reward directors who contribute to the long-term success of ProKidney.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discusses the material components of the executive compensation program for the named executive officers of ProKidney (the “NEOs”) who are identified in the 2021 Summary Compensation Table below. This discussion may contain forward-looking statements that are based on our current plans, considerations, expectations and determinations regarding future compensation programs. In this section, unless context requires otherwise, references to “we,” “us” “our,” “ProKidney” or “the Company” generally refer to ProKidney Corp. and its subsidiaries following the Closing and to ProKidney LP and its subsidiaries prior to the Closing.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have opted to comply with the executive compensation disclosure rules applicable to emerging growth companies, as ProKidney is an emerging growth company. The scaled disclosure rules are those applicable to “smaller reporting companies,” as such term is defined in the rules promulgated under the Securities Act, which require compensation disclosure for ProKidney’s principal executive officer(s), its two most highly compensated executive officers other than the principal executive officer whose total compensation for 2021 exceeded $100,000 and who were serving as executive officers as of December 31, 2021 and up to two additional individuals for whom disclosure would have been required for the fact that they were not serving as executive officers as of December 31, 2021. We refer to these individuals as “named executive officers” or “NEOs.” For the year ended December 31, 2021, ProKidney’s NEOs were:</w:t>
      </w:r>
    </w:p>
    <w:p>
      <w:pPr>
        <w:spacing w:after="0" w:line="94"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Bertram, Ph.D.,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Deepak Jain, Ph.D.,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Stavas, M.D., MPH, Senior Vice President of Clinical Development.</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for the year ended December 31, 2021 earned by, awarded to or paid to ProKidney’s NEOs.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5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Plan ($)</w:t>
            </w:r>
          </w:p>
        </w:tc>
        <w:tc>
          <w:tcPr>
            <w:tcW w:w="120" w:type="dxa"/>
            <w:vAlign w:val="bottom"/>
          </w:tcPr>
          <w:p>
            <w:pPr>
              <w:spacing w:after="0"/>
              <w:rPr>
                <w:sz w:val="15"/>
                <w:szCs w:val="15"/>
                <w:color w:val="auto"/>
              </w:rPr>
            </w:pPr>
          </w:p>
        </w:tc>
        <w:tc>
          <w:tcPr>
            <w:tcW w:w="800" w:type="dxa"/>
            <w:vAlign w:val="bottom"/>
          </w:tcPr>
          <w:p>
            <w:pPr>
              <w:jc w:val="right"/>
              <w:ind w:right="23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Tim Bertram, Ph.D.</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$ 489,258</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$ 360,000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24,503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$ 873,761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Jain, Ph.D.</w:t>
            </w: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$ 401,694</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$ 216,000</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14,522</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$ 632,216</w:t>
            </w:r>
          </w:p>
        </w:tc>
        <w:tc>
          <w:tcPr>
            <w:tcW w:w="0" w:type="dxa"/>
            <w:vAlign w:val="bottom"/>
          </w:tcPr>
          <w:p>
            <w:pPr>
              <w:spacing w:after="0"/>
              <w:rPr>
                <w:sz w:val="1"/>
                <w:szCs w:val="1"/>
                <w:color w:val="auto"/>
              </w:rPr>
            </w:pPr>
          </w:p>
        </w:tc>
      </w:tr>
      <w:tr>
        <w:trPr>
          <w:trHeight w:val="236"/>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Stavas, M.D., MPH</w:t>
            </w:r>
          </w:p>
        </w:tc>
        <w:tc>
          <w:tcPr>
            <w:tcW w:w="9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$ 530,110</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$ 145,000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14,522</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$ 689,632</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of Clinical Development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380" w:hanging="424"/>
        <w:spacing w:after="0" w:line="261"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bonuses actually paid for the 12-month period from January 1, 2021 to December 31, 2021, and excludes payments made in 2021 for 2020 bonuses, for each executive officer.</w:t>
      </w:r>
    </w:p>
    <w:p>
      <w:pPr>
        <w:ind w:left="540" w:right="260" w:hanging="424"/>
        <w:spacing w:after="0" w:line="253"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amounts of all other compensation paid to the named individuals for the year ended December 31, 2021, which comprise of (1) the matching contributions to the 401(k) plan; (2) allowance paid to Dr. Bertram, and (3) insurance premiums with respect to a group life insurance policy, a group short- term disability policy, a group long-term disability policy, an accidental death and dismemberment policy, and flexible spending accounts paid on behalf of each of Dr. Bertram, Dr. Jain and Dr. Stavas.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Below are descriptions of the employment agreements with each of our NEOs setting forth the terms and conditions of such executive’s employment with ProKidney-US and ProKidney-KY, respectively. It is expected that each of our NEOs will enter into a new employment agreement with the Company that sets forth new terms and conditions of such executive’s employment with the Company which reflect the Company’s executive compensation philosophy as a new public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Tim Bertram, Ph.D.</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September 17, 2019, ProKidney-KY entered into an employment agreement with Dr. Bertram, pursuant to which Dr. Bertram was employed as ProKidney-KY’s Chief Executive Officer, effective as of January 7, 2019. The agreement entitles Dr. Bertram to an initial base salary of $237,885 and eligibility for ProKidney-KY’s annual discretionary bonus program. Dr. Bertram is also eligible to participate in ProKidney-KY’s benefit plans and programs, including its retirement plan and medical insurance coverage. Under the terms of this agreement, ProKidney-KY or Dr. Bertram may terminate Dr. Bertram’s employment at any time for any or no reason upon three months’ written notice. In the event that Dr. Bertram is terminated without Cause (as defined in the agreement and including due to disability or death), Dr. Bertram is entitled to receive any earned but unpaid base salary, payment for any unused vacation days, and any benefits to which he may be entitled under applicable law or ProKidney-KY’s employee benefit plans. Unless previously terminated or extended, Dr. Bertram’s employment will automatically cease at the end of the month in which he attains 70 years of age.</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the same day, ProKidney-US entered into an employment agreement with Dr. Bertram, pursuant to which Dr. Bertram assumed the role of Chief Executive Officer of ProKidney-US, effective as of January 7, 2019. The agreement entitles Dr. Bertram to an initial base salary of $237,885 and eligibility in ProKidney-US’s annual discretionary bonus program. Dr. Bertram is also eligible to participate in ProKidney-US’s benefit plans and programs, including its 401K plan. The agreement further provides that PMEL would grant Dr. Bertram a profits interest, which would indirectly represent 4.5% of the future profits of ProKidney LP measured as of the date of the agreement and as further discussed below, on September 30, 2019, PMEL granted Dr. Bertram 3,698,631 Profits Interests. Under the terms of this agreement, ProKidney-US or Dr. Bertram may terminate his employment at any time for any or no reason upon written notice at any time. In the event that Dr. Bertram is terminated for any or no reason (including due to disability or death), Dr. Bertram is entitled to receive any earned but unpaid base salary, payment for any unused vacation days, and any benefits to which he may be entitled under applicable law or ProKidney-US’s employee benefit plans.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Deepak Jain, Ph.D.</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ProKidney-US entered into an employment agreement with Dr. Jain on September 17, 2019, pursuant to which Dr. Jain assumed the role of Chief Operating Officer of ProKidney-US effective as of January 7, 2019. The agreement entitles Dr. Jain to an initial base salary of $378,525 and eligibility in ProKidney-US’s annual discretionary bonus program. Dr. Jain is also eligible to participate in ProKidney-US’s benefit plans and programs, including its 401K plan. The agreement further provides that PMEL would grant Dr. Jain a profits interest, which would indirectly represent 1.5% of the future profits of ProKidney LP measured as of the date of Dr. Jain’s employment agreement and, as further discussed below, on September 30, 2019, PMEL granted Dr. Jain 1,232,877 Profits Interests. Under the terms of this agreement, ProKidney-US or Dr. Jain may terminate his employment at any time for any or no reason upon written notice at any time. In the event that Dr. Jain is terminated for any or no reason (including due to disability or death),</w:t>
      </w:r>
    </w:p>
    <w:p>
      <w:pPr>
        <w:spacing w:after="0" w:line="3"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Dr. Jain is entitled to receive any earned but unpaid base salary, payment for any unused vacation days, and any benefits to which he may be entitled under applicable law or ProKidney-US’s employee benefit plans.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Joseph Stavas, M.D., MPH</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ProKidney-US entered into an employment agreement with Dr. Stavas on September 17, 2019, pursuant to which Dr. Stavas assumed the role of Senior Vice President of Clinical Development of ProKidney-US beginning October 1, 2019. The agreement entitles Dr. Stavas to an initial base salary of $500,000 and eligibility in ProKidney-US’s annual discretionary bonus program. Dr. Stavas is also eligible to participate in ProKidney-US’s benefit plans and programs, including its 401K plan. The agreement further provides that PMEL would grant Dr. Stavas a profits interest, which would indirectly represent 1.5% of the future profits of ProKidney measured as of the date of Dr. Stavas’s employment agreement and, as further discussed below, on November 1, 2019, PMEL granted Dr. Stavas 1,232,877 Profits Interests. Under the terms of this agreement, ProKidney-US or Dr. Stavas may terminate his employment at any time for any or no reason upon written notice at any time. In the event that Dr. Stavas is terminated for any or no reason (including due to disability or death), Dr. Stavas is entitled to receive any earned but unpaid base salary, payment for any unused vacation days, and any benefits to which he may be entitled under applicable law or ProKidney-US’s employee benefit plans.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Base Salaries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Each NEO’s base salary was a fixed component of annual compensation for performing specific duties and functions, and was established by the Legacy GP Board taking into account each individual’s role, responsibilities, skills and expertise. Base salaries are reviewed annually, typically in connection with our annual performance review process, and, going forward, will be approved by the compensation committee and adjusted from time to time to realign salaries with market levels after taking into account individual responsibilities, performance and experience. During 2021, the annual base salaries for Dr. Bertram, Dr. Jain and Dr. Stavas, were $489,258, $401,694 and $530,110, respectively.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Bonuses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the fiscal year ended December 31, 2021, each of ProKidney’s NEOs was eligible to earn an annual bonus based on the achievement of certain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predetermined corporate performance objectives. During 2021, the annual bonuses awarded to Dr. Bertram, Dr. Jain, and Dr. Stavas, were $360,000,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$216,000, and $145,000, respectively. The annual bonus earned by each NEO with respect to the fiscal year ended December 31, 2021 is reported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“Bonus” column in the Summary Compensation Table above and were determined by the Legacy GP Board on a discretionary basis based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ProKidney’s overall performance for the year, as well as each individual’s performance, subject to each NEO’s continued employment through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outstanding equity incentive awards held by the NEOs as of December 31, 2021, prior to the Business Combination, consisted of Profits Interests issued in 2019 (as detailed in the table below) (the “2019 Profits Interests”). No Profits Interests were granted to the NEOs in 2020 or 2021. On January 17, 2022, PMEL issued Profits Interests, some of which were granted subject to vesting and some of which were purchased fully-vested, to employees, directors and other service providers, including to each of the NEOs and certain independent directors of the Legacy GP Board and the ProKidney-KY Board, under the ProKidney Limited Partnership Agreement and the related Limited Liability Company Agreement of PMEL then in effect (the “2022 Profits Interests”). Dr. Bertram, Dr. Jain and Dr. Stavas were issued 2,337,045, 680,913 and 50,000 2022 Profits Interests, respectively, and, each of Mr. Doyle, Dr. Lotvin and Dr. Pereira were issued 1,848,352 2022 Profits Interests. In addition, on June 1, 2022, Mr. Maraganore was issued 200,000 Profits Interests.</w:t>
      </w:r>
    </w:p>
    <w:p>
      <w:pPr>
        <w:spacing w:after="0" w:line="19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purpose of awarding the Profits Interests was to promote the interests of ProKidney by attracting and retaining key employees, managers, independent contractors or other service providers of ProKidney and its subsidiaries and to enable such individuals to acquire an equity interest in and participate in the long-term growth and financial success of ProKidney. The Profit Interests represented an indirect partnership interest in ProKidney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LP and generally entitled the holder to receive distributions from PMEL (which PMEL received from ProKidney LP once a specified threshold equity value of ProKidney was reached, in each case as provided in the ProKidney Limited Partnership Agreement and the related Limited Liability Company Agreement of PMEL then in effect). Under these agreements, the Closing qualified as an “Extraordinary Event,” pursuant to which the holders of Profits Interests were also entitled to receive disproportionate distributions in ProKidney until each of their threshold equity value had been reduced to zero in order to “catch up” each such holder’s distributions to its pro rata share of aggregate cumulative distributions.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ProKidney measured compensation expense for Profits Interests based on estimated fair values at the time of grant and estimates the fair value of Profits Interests using generally accepted valuation procedures. ProKidney recognized compensation expense, on a straight-line basis, for the portion of the Profit Interests value that was expected to vest over the requisite period of service provided by the recipient of the Profits Interests. ProKidney also recorded forfeitures of Profits Interest as they occurred.</w:t>
      </w:r>
    </w:p>
    <w:p>
      <w:pPr>
        <w:spacing w:after="0" w:line="180"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7"/>
          <w:szCs w:val="17"/>
          <w:color w:val="auto"/>
        </w:rPr>
        <w:t>In general, awards of Profits Interests were 25% vested on the first anniversary of the recipient’s employment, in the case of Dr. Bertram and Dr. Jain, and the first anniversary of the date of award of the Profits Interests, in the case of Dr. Stavas, with the remainder of each award to vest in increments of 6.25% each calendar quarter following the first anniversary of the grant date, subject generally to the holder’s continuous employment with ProKidney-US or its affiliates on each vesting date. The 2022 Profits Interests generally vest in increments of 25% on each anniversary following the grant date, subject generally to the holder’s continuous employment with ProKidney-US or its affiliates on each vesting date. With respect to those 2022 Profits Interests that are subject to vesting conditions, in the event that an NEO’s employment is terminated without Cause (as defined in the NEO’s employment agreement) prior to January 17, 2023, the tranche of 2022 Profits Interests that would have vested on January 17, 2023 will immediately vest subject to, among other things, the NEO signing and not revoking a release of claims. All of the 2022 Profits Interests issued to</w:t>
      </w:r>
    </w:p>
    <w:p>
      <w:pPr>
        <w:ind w:left="120" w:right="120"/>
        <w:spacing w:after="0" w:line="270" w:lineRule="auto"/>
        <w:rPr>
          <w:sz w:val="20"/>
          <w:szCs w:val="20"/>
          <w:color w:val="auto"/>
        </w:rPr>
      </w:pPr>
      <w:r>
        <w:rPr>
          <w:rFonts w:ascii="Times New Roman" w:cs="Times New Roman" w:eastAsia="Times New Roman" w:hAnsi="Times New Roman"/>
          <w:sz w:val="17"/>
          <w:szCs w:val="17"/>
          <w:color w:val="auto"/>
        </w:rPr>
        <w:t>Dr. Stavas were purchased fully vested, and a portion of the 2022 Profits Interests issued to Dr. Bertram and Dr. Jain were purchased fully vested, in each case, subject to certain transfer restrictions as provided in the applicable award agreement and the Limited Liability Company Agreement of PMEL. A portion of the 2022 Profits Interests granted to the independent directors of the Legacy GP Board (who have since gone on to serve as members of the GP Board) and ProKidney-KY Board vest in increments of 33.33% on each anniversary following the grant date, subject generally to the director’s continuous service on the board on each vesting date. A portion of the 2022 Profits Interests issued to such directors were purchased fully vested, subject to certain transfer restrictions as provided in the applicable award agreement and the Limited Liability Company Agreement of PMEL.</w:t>
      </w:r>
    </w:p>
    <w:p>
      <w:pPr>
        <w:spacing w:after="0" w:line="17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outstanding Profits Interests held by each of the NEOs as of December 31, 2021. Such NEOs do not hold any outstanding equity awards other than the Profits Interests.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 Awards</w:t>
            </w:r>
            <w:r>
              <w:rPr>
                <w:rFonts w:ascii="Times New Roman" w:cs="Times New Roman" w:eastAsia="Times New Roman" w:hAnsi="Times New Roman"/>
                <w:sz w:val="8"/>
                <w:szCs w:val="8"/>
                <w:b w:val="1"/>
                <w:bCs w:val="1"/>
                <w:color w:val="auto"/>
              </w:rPr>
              <w:t>(1)</w:t>
            </w: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0"/>
                <w:szCs w:val="10"/>
                <w:color w:val="auto"/>
              </w:rPr>
            </w:pPr>
          </w:p>
        </w:tc>
        <w:tc>
          <w:tcPr>
            <w:tcW w:w="122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9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8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 Profits</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Profits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Profits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Profits</w:t>
            </w:r>
          </w:p>
        </w:tc>
        <w:tc>
          <w:tcPr>
            <w:tcW w:w="26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Interest Units</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Interest that</w:t>
            </w:r>
          </w:p>
        </w:tc>
        <w:tc>
          <w:tcPr>
            <w:tcW w:w="1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 Units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 that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vMerge w:val="restart"/>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Vested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5"/>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 Bertram, Ph.D.</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9/30/2019</w:t>
            </w:r>
          </w:p>
        </w:tc>
        <w:tc>
          <w:tcPr>
            <w:tcW w:w="520" w:type="dxa"/>
            <w:vAlign w:val="bottom"/>
            <w:tcBorders>
              <w:top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7"/>
              </w:rPr>
              <w:t>(2)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2,773,973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998,630</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924,658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Deepak Jain, Ph.D.</w:t>
            </w:r>
          </w:p>
        </w:tc>
        <w:tc>
          <w:tcPr>
            <w:tcW w:w="1320" w:type="dxa"/>
            <w:vAlign w:val="bottom"/>
            <w:gridSpan w:val="2"/>
          </w:tcPr>
          <w:p>
            <w:pPr>
              <w:jc w:val="right"/>
              <w:ind w:right="344"/>
              <w:spacing w:after="0" w:line="216" w:lineRule="exact"/>
              <w:rPr>
                <w:sz w:val="20"/>
                <w:szCs w:val="20"/>
                <w:color w:val="auto"/>
              </w:rPr>
            </w:pPr>
            <w:r>
              <w:rPr>
                <w:rFonts w:ascii="Times New Roman" w:cs="Times New Roman" w:eastAsia="Times New Roman" w:hAnsi="Times New Roman"/>
                <w:sz w:val="18"/>
                <w:szCs w:val="18"/>
                <w:color w:val="auto"/>
                <w:w w:val="99"/>
              </w:rPr>
              <w:t>9/30/2019</w:t>
            </w:r>
            <w:r>
              <w:rPr>
                <w:rFonts w:ascii="Times New Roman" w:cs="Times New Roman" w:eastAsia="Times New Roman" w:hAnsi="Times New Roman"/>
                <w:sz w:val="22"/>
                <w:szCs w:val="22"/>
                <w:color w:val="auto"/>
                <w:w w:val="99"/>
                <w:vertAlign w:val="superscript"/>
              </w:rPr>
              <w:t>(3)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924,657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332,877</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308,220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110,959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Stavas, M.D., MPH</w:t>
            </w:r>
          </w:p>
        </w:tc>
        <w:tc>
          <w:tcPr>
            <w:tcW w:w="1320" w:type="dxa"/>
            <w:vAlign w:val="bottom"/>
            <w:gridSpan w:val="2"/>
            <w:shd w:val="clear" w:color="auto" w:fill="CCEEFF"/>
          </w:tcPr>
          <w:p>
            <w:pPr>
              <w:jc w:val="right"/>
              <w:ind w:right="344"/>
              <w:spacing w:after="0" w:line="216" w:lineRule="exact"/>
              <w:rPr>
                <w:sz w:val="20"/>
                <w:szCs w:val="20"/>
                <w:color w:val="auto"/>
              </w:rPr>
            </w:pPr>
            <w:r>
              <w:rPr>
                <w:rFonts w:ascii="Times New Roman" w:cs="Times New Roman" w:eastAsia="Times New Roman" w:hAnsi="Times New Roman"/>
                <w:sz w:val="18"/>
                <w:szCs w:val="18"/>
                <w:color w:val="auto"/>
                <w:w w:val="99"/>
              </w:rPr>
              <w:t>11/1/2019</w:t>
            </w:r>
            <w:r>
              <w:rPr>
                <w:rFonts w:ascii="Times New Roman" w:cs="Times New Roman" w:eastAsia="Times New Roman" w:hAnsi="Times New Roman"/>
                <w:sz w:val="22"/>
                <w:szCs w:val="22"/>
                <w:color w:val="auto"/>
                <w:w w:val="99"/>
                <w:vertAlign w:val="superscript"/>
              </w:rPr>
              <w:t>(4)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693,493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249,657</w:t>
            </w: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539,384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194,178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80" w:hanging="424"/>
        <w:spacing w:after="0" w:line="261"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was no public market for the Profits Interests. For purposes of this disclosure, the equity value of the Profits Interests was determined using contemporaneous valuations using methodologies consistent with the </w:t>
      </w:r>
      <w:r>
        <w:rPr>
          <w:rFonts w:ascii="Times New Roman" w:cs="Times New Roman" w:eastAsia="Times New Roman" w:hAnsi="Times New Roman"/>
          <w:sz w:val="18"/>
          <w:szCs w:val="18"/>
          <w:i w:val="1"/>
          <w:iCs w:val="1"/>
          <w:color w:val="auto"/>
        </w:rPr>
        <w:t>American Institute of Certified Public Accountants Practice Aid,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Privately-Held Company Equity Securities Issued as Compensation</w:t>
      </w:r>
      <w:r>
        <w:rPr>
          <w:rFonts w:ascii="Times New Roman" w:cs="Times New Roman" w:eastAsia="Times New Roman" w:hAnsi="Times New Roman"/>
          <w:sz w:val="18"/>
          <w:szCs w:val="18"/>
          <w:color w:val="auto"/>
        </w:rPr>
        <w:t>, as of December 31, 2021. As of December 31, 2021, the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the Profits Interests granted was $0.36 per Class B Unit.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82"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120" w:hanging="424"/>
        <w:spacing w:after="0" w:line="257"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3,698,631 Profits Interests granted on September 30, 2019, with the first 25% of such Profits Interests vested on January 7, 2020, and the remaining 75% vested in increments of 6.25% each calendar quarter thereafter, subject to continued employment of the NEO on each vesting date.</w:t>
      </w:r>
    </w:p>
    <w:p>
      <w:pPr>
        <w:spacing w:after="0" w:line="1" w:lineRule="exact"/>
        <w:rPr>
          <w:rFonts w:ascii="Times New Roman" w:cs="Times New Roman" w:eastAsia="Times New Roman" w:hAnsi="Times New Roman"/>
          <w:sz w:val="18"/>
          <w:szCs w:val="18"/>
          <w:color w:val="auto"/>
        </w:rPr>
      </w:pPr>
    </w:p>
    <w:p>
      <w:pPr>
        <w:jc w:val="both"/>
        <w:ind w:left="540" w:right="120" w:hanging="424"/>
        <w:spacing w:after="0" w:line="250"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1,232,877 Profits Interests granted on September 30, 2019, with the first 25% of such Profits Interests vested on January 7, 2020, and the remaining 75% vested in increments of 6.25% each calendar quarter thereafter, subject to continued employment of the NEO on each vesting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1,232,877 Profits Interests granted on November 1, 2019, with the first 25% of such Profits Interests vested on November 1, 2020, and the remaining 75% vested in increments of 6.25% each calendar quarter thereafter, subject to continued employment of the NEO on each vesting date.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Taken in Connection with this Business Combination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Effective as of January 17, 2022, the ProKidney Limited Partnership Agreement was amended to provide that, if, as a result of a De-SPAC Transaction or Qualified IPO (each as defined in the ProKidney Limited Partnership Agreement), a Profits Interest holder was allocated aggregate cumulative distributions in an amount at least equal to his or her pro rata share of the applicable threshold equity value, then such holder’s Profits Interests would immediately and automatically be converted into ProKidney Class B Units. In connection with and by virtue of the Business Combination and immediately prior to the Closing, ProKidney converted all outstanding Profits Interests into Class B Units of ProKidney (the “Converted Profits Interests”) in accordance with the foregoing. As contemplated by and pursuant to the terms of the Business Combination Agreement and the Second Amended and Restated ProKidney Limited Partnership Agreement, each Converted Profits Interest that was not vested pursuant to the terms of the applicable award agreement with the applicable holder as of immediately prior to the Closing was recapitalized into a PMEL RCU and each Converted Profits Interest that was vested pursuant to the terms of the applicable award agreement with the applicable holder as of immediately prior to the Closing was recapitalized into a Post-Combination ProKidney Common Unit. Each PMEL RCU will remain subject to vesting and forfeiture terms provided under the applicable existing award agreement with the holder and each Post-Combination ProKidney Common Unit will remain subject to the forfeiture terms of the applicable existing award agreement. Pursuant to the terms of the Second Amended and Restated ProKidney Limited Partnership Agreement and our Charter, upon the vesting of a PMEL RCU, such PMEL RCU and the corresponding ProKidney Class B PMEL RSR will automatically vest and each PMEL RCU will immediately and automatically convert, in accordance with the terms of the Second Amended and Restated ProKidney Limited Partnership Agreement, into one Post-Combination ProKidney Common Unit and, as promptly as reasonably practicable following such vesting event, the Company will settle such ProKidney Class B PMEL RSR by issuing to the holder thereof one ProKidney Class B ordinary share.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ProKidney Incentive Equity Plan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SCS Board adopted, and the SCS shareholders approved, the ProKidney Incentive Equity Plan, under which New ProKidney employees, non-employee directors, individual consultants, advisors and other service providers are eligible to receive awards based on the compensation committee’s determination, in its sole discretion, that an award to such individual will further the ProKidney Incentive Equity Plan’s stated purpose of promoting the long-term success of ProKidney by motivating employees and other individuals to perform at the highest level and contributing significantly to the success of ProKidney, thereby furthering the best interests of ProKidney and its shareholders. The ProKidney Incentive Equity Plan is administered by the compensation committee and is the primary means by which ProKidney will provide equity-based compensation to its employees and other servie providers. As of the date hereof, no grants have been made or awarded under the ProKidney Incentive Equity Plan.</w:t>
      </w:r>
    </w:p>
    <w:p>
      <w:pPr>
        <w:spacing w:after="0" w:line="19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ProKidney Incentive Equity Plan provides for the issuance of 24,154,023 ProKidney Class A ordinary shares, which equals 10% of the number of ProKidney Class A ordinary shares outstanding immediately after the completion of the Business Combination on a fully diluted basis. In addition, the ProKidney Incentive Equity Plan provides for an annual increase on the first day of each fiscal year during the period beginning with fiscal</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82"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year 2023 and ending on the second day of fiscal year 2032 equal to the lesser of (a) 5% of the number of outstanding ProKidney Class A ordinary shares on the last day of the immediately preceding fiscal year on a fully diluted basis, and (b) an amount determined by the compensation committee. The number of ProKidney Class A ordinary shares that may be subject to incentive stock options granted under the ProKidney Incentive Equity Plan is 75,567,000.</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in the ProKidney Incentive Equity Plan, the compensation committee may take certain actions with respect to outstanding awards, including the continuation or assumption of awards, substitution or replacement of awards by a successor entity, acceleration of vesting and lapse of restrictions, determination of the attainment of performance conditions for performance awards or cancellation of awards in consideration of a payment.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ProKidney Employee Stock Purchase Plan</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Business Combination, the SCS Board adopted, and the SCS shareholders approved, the ProKidney Employee Stock Purchase Plan. The ProKidney Employee Stock Purchase Plan is administered by the compensation committee and provides our employees and employees of participating subsidiaries with an opportunity to acquire a proprietary interest in ProKidney through the purchase of Class A ordinary shares. Initially, the ProKidney Employee Stock Purchase Plan is not intended to qualify as an “employee stock purchase plan” under Section 423 of the Code. However, from and after such date as the compensation committee determines that the ProKidney Employee Stock Purchase Plan is able to satisfy the requirements under Section 423 of the Code, the ProKidney Employee Stock Purchase Plan will be intended to qualify as an “employee stock purchase plan” under Section 423 and the ProKidney Employee Stock Purchase Plan will be interpreted in a manner that is consistent with that intent.</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maximum number of our ProKidney Class A ordinary shares that may be issued pursuant to rights granted under the ProKidney Employee Stock Purchase Plan is 4,830,806 ProKidney Class A ordinary shares, which equals 2% of the number of ProKidney Class A ordinary shares outstanding immediately after the Closing on a fully diluted basis. The number of ProKidney ordinary shares reserved for issuance under the ProKidney Employee Stock Purchase Plan will automatically increase on the first day of each calendar year during the term of the ProKidney Employee Stock Purchase Plan, commencing on January 1, 2023 through January 1, 2032, by the least of (i) 5,037,800 ProKidney Class A ordinary shares, (ii) 1% of the total number of ProKidney Class A ordinary shares outstanding on a fully diluted basis on December 31 of the immediately preceding calendar year or (iii) such smaller number of our ProKidney Class A ordinary shares as determined by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of ProKidney’s NEOs are eligible to participate in its employee benefit plans, including its medical, dental, vision, life and disability insurance plans, in each case on the same basis as all of ProKidney’s other employees. ProKidney generally provides perquisites or personal benefits to its NEOs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ProKidney maintains a 401(k) plan for its ProKidney-US employees. The 401(k) plan is intended to qualify under Section 401(k) of the Code, so that contributions to the 401(k) plan by ProKidney-US employees or by ProKidney, and the investment earnings thereon, are not taxable to the employees until withdrawn from the 401(k) plan, and so that contributions by ProKidney, if any, will be deductible by ProKidney when made. Full- time employees are eligible to participate in the ProKidney-US plan. Under the 401(k) plan, ProKidney-US employees may elect to reduce their current compensation by up to the statutorily prescribed annual limit and to have the amount of such reduction contributed to the 401(k) plan. The 401(k) plan permits ProKidney to make contributions up to the limits allowed by law on behalf of all eligible ProKidney-US employees. As of December 31, 2021, ProKidney matched 50% of participating ProKidney-US employees’ contribution up to 8% of salary to the ProKidney 401(k) plan.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ProKidney maintains a defined contribution plan for its ProKidney-KY employees within the Cayman Islands as required by the National Pensions Act (2012 Revision). The plan is administered by an approved provider. All of ProKidney-KY’s employees between the ages of 18 and 65 are eligible to participate in the plan, other than domestic helpers or employees who have been working in the Cayman Islands for a continuous period of less than 9 months. Under the plan, ProKidney-KY employees may contribute on earnings up to CI$87,000 (approximately US$107,000, above which level earnings are not pensionable), which contributions are matched by ProKidney-KY. The basic contribution rate (and the maximum mandatory contribution for employees) is 5%, but ProKidney-KY may choose to contribute in excess of this percentage and reduce the employee contribution commensurately. As of December 31, 2021, ProKidney contributed 7% of ProKidney-KY employees salaries to the ProKidney-KY defined contribution plan.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121"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In the year ended December 31, 2021, no member of the Legacy GP Board received cash, equity or other compensation for service on the Legacy GP Board. In January 2022, Legacy GP and ProKidney-KY each entered into separate letter agreements with each of Mr. Doyle, Dr. Lotvin and</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Dr. Pereira (collectively, the “Director Agreements”) that provided for Mr. Doyle, Dr. Lotvin and Dr. Pereira to serve on the Legacy GP Board and ProKidney-KY Board, effective as of January 15, 2022. The Director Agreements with Legacy GP provided that each of Mr. Doyle, Dr. Lotvin and Dr. Pereira would be paid, as compensation for their services as a member of the board of directors of Legacy GP, a $50,000 annual retainer (payable in arrears on a quarterly basis). The Director Agreements provided that PMEL would issue, subject to the terms of the Director Agreement and the Limited Liability Company Agreement of PMEL, 1,848,352 2022 Profits Interests in the aggregate to each such director, some of which were granted subject to vesting and some of which were purchased fully vested. In addition, on June 1, 2022, Mr. Maraganore was issued 200,000 Profits Interests. Dr. Bertram did not receive additional compensation for his services as a member of Legacy GP Board. Effective as of the Closing, Legacy GP resigned as the general partner of ProKidney LP, and each of the directors of Legacy GP has served on the GP Board.</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ProKidney intends to develop a board of directors’ compensation program that is designed to align compensation with ProKidney’s business objectives and the creation of shareholder value, while enabling ProKidney to attract, retain, incentivize and reward directors who contribute to the long-term success of ProKidney.</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ProKidney’s compensation committee will determine the annual compensation to be paid to the members of the Board. Directors’ fees after the Business Combination have yet to be determined, but are expected to consist of two components: a cash payment and the issuance of equity or equity-based awards under the ProKidney Incentive Equity Plan. Pursuant to the Director Agreements with Legacy GP, it is anticipated that the following non-employee directors – Alan M. Lotvin, M.D., Brian J.G. Pereria, M.D., William F. Doyle and John M. Maraganore, Ph.D. – will hold at least five times his annual retainer in the form of ProKidney equity within five years of the completion of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Charter provides that, subject to certain limitations, ProKidney shall indemnify its directors and officers, including former directors and officers (each an “indemnified person”)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person shall be found to have committed actual fraud, wilful neglect or wilful default under the Charter unless or until a court of competent jurisdiction shall have made a finding to that effect. The termination of any proceedings by any judgment, order, settlement, conviction or the entering of a </w:t>
      </w:r>
      <w:r>
        <w:rPr>
          <w:rFonts w:ascii="Times New Roman" w:cs="Times New Roman" w:eastAsia="Times New Roman" w:hAnsi="Times New Roman"/>
          <w:sz w:val="18"/>
          <w:szCs w:val="18"/>
          <w:i w:val="1"/>
          <w:iCs w:val="1"/>
          <w:color w:val="auto"/>
        </w:rPr>
        <w:t>nolle prosequi</w:t>
      </w:r>
      <w:r>
        <w:rPr>
          <w:rFonts w:ascii="Times New Roman" w:cs="Times New Roman" w:eastAsia="Times New Roman" w:hAnsi="Times New Roman"/>
          <w:sz w:val="18"/>
          <w:szCs w:val="18"/>
          <w:color w:val="auto"/>
        </w:rPr>
        <w:t xml:space="preserve"> does not, by itself, create a presumption that the liability was incurred by reason of their own actual fraud, wilful neglect or wilful default.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ProKidney entered into agreements with its officers and directors to provide contractual indemnification in addition to the indemnification provided for in the Charter. The Charter also permits ProKidney to purchase and maintain insurance on behalf of any officer or director of ProKidney against any liability which, by virtue of any rule of law, would otherwise attach to such person in respect of any negligence, default, breach of duty or breach of trust of which such person may be guilty in relation to ProKidney, whether or not ProKidney has or would have had the power to indemnify the person against the liability as provided in the Charter. ProKidney purchased a policy of directors’ and officers’ liability insurance that insures its officers and directors against the cost of defense, settlement or payment of a judgment in some circumstances and insures ProKidney against its obligations to indemnify its officers and directors.</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shareholders from bringing a lawsuit against ProKidney’s directors for breach of their fiduciary duty. These provisions also may have the effect of reducing the likelihood of derivative litigation against officers and directors, even though such an action, if successful, might otherwise benefit ProKidney and its shareholders. Furthermore, a shareholder’s investment may be adversely affected to the extent ProKidney pays the costs of settlement and damage awards against officers and directors pursuant to these indemnification provisions.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and the insurance and the indemnity agreements, are necessary to attract and retain talented and experienced officers and directors.</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900"/>
          </w:cols>
          <w:pgMar w:left="320" w:top="482" w:right="6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ind w:left="120" w:right="420"/>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the context otherwise requires, references to “we,” “us,” “our,” and the “Company” refer to ProKidney Corp. and its subsidiaries after the Closing;“ProKidney” refers to ProKidney LP and its subsidiaries prior to the Closing and to ProKidney Corp. following the Closing; and “SCS” refers to SCS prior to the Closing.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SCS Related Party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 2021, the Sponsor paid $25,000 to cover certain offering and formation costs of SCS in consideration for which the Sponsor received 5,750,000 SCS Class B ordinary shares (the “Founder Shares”). On June 29, 2021, SCS effected a share capitalization with respect to its SCS Class B ordinary shares of 575,000 shares thereof, resulting in the Sponsor holding an aggregate of 6,325,000 Founder Shares. The Founder Shares included an aggregate of up to 825,000 shares that were subject to forfeiture depending on the extent to which the underwriters’ over-allotment option was exercised. As a result of the underwriters’ election to partially exercise their over-allotment option, a total of 750,000 Founder Shares were no longer subject to forfeiture and 75,000 Founder Shares were forfeited, resulting in an aggregate of 6,250,000 Founder Shares then outstanding. In June 2021, the Sponsor transferred 30,000 Founder Shares to Marc Semigran, M.D., an independent director of SCS.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Sponsor and the SCS’s directors and officers agreed, subject to limited exceptions, not to transfer, assign or sell any of their Founder Shares until the earlier of: (A) one year after the completion of the Business Combination and (B) commencing at least 150 days after the Business Combination, the day on which the last reported sale price of the Class A ordinary shares has equaled or exceeded $12.00 per share (as adjusted for share sub-divisions, share dividends, rights issuances, consolidations, reorganizations, recapitalizations and other similar transactions) for any 20 trading days within any 30-trading day period. At the Closing, the Founder Shares became ProKidney Class A ordinary shares, and ProKidney, the Sponsor and certain Closing ProKidney Unitholders entered into new lock-up agreements as described under “</w:t>
      </w: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SCS, the Sponsor and certain other security holders entered into a registration rights agreement on June 29, 2021 (the “SCS Registration Rights Agreement”). The SCS Registration Rights Agreement granted these holders certain demand and “piggy back” registration rights with SCS obligated to bear the expenses incurred in connection with the filing of any such registration statements.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At the Closing, ProKidney entered into the Amended and Restated Registration Rights Agreement, which replaced the SCS Registration Rights Agreement. See “</w:t>
      </w:r>
      <w:r>
        <w:rPr>
          <w:rFonts w:ascii="Times New Roman" w:cs="Times New Roman" w:eastAsia="Times New Roman" w:hAnsi="Times New Roman"/>
          <w:sz w:val="18"/>
          <w:szCs w:val="18"/>
          <w:i w:val="1"/>
          <w:iCs w:val="1"/>
          <w:color w:val="auto"/>
        </w:rPr>
        <w:t>Amended and Restated Registration Rights Agreement</w:t>
      </w:r>
      <w:r>
        <w:rPr>
          <w:rFonts w:ascii="Times New Roman" w:cs="Times New Roman" w:eastAsia="Times New Roman" w:hAnsi="Times New Roman"/>
          <w:sz w:val="18"/>
          <w:szCs w:val="18"/>
          <w:color w:val="auto"/>
        </w:rPr>
        <w:t>”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 with SCS Related PIPE Investors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SCS entered into Subscription Agreements with the certain sponsor-related PIPE Investors (“the Sponsor Related PIPE Investors”) pursuant to which the Sponsor Related PIPE Investors subscribed for SCS Class A ordinary shares. The Sponsor Related PIPE Investors funded $156,400,000 of the PIPE Investment, for which they will received 15,640,000 SCS Class A ordinary shares. Specifically, (i) SC Master Holdings, LLC, an entity affiliated with Mr. Chamath Palihapitiya, SCS’s Chief Executive Officer and Chairman of its board of directors, subscribed for 12,500,000 SCS Class A ordinary shares and (ii) Averill Master Fund, Ltd., an entity affiliated with Mr. Kishan Mehta, director and President of SCS’s, subscribed for 3,140,000 SCS Class A ordinary shares. The PIPE Investment was consummated concurrently with the Closing, and the SCS Class A ordinary shares purchased by the PIPE Investors became ProKidney Class A ordinary shares.</w:t>
      </w: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82"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SCS entered into an agreement, pursuant to which it paid an affiliate of the Sponsor $10,000 per month, commencing on June 30, 2021 and remaining in effect until the Closing, for office space, administrative and support services. For the period from February 25, 2021 (inception) through the Closing, SCS paid $120,000 for these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SCS Promissory Notes—Related Party</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March 2, 2021, SCS issued an unsecured promissory note to the Sponsor (the “Pre-IPO SCS Promissory Note”), pursuant to which SCS could borrow up to an aggregate principal amount of $300,000. The Pre-IPO SCS Promissory Note was non-interest bearing and payable on the earlier of December 31, 2021 and the completion of the initial public offering. The outstanding balance under the Pre-IPO SCS Promissory Note of $300,000 was repaid at the closing of the initial public offering on July 2, 2021.</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April 20, 2022, SCS issued the SCS Promissory Note to the Sponsor, pursuant to which SCS could borrow up to an aggregate principal amount of $1,500,000. The SCS Promissory Note was non-interest bearing, unsecured and payable upon the earlier of July 2, 2023 and the Closing. The SCS Promissory Note was subject to customary events of default. On April 26, 2022, SCS drew $250,000 under the SCS Promissory Note. At the Closing, SCS repaid the balance under the SCS Promissory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ProKidney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Agreement between ProKidney-KY and Nefro Health</w:t>
      </w:r>
    </w:p>
    <w:p>
      <w:pPr>
        <w:spacing w:after="0" w:line="121"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On January 1, 2020, ProKidney-KY (formerly known as inRegen) entered into a consulting services agreement with Nefro Health (“Nefro”), an Irish partnership controlled and majority-owned by Mr. Pablo Legorreta, a director of Legacy GP and a holder of over 5% of ProKidney Class A Units, pursuant to which Nefro provides consulting services for the research and development of ProKidney’s product candidates, including the conduct of clinical trials in North America and the European Union, the design and manufacturing of ProKidney’s product candidates as well as pre-commercialization activities, which are primarily performed by Mr. Pablo Legorreta. Under the agreement, Nefro receives $25,000 per quarter and is reimbursed for any out-of-pocket expenses incurred in connection with activities Nefro conducted under the agreement. ProKidney-KY has paid Nefro an aggregate of $100,000 and $100,000, respectively, for the years ended December 31, 2020 and December 31,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w:t>
      </w:r>
    </w:p>
    <w:p>
      <w:pPr>
        <w:spacing w:after="0" w:line="2" w:lineRule="exact"/>
        <w:rPr>
          <w:sz w:val="20"/>
          <w:szCs w:val="20"/>
          <w:color w:val="auto"/>
        </w:rPr>
      </w:pPr>
    </w:p>
    <w:p>
      <w:pPr>
        <w:ind w:left="120" w:right="20" w:hanging="4"/>
        <w:spacing w:after="0" w:line="255" w:lineRule="auto"/>
        <w:tabs>
          <w:tab w:leader="none" w:pos="4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Agreement between ProKidney-US and Nefro Health</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ProKidney’s product candidates, including the conduct of clinical trials in North America and the European Union, the design and manufacturing of ProKidney’s product candidates as well as pre-commercialization activities, which are primarily performed by Mr. Pablo Legorreta, a director of Legacy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82"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GP. Under the agreement, Nefro receives $25,000 per quarter and is reimbursed for any out-of-pocket expenses incurred in connection with activities Nefro conducted under the agreement. ProKidney-US has paid Nefro an aggregate of $100,000 and $100,000, respectively, for the years ended December 31, 2020 and December 31,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Contributions to ProKidney Bermuda and ProKidney by Pablo Legorreta and entities controlled by Pablo Legorreta</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Limited Liability Company Agreement of ProKidney Bermuda by and between ProKidney Bermuda and Mr. Pablo Legorreta, dated as of December 12, 2018 (as amended, the “ProKidney Bermuda Agreement”), ProKidney Bermuda issued Mr. Pablo Legorreta 45,000,000 Class A Units (as defined in the ProKidney Bermuda Agreement) in exchange for a capital contribution of $45,000,000. Mr. Legorreta was admitted as the sole member of ProKidney Bermuda. The ProKidney Bermuda Agreement was amended and restated on December 31, 2018 to admit an additional member that contributed to ProKidney Bermuda an aggregate of $30,000,000 as consideration for 30,000,000 Class A Units of ProKidney Bermuda. On or around October 23, 2019, ProKidney Bermuda issued additional Class A Units to its members, including Mr. Legorreta, in accordance with the terms and conditions of the ProKidney Bermuda Agreement, in exchange for an aggregate of $20,000,000 in capital contributions (the “2019 Contribution”). Mr. Legorreta made a capital contribution of $12,000,000 to ProKidney Bermuda in exchange for 12,000,000 Class A Units in the 2019 Contribution. Given the effect of the 2019 Contribution, Mr. Legorreta held an aggregate of 57,000,000 Class A Units of ProKidney Bermuda.</w:t>
      </w:r>
    </w:p>
    <w:p>
      <w:pPr>
        <w:spacing w:after="0" w:line="18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Effective as of January 1, 2020, Mr. Legorreta transferred 100% of his equity interests in ProKidney Bermuda to Nefro pursuant to a certain contribution, assignment and assumption agreement by and between Mr. Legorreta and Nefro, and in accordance with the terms of the ProKidney Bermuda Agreement. As a result, Mr. Legorreta ceased to be a member of ProKidney Bermuda, and Nefro became a substituted member of ProKidney Bermuda. On or around August 12, 2020, ProKidney Bermuda issued additional Class A Units to its members, including Nefro, in accordance with the terms and conditions of the ProKidney Bermuda Agreement, in exchange for an aggregate of $20,000,000 in capital contributions (the “</w:t>
      </w:r>
      <w:r>
        <w:rPr>
          <w:rFonts w:ascii="Times New Roman" w:cs="Times New Roman" w:eastAsia="Times New Roman" w:hAnsi="Times New Roman"/>
          <w:sz w:val="18"/>
          <w:szCs w:val="18"/>
          <w:i w:val="1"/>
          <w:iCs w:val="1"/>
          <w:color w:val="auto"/>
        </w:rPr>
        <w:t>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Nefro made a capital contribution of $15,000,000 to ProKidney Bermuda in exchange for 15,000,000 Class A Units in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As a result of the 2020 Contribution, Nefro held an aggregate of 72,000,000 Class A Units of ProKidney Bermuda.</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Effective as of February 1, 2021, Nefro transferred 100% of its equity interests in ProKidney Bermuda to Tolerantia, a Delaware limited liability company and a wholly owned subsidiary of Nefro, pursuant to a certain contribution, assignment and assumption agreement by and between</w:t>
      </w:r>
    </w:p>
    <w:p>
      <w:pPr>
        <w:ind w:left="120"/>
        <w:spacing w:after="0" w:line="252" w:lineRule="auto"/>
        <w:rPr>
          <w:sz w:val="20"/>
          <w:szCs w:val="20"/>
          <w:color w:val="auto"/>
        </w:rPr>
      </w:pPr>
      <w:r>
        <w:rPr>
          <w:rFonts w:ascii="Times New Roman" w:cs="Times New Roman" w:eastAsia="Times New Roman" w:hAnsi="Times New Roman"/>
          <w:sz w:val="18"/>
          <w:szCs w:val="18"/>
          <w:color w:val="auto"/>
        </w:rPr>
        <w:t>Mr. Legorreta and Nefro, dated as of Febraury 1, 2020, and in accordance with the terms of the ProKidney Bermuda Agreement. As a result, Nefro ceased to be a member of ProKidney Bermuda, and Tolerantia became a substituted member of ProKidney Bermuda. Between February 2021 and May 2021, ProKidney Bermuda issued additional Class A Units to its members, including Tolerantia, in accordance with the terms and conditions of the ProKidney Bermuda Agreement, in exchange for an aggregate of $30,000,000 in capital contributions (the “First 2021 Contribution”). Tolerantia made a capital contribution in an aggregate amount of $15,000,000 to ProKidney Bermuda in exchange for 15,000,000 Class A Units in the First 2021 Contribution. Given the effect of the First 2021</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82"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 Tolerantia held an aggregate of 87,000,000 Class A Units of ProKidney Bermuda. On June 29, 2021, ProKidney Bermuda issued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Class A Units to its members, including Tolerantia, in accordance with the terms and conditions of the ProKidney Bermuda Agreement,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for an aggregate of $11,500,000 in capital contributions (the “</w:t>
      </w:r>
      <w:r>
        <w:rPr>
          <w:rFonts w:ascii="Times New Roman" w:cs="Times New Roman" w:eastAsia="Times New Roman" w:hAnsi="Times New Roman"/>
          <w:sz w:val="18"/>
          <w:szCs w:val="18"/>
          <w:i w:val="1"/>
          <w:iCs w:val="1"/>
          <w:color w:val="auto"/>
        </w:rPr>
        <w:t>Second 2021 Contribution</w:t>
      </w:r>
      <w:r>
        <w:rPr>
          <w:rFonts w:ascii="Times New Roman" w:cs="Times New Roman" w:eastAsia="Times New Roman" w:hAnsi="Times New Roman"/>
          <w:sz w:val="18"/>
          <w:szCs w:val="18"/>
          <w:color w:val="auto"/>
        </w:rPr>
        <w:t>”). Tolerantia made a capital contribution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$6,900,000 to ProKidney Bermuda in exchange for 6,900,000 Class A Units in the Second 2021 Contribution. Given the effect of the Second 2021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 Tolerantia held an aggregate of 93,900,000 Class A Units of ProKidney Bermuda.</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August 5, 2021, ProKidney was formed as a limited partnership under the laws of Ireland. The members of ProKidney Bermuda, including Tolerantia, contributed all of their holdings in ProKidney Bermuda as a contribution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to ProKidney. As a result, ProKidney Bermuda became a wholly owned subsidiary of ProKidney and Tolerantia became one of the partners of ProKidney, holding an aggregate of 93,900,000 Legacy Class A Units. On October 15, 2021, ProKidney issued additional Legacy Class A Units to its partners, including Tolerantia, in accordance with the terms and conditions of the ProKidney Limited Partnership Agreement, in exchange for an aggregate contribution of $30,000,000 (the “</w:t>
      </w:r>
      <w:r>
        <w:rPr>
          <w:rFonts w:ascii="Times New Roman" w:cs="Times New Roman" w:eastAsia="Times New Roman" w:hAnsi="Times New Roman"/>
          <w:sz w:val="18"/>
          <w:szCs w:val="18"/>
          <w:i w:val="1"/>
          <w:iCs w:val="1"/>
          <w:color w:val="auto"/>
        </w:rPr>
        <w:t>Third 2021 Contribution</w:t>
      </w:r>
      <w:r>
        <w:rPr>
          <w:rFonts w:ascii="Times New Roman" w:cs="Times New Roman" w:eastAsia="Times New Roman" w:hAnsi="Times New Roman"/>
          <w:sz w:val="18"/>
          <w:szCs w:val="18"/>
          <w:color w:val="auto"/>
        </w:rPr>
        <w:t>”). Tolerantia, as one of the partners of ProKidney, made a contribution of $18,000,000 to ProKidney in exchange for 18,000,000 Legacy Class A Units pursuant to the ProKidney Limited Partnership Agreement. Given the effect of the Third 2021 Contribution, Tolerantia held an aggregate of 111,900,000 Class A Units of ProKidney. At the Closing, the ProKidney Class A Units held by Tolerantia were recapitalized into Post-Combination ProKidney Common Units and ProKidney Class B ordinary shares pursuant to the terms of the Business Combination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Contributions to ProKidney Bermuda and ProKidney by CEC and entities controlled by CEC</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12, 2018, ProKidney Bermuda entered into the ProKidney Bermuda Agreement with Mr. Pablo Legorreta, which was amended and restated on December 31, 2018 to admit Inversora Carso, S.A. de C.V., a Mexican corporation (“INCA”), as an additional member. INCA contributed to ProKidney Bermuda an aggregate of $30,000,000 as consideration for 30,000,000 Class A Units of ProKidney Bermuda. In the 2019 Contribution, INCA made an additional capital contribution of $8,000,000 to ProKidney Bermuda in exchange for 8,000,000 Class A Units. Given the effect of the 2019 Contribution, INCA held an aggregate of 38,000,000 Class A Units of ProKidney Bermuda.</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June 30, 2020, INCA merged with and into CEC, with CEC surviving the merger. In accordance with the terms of the ProKidney Bermuda Agreement, INCA ceased to be a member of ProKidney Bermuda and CEC became a substituted member of ProKidney Bermuda. In the 2020 Contribution, CEC made another capital contribution of $5,000,000 to ProKidney Bermuda in exchange for 5,000,000 Class A Units. As a result of the 2020 Contribution, CEC held an aggregate of 43,000,000 Class A Units of ProKidney Bermuda.</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First 2021 Contribution, CEC made a capital contribution in an aggregate amount of $15,000,000 to ProKidney Bermuda in exchange for 15,000,000 Class A Units. Given the effect of the First 2021 Contribution, CEC held an aggregate of 58,000,000 Class A Units of ProKidney Bermuda. In the Second 2021 Contribution, CEC made a capital contribution of $4,600,000 to ProKidney Bermuda in exchange for 4,600,000 Class A Units. Given the effect of the Second 2021 Contribution, CEC held an aggregate of 62,600,000 Class A Units of ProKidney Bermuda.</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August 5, 2021, ProKidney was formed as a limited partnership under the laws of Ireland. The members of ProKidney Bermuda, including CEC, contributed all of their holdings in ProKidney Bermuda as a contribution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to ProKidney. As a result, ProKidney Bermuda became a wholly owned subsidiary of ProKidney, and CEC became one of the partners of ProKidney, holding an aggregate of 62,600,000 Legacy Class A Units. In the Third 2021 Contribution, CEC, as one of the partners of ProKidney, made a capital contribution of $12,000,000 to ProKidney in exchange for 12,000,000 Legacy Class A Units pursuant to the ProKidney Limited Partnership Agreement. Given the effect of the Third 2021 Contribution, CEC held an aggregate of 74,600,000 Class A Units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82"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of ProKidney. At the Closing, the ProKidney Class A Units held by CEC were recapitalized into Post-Combination ProKidney Common Units and ProKidney Class B ordinary shares pursuant to the terms of the Business Combination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Tolerantia and CEC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18, 2022, in connection with the Business Combination Agreement, ProKidney entered into promissory note agreements with</w:t>
      </w:r>
    </w:p>
    <w:p>
      <w:pPr>
        <w:spacing w:after="0" w:line="27" w:lineRule="exact"/>
        <w:rPr>
          <w:sz w:val="20"/>
          <w:szCs w:val="20"/>
          <w:color w:val="auto"/>
        </w:rPr>
      </w:pPr>
    </w:p>
    <w:p>
      <w:pPr>
        <w:ind w:left="120" w:hanging="4"/>
        <w:spacing w:after="0" w:line="252" w:lineRule="auto"/>
        <w:tabs>
          <w:tab w:leader="none" w:pos="36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Tolerantia, pursuant to which ProKidney may borrow up to an aggregate principal amount of $60,000,000, and (b) CEC, pursuant to which ProKidney may borrow up to an aggregate principal amount of $40,000,000 (collectively, the “ProKidney Promissory Notes”). The ProKidney Promissory Notes bear interest at a rate of 3% per annum and are payable on the earlier of the Closing Date and January 17, 2023. Pursuant to the ProKidney Promissory Notes, on March 24, 2022, ProKidney submitted a drawdown request to each of Tolerantia and CEC for $12,000,000 and $8,000,000, respectively, and on March 25, 2022, each of Tolerantia and CEC delivered the requested amount to ProKidney. In June 2022, ProKidney submitted a drawdown request to each of Tolerantia and CEC for $9,000,000 and $6,000,000, respectively, and each of Tolerantia and CEC delivered the requested amounts to ProKidney. At the Closing, ProKidney repaid the amounts outstanding under the ProKidney Promissory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 with ProKidney Related PIPE Investors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ProKidney entered into Subscription Agreements with the ProKidney Related PIPE Investors, pursuant to which the ProKidney Related PIPE Investors have subscribed for SCS Class A ordinary shares. The ProKidney Related PIPE Investors funded $50,000,000 of the PIPE Investment, for which they received 5,000,000 Post-Combination ProKidney Common Units in lieu of SCS Class A ordinary shares. Specifically, (i) Tolerantia, a member of ProKidney affiliated with Mr. Pablo Legorreta, subscribed for 3,000,000 SCS Class A ordinary shares and elected to purchase 3,000,000 Post-Combination ProKidney Common Units in lieu thereof, and (ii) CEC, an entity affiliated with Mr. Carlos Slim, subscribed for 2,000,000 SCS Class A ordinary shares and elected purchase 2,000,000 Post-Combination ProKidney Common Units in lieu thereof. The PIPE Investment was consummated substantially concurrently with the Closing.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b w:val="1"/>
          <w:bCs w:val="1"/>
          <w:i w:val="1"/>
          <w:iCs w:val="1"/>
          <w:color w:val="auto"/>
        </w:rPr>
        <w:t>oting Agreement by CEC</w:t>
      </w:r>
    </w:p>
    <w:p>
      <w:pPr>
        <w:spacing w:after="0" w:line="121"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On February 14, 2022, CEC executed the Voting Agreement, pursuant to which CEC agreed, (1) subject to the constitution of Legacy GP, from February 14, 2022 until the Closing, to vote all of its voting shares in the capital of Legacy GP to exercise its rights of nomination and approval under the constitution of Legacy GP as directed by Tolerantia, solely with respect to (a) the appointment of any director to Legacy GP Board; and (b) the removal of any director from the Legacy GP Board; and (2) subject to the organizational documents of ProKidney, from the Closing until the third anniversary of the Closing, to vote all of its voting shares in the capital of ProKidney in a manner proportionate to the manner in which all other ProKidney Class B ordinary shares not held by CEC are voted, solely with respect to (a) the election of any director to the Board at any meeting of shareholders at which directors are to be elected; (b) the appointment of any director to fill any vacancy created by the failure of any director to complete a term on the Board; and (c) any removal of a director from the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At the Closing, ProKidney entered into the Tax Receivable Agreement, pursuant to which, among other things, ProKidney is required to pay the Closing ProKidney Unitholders party thereto 85% of certain tax savings recognized by ProKidney, as a result of the increases in tax basis attributable to exchanges by the Closing ProKidney Unitholders of Post-Combination ProKidney Common Units for ProKidney Class A ordinary shares or, subject to certain restrictions, cash, pursuant to the Exchange Agreement and certain other tax attributes of ProKidney and tax benefits related to entering into the Tax Receivable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At the Closing, ProKidney entered into the Exchange Agreement with certain Closing ProKidney Unitholders pursuant to which, subject to the procedures and restrictions therein, from and after the waiver or expiration of any contractual lock-up period (including pursuant to</w:t>
      </w:r>
    </w:p>
    <w:p>
      <w:pPr>
        <w:ind w:left="120"/>
        <w:spacing w:after="0" w:line="251" w:lineRule="auto"/>
        <w:rPr>
          <w:sz w:val="20"/>
          <w:szCs w:val="20"/>
          <w:color w:val="auto"/>
        </w:rPr>
      </w:pPr>
      <w:r>
        <w:rPr>
          <w:rFonts w:ascii="Times New Roman" w:cs="Times New Roman" w:eastAsia="Times New Roman" w:hAnsi="Times New Roman"/>
          <w:sz w:val="18"/>
          <w:szCs w:val="18"/>
          <w:color w:val="auto"/>
        </w:rPr>
        <w:t>the Lock-Up Agreements, described below), the holders of Post-Combination ProKidney Common Units (or certain permitted transferees thereof) acquired the right from time to time at and after 180 days following the Closing to exchange their Post-Combination ProKidney Common Units and an equal number of ProKidney Class B ordinary shares (referred to herein as “Paired Interests”) on a one-for-one basis for ProKidney Class A ordinary shares (the “Exchange”); provided, that, subject to certain exceptions, ProKidney, at its sole election, subject to certain restrictions, may, other than in the case of certain secondary offerings, instead settle all or a portion of the Exchange in cash based on a volume weighted average price of a ProKidney Class A ordinary share. The Exchange Agreement provides that, as a general matter, a holder of Post-Combination ProKidney Common Units do not have the right to exchange Post-Combination ProKidney Common Units if ProKidney determines that such exchange would be prohibited by law or regulation or would violate other agreements with ProKidney and its subsidiaries to which the holder of Post-Combination ProKidney Common Units may be subject, including the Second Amended and Restated ProKidney Limited Partnership Agreement and the Exchange Agreement. Additionally, the Exchange Agreement contains restrictions on redemptions and exchanges intended to prevent ProKidney from being treated as a “publicly traded partnership” for U.S. federal income tax purposes. These restrictions are modeled on certain safe harbors provided for under applicable U.S. federal income tax law. ProKidney may impose additional restrictions on exchanges that it determines to be necessary or advisable so that ProKidney is not treated as a “publicly traded partnership”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At the Closing, ProKidney entered into the Amended and Restated Registration Rights Agreement with the Sponsor and certain Closing ProKidney Unitholders. The Amended and Restated Registration Rights Agreement replaced the SCS Registration Rights Agreement. Under the Amended and Restated Registration Rights Agreement, Class A ordinary shares held by the Holders party thereto (as well as their permitted transferees) and by parties to the Exchange Agreement are entitled to registration rights. The Amended and Restated Registration Rights Agreement provides for ProKidney to, within 30 days after the Closing Date, submit or file with the SEC a shelf registration statement registering the resale of the ProKidney ordinary shares held by the Holders and use its commercially reasonable efforts to have such registration statement declared effective as soon as practicable after the submission or filing thereof, but in no event later than (a) 90 days following the submission or filing deadline, if the SEC notifies ProKidney that it will “review” the Registration Statement and (b) the tenth (10th) business day after the date ProKidney is notified (orally or in writing, whichever is earlier) by the SEC that the registration statement will not be “reviewed” or will not be subject to further review. In addition, the Holders have certain “piggy-back” registration rights. ProKidney will bear the expenses incurred in connection with the filing of any registration statements filed pursuant to the terms of the Amended and Restated Registration Rights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the closing of the Business Combination, ProKidney, the Sponsor and certain Closing ProKidney Unitholders entered into lock-up agreements (collectively referred to herein as the “Lock-Up Agreement”). The Lock-Up Agreement contains certain restrictions on transfer with respect to the Sponsor and the ProKidney Unitholders party thereto (including their permitted transferees). Such restrictions begin at the Closing and end on the earlier of (i) the date that is 180 days after the Closing and (ii)(a) for 33% of the Lock-Up Shares (other than the Earnout Shares and the Private Placement Shares)(as each such term is defined in the Lock-Up Agreement), the date on which the last reported sale price of a ProKidney Class A ordinary share equals or exceeds $12.50 per share for any 20 trading days within any 30-trading day period commencing at least 30 days after the Closing and (b) for an additional 50% of the Lock-Up Shares (other than the Earnout Shares and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Private Placement Shares), the date on which the last reported sale price of a ProKidney Class A ordinary share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ProKidney receives notice of any regulatory market authorization, including full or conditional authorization, to market REACT (but, in any event, not earlier than 180 days following the Closing or (in the case of Earnout Shares) the date of issuance); and (iii) the lock-up period for the Private Placement Shares will expire 30 days after the Closing. The restrictions on transfer set forth in the Lock-Up Agreement are subject to customary exceptions.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Arrangements</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information regarding compensation arrangements with the executive officers and directors of ProKidney, which include, among other things, employment, termination of employment and change in control arrangements, equity awards and certain other benefits.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with Officers and Directors and Directors’ and Officers’ Liability Insurance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Second Amended and Restated ProKidney Limited Partnership Agreement provides for indemnification for, among others, its partners and its partners’ directors, officers and employees to the fullest extent permitted by applicable law. In connection with this Business Combination, ProKidney entered into indemnification agreements with each of ProKidney’s executive officers and directors. The indemnification agreements and Charter require that ProKidney indemnify its directors to the fullest extent not prohibited by Cayman Islands law. ProKidney also maintains a general liability insurance policy, which covers certain liabilities of its directors and officers arising out of claims based on acts or omissions in their capacities as directors or officers.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ProKidney adopted a written related person transaction policy that sets forth the following policies and procedures for the review and approval or ratification of related person transactions. A “</w:t>
      </w:r>
      <w:r>
        <w:rPr>
          <w:rFonts w:ascii="Times New Roman" w:cs="Times New Roman" w:eastAsia="Times New Roman" w:hAnsi="Times New Roman"/>
          <w:sz w:val="18"/>
          <w:szCs w:val="18"/>
          <w:i w:val="1"/>
          <w:iCs w:val="1"/>
          <w:color w:val="auto"/>
        </w:rPr>
        <w:t>Related Person Transaction</w:t>
      </w:r>
      <w:r>
        <w:rPr>
          <w:rFonts w:ascii="Times New Roman" w:cs="Times New Roman" w:eastAsia="Times New Roman" w:hAnsi="Times New Roman"/>
          <w:sz w:val="18"/>
          <w:szCs w:val="18"/>
          <w:color w:val="auto"/>
        </w:rPr>
        <w:t>” is a transaction, arrangement or relationship in which ProKidney or any of its subsidiaries was, is or will be a participant, the amount of which involved exceeds the lesser of $120,000 per year or 1% of the average of ProKidney’s total assets for the last two completed fiscal years, and in which any Related Person had, has or will have a direct or indirect material interest. A “</w:t>
      </w:r>
      <w:r>
        <w:rPr>
          <w:rFonts w:ascii="Times New Roman" w:cs="Times New Roman" w:eastAsia="Times New Roman" w:hAnsi="Times New Roman"/>
          <w:sz w:val="18"/>
          <w:szCs w:val="18"/>
          <w:i w:val="1"/>
          <w:iCs w:val="1"/>
          <w:color w:val="auto"/>
        </w:rPr>
        <w:t>Related Person</w:t>
      </w:r>
      <w:r>
        <w:rPr>
          <w:rFonts w:ascii="Times New Roman" w:cs="Times New Roman" w:eastAsia="Times New Roman" w:hAnsi="Times New Roman"/>
          <w:sz w:val="18"/>
          <w:szCs w:val="18"/>
          <w:color w:val="auto"/>
        </w:rPr>
        <w:t>” means:</w:t>
      </w:r>
    </w:p>
    <w:p>
      <w:pPr>
        <w:spacing w:after="0" w:line="89"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ProKidney’s officers or one of ProKidney’s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ProKidney to be the beneficial owner of more than five percent (5%) of its voting shares;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executive officer or a beneficial owner of more than five percent (5%) of its voting shares, and any person (other than a tenant or employee) sharing the household of such director, executive officer or beneficial owner of more than five percent (5%) of its voting shares.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ProKidney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82"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MATERIAL U.S. AND NON-U.S. INCOME TAX CONSIDERATIONS</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shares of Class A ordinary shares. This discussion is limited to certain U.S. federal income tax considerations to beneficial owners of the Class A ordinary shares who are initial purchasers of such ordinary shares pursuant to this offering and hold the Class A ordinary shares as a capital asset within the meaning of Section 1221 of the Code. This discussion assumes that any distributions made by ProKidney on the Class A ordinary shares and any consideration received by a holder in consideration for the sale or other disposition of the Class A ordinary shares will be in U.S. dollars.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85" w:lineRule="exact"/>
        <w:rPr>
          <w:sz w:val="20"/>
          <w:szCs w:val="20"/>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Class A ordinary shares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Class A ordinary shares;</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as part of a “straddle,” constructive sale, hedge, conversion or other integrated or similar transaction;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540" w:right="700" w:hanging="331"/>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Class A ordinary shares,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Class A ordinary shares you are urged to consult your tax advisor regarding the tax consequences of the acquisition, ownership and disposition of our Class A ordinary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82"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CLASS A ORDINARY SHARES. EACH PROSPECTIVE INVESTOR IN OUR CLASS A ORDINARY SHARES IS URGED TO CONSULT ITS OWN TAX ADVISOR WITH RESPECT TO THE PARTICULAR TAX CONSEQUENCES TO SUCH INVESTOR OF THE ACQUISITION, OWNERSHIP AND DISPOSITION OF OUR CLASS A ORDINARY SHARES, INCLUDING THE APPLICABILITY AND EFFECT OF ANY U.S. FEDERAL NON-INCOME, STATE, LOCAL, AND NON-U.S.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Class A ordinary shares who or that is,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12" w:lineRule="exact"/>
        <w:rPr>
          <w:sz w:val="20"/>
          <w:szCs w:val="20"/>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2"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advisors about the consequences of the acquisition, ownership and disposition of the Class A ordinary shares, including the relevance to your particular situation of the considerations discussed below and any consequences arising under non-U.S., state, local or other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if we pay distributions in cash or other property (other than certain distributions of our shares or rights to acquire our shares) to U.S. Holders of shares of our Class A ordinary shares, such distributions generally will constitute dividends for U.S. federal income tax purposes to the extent paid from our current or accumulated earnings and profits, as determined under U.S. federal income tax principles, which will generally be includible in your taxable income as ordinary dividend income on the day on which you receive the dividend and will not be eligible for the dividends-received deduction allowed to U.S. corporations under the Code. Distributions in excess of current and accumulated earnings and profits will constitute a return of capital that will be applied against and reduce (but not below zero) the U.S. Holder’s adjusted tax basis in our Class A ordinary shares. Any remaining excess will be treated as gain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82"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realized on the sale or other disposition of the Class A ordinary shares. Because we believe it is likely that ProKidney will be a PFIC for its current taxable year (as discussed below under “—</w:t>
      </w:r>
      <w:r>
        <w:rPr>
          <w:rFonts w:ascii="Times New Roman" w:cs="Times New Roman" w:eastAsia="Times New Roman" w:hAnsi="Times New Roman"/>
          <w:sz w:val="18"/>
          <w:szCs w:val="18"/>
          <w:i w:val="1"/>
          <w:iCs w:val="1"/>
          <w:color w:val="auto"/>
        </w:rPr>
        <w:t>PFIC Considerations—PFIC Status of ProKidney</w:t>
      </w:r>
      <w:r>
        <w:rPr>
          <w:rFonts w:ascii="Times New Roman" w:cs="Times New Roman" w:eastAsia="Times New Roman" w:hAnsi="Times New Roman"/>
          <w:sz w:val="18"/>
          <w:szCs w:val="18"/>
          <w:color w:val="auto"/>
        </w:rPr>
        <w:t>”) dividends ProKidney pays to a non-corporate U.S. Holder generally will not constitute “qualified dividends” that would be taxable at a reduced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Ordinary Shares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upon a sale or other taxable disposition of our Class A ordinary shares, a U.S. Holder generally will recognize capital gain or loss in an amount equal to the difference between the amount realized and the U.S. Holder’s adjusted tax basis in the Class A ordinary shares. Any such capital gain or loss generally will be long-term capital gain or loss if the U.S. Holder’s holding period for the Class A ordinary shares so disposed of exceeds one year. Long-term capital gains recognized by non-corporate U.S. Holders may be eligible to be taxed at reduced rates. The deductibility of capital losses is subject to limitations.</w:t>
      </w:r>
    </w:p>
    <w:p>
      <w:pPr>
        <w:spacing w:after="0" w:line="18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ordinary shares so disposed of. A U.S. Holder’s adjusted tax basis in its ordinary shares generally will equal the U.S. Holder’s acquisition cost less any prior distributions treated as a return of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PFIC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 of a PFIC</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PFIC Status of ProKidney</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Based upon the composition of its income and assets, and upon a review of its financial statements, ProKidney believes that it likely was a PFIC for its most recent taxable year ended on December 31, 2021 and will likely be considered a PFIC for its current taxable year.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we are classified as a PFIC in any year during which a U.S. Holder holds our Class A ordinary shares and the U.S. Holder has not timely made (a) a QEF Election (as defined below) for the first taxable year in which the U.S. Holder owned such Class A ordinary shares or in which ProKidney was a PFIC, whichever is later (or a QEF Election along with a purging election), or (b) a mark-to-market election (as defined below) with respect to such Class A ordinary shares, then the tax on any gain recognized by such U.S. Holder would be imposed based on a complex set of computational rules designed to offset the tax deferral with respect to the undistributed earnings of ProKidney. Under these rules:</w:t>
      </w:r>
    </w:p>
    <w:p>
      <w:pPr>
        <w:spacing w:after="0" w:line="89"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will be allocated ratably over the U.S. Holder’s holding period for such U.S. Holder’s Class A ordinary shares;</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312" w:lineRule="auto"/>
        <w:tabs>
          <w:tab w:leader="none" w:pos="10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gain allocated to the U.S. Holder’s taxable year in which the U.S. Holder recognized the gain, or to the period in the U.S. Holder’s holding period before the first day of the first taxable year in which ProKidney was a PFIC, will be taxed as ordinary income;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82"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of such U.S. Holder.</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ALL U.S. HOLDERS ARE URGED TO CONSULT THEIR TAX ADVISORS REGARDING THE EFFECTS OF THE PFIC RULES ON THE EXERCISE OF REDEMPTION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QEF Election and Mark-to-Market Election</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impact of the PFIC rules on a U.S. Holder of Class A ordinary shares will depend on whether the U.S. Holder has made a timely and effective election to treat ProKidney as a “qualified electing fund” under Section 1295 of the Code for the taxable year that is the first year in the U.S. Holder’s holding period of Class A ordinary shares during which ProKidney qualified as a PFIC (a “QEF Election”) or, if in a later taxable year, the U.S. Holder made a QEF Election along with a purging election. A purging election creates a deemed sale of the U.S. Holder’s Class A ordinary shares at their then fair market value and requires the U.S. Holder to recognize gain pursuant to the purging election subject to the special PFIC tax and interest charge rules described above. As a result of any such purging election, the U.S. Holder would have a new basis and holding period in its Class A ordinary shares. U.S. Holders are urged to consult their tax advisors as to the application of the rules governing purging elections to their particular circumstances.</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U.S. Holder’s ability to make a QEF Election (or a QEF Election along with a purging election) with respect to ProKidney is contingent upon, among other things, the provision by ProKidney of a “PFIC Annual Information Statement” (within the meaning of the applicable Treasury Regulations) to such U.S. Holder. ProKidney provided PFIC Annual Information Statements to U.S. Holders of ProKidney Class A ordinary shares, upon request, with respect to its taxable year that ended on December 31, 2021 and will endeavor to continue to provide to a U.S. Holder such information upon request. There is no assurance, however, that ProKidney will continue to timely provide such information. A U.S. Holder that made a QEF Election (or a QEF Election along with a purging election) may be referred to as an “Electing Shareholder” and a U.S. Holder that did not make a QEF Election may be referred to as a “Non-Electing Shareholder.”</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impact of the PFIC rules on a U.S. Holder of Class A ordinary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“marketable stock” (within the meaning of the applicable Treasury Regulations), generally, stock that is regularly traded on a national securities exchange that is registered with the SEC, including Nasdaq, or on a foreign exchange or market that the IRS determines has rules sufficient to ensure that the market price represents a legitimate and sound fair market value (a “mark-to-market election”). No assurance can be given that the Class A ordinary shares are considered to be marketable stock for purposes of the mark-to-market election or whether the other requirements of this election are satisfied. If such an election is available and has been made, such U.S. Holders will generally not be subject to the special taxation rules discussed herein. U.S. Holders are urged to consult their tax advisors regarding the availability and tax consequences of a mark-to-market election with respect to Class A ordinary shares under their particular circumstances.</w:t>
      </w:r>
    </w:p>
    <w:p>
      <w:pPr>
        <w:spacing w:after="0" w:line="184"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color w:val="auto"/>
        </w:rPr>
        <w:t>THE RULES DEALING WITH PFICS ARE VERY COMPLEX AND ARE IMPACTED BY VARIOUS FACTORS IN ADDITION TO THOSE DESCRIBED ABOVE. ALL U.S. HOLDERS ARE URGED TO CONSULT THEIR TAX ADVISORS REGARDING THE CONSEQUENCES TO THEM OF THE PFIC RULES, INCLUDING, WITHOUT LIMITATION, WHETHER A QEF ELECTION (OR A QEF ELECTION ALONG WITH A PURGING ELECTION), A MARK-TO-MARKET ELECTION OR ANY OTHER ELECTION IS AVAILABLE.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82"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who are individuals that own “specified foreign financial assets” with an aggregate value in excess of $50,000 are generally required to file an information statement along with their tax returns, currently on IRS Form 8938, with respect to such assets. “Specified foreign financial assets” include any financial accounts held at a non-U.S. financial institution, as well as securities issued by a non-U.S. issuer (which would include the Class A ordinary shares)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Class A ordinary shares, including the application of the rules to their particular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Requirements and Backup Withholding</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on and the proceeds from a sale or other disposition of Class A ordinary shares and backup withholding may also apply. Backup withholding will not apply, however, to a U.S. Holder who furnishes a correct taxpayer identification number and makes other required certifications, or who is otherwise exempt from backup withholding and establishes such exempt status. Backup withholding is not an additional tax. The amount of any backup withholding from a payment to a U.S. Holder will generally be allowed as a credit against such U.S. Holder’s U.S. federal income tax liability and may entitle such U.S. Holder to a refund, provided that the required information is furnished by such U.S. Holder to the IRS in a timely manner.</w:t>
      </w:r>
    </w:p>
    <w:p>
      <w:pPr>
        <w:spacing w:after="0" w:line="183"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EACH PROSPECTIVE INVESTOR IN OUR CLASS A ORDINARY SHARES IS URGED TO CONSULT ITS OWN TAX ADVISOR WITH RESPECT TO THE PARTICULAR TAX CONSEQUENCES TO SUCH INVESTOR OF THE ACQUISITION, OWNERSHIP AND DISPOSITION OF OUR CLASS A ORDINARY SHARES, INCLUDING THE APPLICABILITY AND EFFECT OF ANY U.S. FEDERAL NON-INCOME, STATE,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 Considerations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 An instrument of transfer in respect of Class A ordinary shares is stampable if executed in or brought into the Cayman Islands.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82"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been incorporated under the laws of the Cayman Islands as an exempted company with limited liability and, as such, has obtained an undertaking from the Government of the Cayman Islands in the following form: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Tax Concessions Act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Undertaking as to Tax Concessions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 of Section 6 of The Tax Concessions Act (as amended), the following undertaking is hereby given to ProKidney Corp. (the “Company”):</w:t>
      </w:r>
    </w:p>
    <w:p>
      <w:pPr>
        <w:spacing w:after="0" w:line="67" w:lineRule="exact"/>
        <w:rPr>
          <w:sz w:val="20"/>
          <w:szCs w:val="20"/>
          <w:color w:val="auto"/>
        </w:rPr>
      </w:pPr>
    </w:p>
    <w:p>
      <w:pPr>
        <w:ind w:left="1080" w:right="20" w:hanging="532"/>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Islands imposing any tax to be levied on profits, income, gains or appreciations shall apply to the Company or its operations;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130" w:lineRule="exact"/>
        <w:rPr>
          <w:rFonts w:ascii="Times New Roman" w:cs="Times New Roman" w:eastAsia="Times New Roman" w:hAnsi="Times New Roman"/>
          <w:sz w:val="18"/>
          <w:szCs w:val="18"/>
          <w:color w:val="auto"/>
        </w:rPr>
      </w:pPr>
    </w:p>
    <w:p>
      <w:pPr>
        <w:ind w:left="1540" w:right="50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by way of the withholding in whole or part, of any relevant payment as defined in Section 6(3) of the Tax Concessions Act (as amended).</w:t>
      </w:r>
    </w:p>
    <w:p>
      <w:pPr>
        <w:spacing w:after="0" w:line="162"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These concessions shall be for a period of 30 years from the date hereof.</w:t>
      </w:r>
    </w:p>
    <w:p>
      <w:pPr>
        <w:spacing w:after="0" w:line="158"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82"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registering the resale by the Selling Securityholders of up to 239,420,000 our Class A ordinary shares.</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their Class A ordinary shares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9"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 dealer or other financial institution, may effect sales of the pledged securities pursuant to this prospectus (as supplemented or amended to reflect such transaction).</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shareholders have entered into lock-up agreements.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Amended and Restated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At the Closing, ProKidney, the Sponsor and certain Closing ProKidney Unitholders entered into the Amended and Restated Registration Rights Agreement, pursuant to which, among other things, the Sponsor, Closing Company Unitholders and their affiliates and permitted transferees were granted certain registration rights with respect to their respective Class A ordinary shares on the terms and subject to the conditions therein.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40"/>
          </w:cols>
          <w:pgMar w:left="320" w:top="482"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Walkers (Cayman) LLP has passed upon the validity of the Class A ordinary shares and Class B ordinary shares offered by this prospectus and matters of Cayman Islands law.</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0820"/>
          </w:cols>
          <w:pgMar w:left="320" w:top="482" w:right="7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SCS as of December 31, 2021 and for the period from February 25, 2021 (inception) through December 31, 2021 included in this prospectus have been audited by Marcum LLP, independent registered public accounting firm, as set forth in their report thereon, appearing elsewhere herein, and are included in reliance upon such report given on the authority of such firm as experts in accounting and auditing.</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ProKidney LP at December 31, 2021 and 2020, and for each of the two years in the period ended December 31, 2021,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appearing elsewhere herein, and are included in reliance upon such report given on the authority of such firm as experts in accounting and auditing.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82"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ordinary shares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www.prokidney.com.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80"/>
          </w:cols>
          <w:pgMar w:left="320" w:top="482"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CONSOLIDATED FINANCIAL INFORMATION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4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for Social Capital Suvretta Holdings Corp. III</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440" w:type="dxa"/>
            <w:vAlign w:val="bottom"/>
            <w:gridSpan w:val="33"/>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422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860" w:type="dxa"/>
            <w:vAlign w:val="bottom"/>
            <w:gridSpan w:val="20"/>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FS-2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Balance Sheets as of December 31, 2021</w:t>
            </w:r>
          </w:p>
        </w:tc>
        <w:tc>
          <w:tcPr>
            <w:tcW w:w="714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period from February 25, 2021 (inception) through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Temporary Equity and Permanent Deficit for the period from February 25, 2021 (inception) through</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w:t>
            </w:r>
          </w:p>
        </w:tc>
        <w:tc>
          <w:tcPr>
            <w:tcW w:w="7400" w:type="dxa"/>
            <w:vAlign w:val="bottom"/>
            <w:tcBorders>
              <w:top w:val="single" w:sz="8" w:color="0000EE"/>
            </w:tcBorders>
            <w:gridSpan w:val="18"/>
          </w:tcPr>
          <w:p>
            <w:pPr>
              <w:spacing w:after="0"/>
              <w:rPr>
                <w:sz w:val="17"/>
                <w:szCs w:val="17"/>
                <w:color w:val="auto"/>
              </w:rPr>
            </w:pPr>
          </w:p>
        </w:tc>
        <w:tc>
          <w:tcPr>
            <w:tcW w:w="10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5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period from February 25, 2021 (inception) through December 31, 2021</w:t>
            </w:r>
          </w:p>
        </w:tc>
        <w:tc>
          <w:tcPr>
            <w:tcW w:w="252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for Social Capital Suvretta Holdings Corp. III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68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Consolidated Balance Sheets at June 30, 2022 (Unaudited) and December 31, 2021</w:t>
            </w:r>
          </w:p>
        </w:tc>
        <w:tc>
          <w:tcPr>
            <w:tcW w:w="3240" w:type="dxa"/>
            <w:vAlign w:val="bottom"/>
            <w:gridSpan w:val="17"/>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FS-20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2022, for the three months ended</w:t>
            </w:r>
          </w:p>
        </w:tc>
        <w:tc>
          <w:tcPr>
            <w:tcW w:w="82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2021 and for the period from February 25, 2021 (inception) through June 30, 2021 (Unaudited)</w:t>
            </w:r>
          </w:p>
        </w:tc>
        <w:tc>
          <w:tcPr>
            <w:tcW w:w="24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Temporary Equity and Permanent (Deficit) Equity for the three and six months ended</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2022, for the three months ended June 30, 2021 and for the period from February 25, 2021 (inception) through June 30, 2021</w:t>
            </w:r>
          </w:p>
        </w:tc>
        <w:tc>
          <w:tcPr>
            <w:tcW w:w="24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for the period from February 25, 2021</w:t>
            </w:r>
          </w:p>
        </w:tc>
        <w:tc>
          <w:tcPr>
            <w:tcW w:w="4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(inception) through June 30, 2021 (Unaudited)</w:t>
            </w:r>
          </w:p>
        </w:tc>
        <w:tc>
          <w:tcPr>
            <w:tcW w:w="654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for ProKidney LP and Subsidiaries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0080" w:type="dxa"/>
            <w:vAlign w:val="bottom"/>
            <w:gridSpan w:val="32"/>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Auditors</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FS-38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8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ProKidney LP and Subsidiaries Consolidated Balance Sheets at December 31, 2020 and December 31, 2021</w:t>
            </w:r>
          </w:p>
        </w:tc>
        <w:tc>
          <w:tcPr>
            <w:tcW w:w="228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FS-39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ProKidney LP and Subsidiaries Consolidated Statements of Operations and Comprehensive Loss for the years ended December 31, 2020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and December 31, 2021</w:t>
            </w:r>
          </w:p>
        </w:tc>
        <w:tc>
          <w:tcPr>
            <w:tcW w:w="7960" w:type="dxa"/>
            <w:vAlign w:val="bottom"/>
            <w:tcBorders>
              <w:top w:val="single" w:sz="8" w:color="0000EE"/>
            </w:tcBorders>
            <w:gridSpan w:val="26"/>
          </w:tcPr>
          <w:p>
            <w:pPr>
              <w:spacing w:after="0"/>
              <w:rPr>
                <w:sz w:val="17"/>
                <w:szCs w:val="17"/>
                <w:color w:val="auto"/>
              </w:rPr>
            </w:pPr>
          </w:p>
        </w:tc>
        <w:tc>
          <w:tcPr>
            <w:tcW w:w="22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FS-40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6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ProKidney LP and Subsidiaries Consolidated Statements of Changes in Members’ Equity for the years ended December 31, 2020 and</w:t>
            </w:r>
          </w:p>
        </w:tc>
        <w:tc>
          <w:tcPr>
            <w:tcW w:w="44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w:t>
            </w:r>
          </w:p>
        </w:tc>
        <w:tc>
          <w:tcPr>
            <w:tcW w:w="8480" w:type="dxa"/>
            <w:vAlign w:val="bottom"/>
            <w:gridSpan w:val="2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ProKidney LP and Subsidiaries Consolidated Statement of Cash Flows for the years ended December 31, 2020 and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FS-42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ProKidney and Subsidiaries Notes to Consolidated Financial Statements</w:t>
            </w:r>
          </w:p>
        </w:tc>
        <w:tc>
          <w:tcPr>
            <w:tcW w:w="4540" w:type="dxa"/>
            <w:vAlign w:val="bottom"/>
            <w:tcBorders>
              <w:top w:val="single" w:sz="8" w:color="0000EE"/>
            </w:tcBorders>
            <w:gridSpan w:val="14"/>
          </w:tcPr>
          <w:p>
            <w:pPr>
              <w:spacing w:after="0"/>
              <w:rPr>
                <w:sz w:val="17"/>
                <w:szCs w:val="17"/>
                <w:color w:val="auto"/>
              </w:rPr>
            </w:pPr>
          </w:p>
        </w:tc>
        <w:tc>
          <w:tcPr>
            <w:tcW w:w="3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FS-43</w:t>
            </w:r>
          </w:p>
        </w:tc>
        <w:tc>
          <w:tcPr>
            <w:tcW w:w="0" w:type="dxa"/>
            <w:vAlign w:val="bottom"/>
          </w:tcPr>
          <w:p>
            <w:pPr>
              <w:spacing w:after="0"/>
              <w:rPr>
                <w:sz w:val="1"/>
                <w:szCs w:val="1"/>
                <w:color w:val="auto"/>
              </w:rPr>
            </w:pPr>
          </w:p>
        </w:tc>
      </w:tr>
      <w:tr>
        <w:trPr>
          <w:trHeight w:val="286"/>
        </w:trPr>
        <w:tc>
          <w:tcPr>
            <w:tcW w:w="104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for ProKidney LP and Subsidiaries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0080" w:type="dxa"/>
            <w:vAlign w:val="bottom"/>
            <w:gridSpan w:val="32"/>
          </w:tcPr>
          <w:p>
            <w:pPr>
              <w:spacing w:after="0" w:line="194" w:lineRule="exact"/>
              <w:rPr>
                <w:sz w:val="20"/>
                <w:szCs w:val="20"/>
                <w:color w:val="auto"/>
              </w:rPr>
            </w:pPr>
            <w:r>
              <w:rPr>
                <w:rFonts w:ascii="Times New Roman" w:cs="Times New Roman" w:eastAsia="Times New Roman" w:hAnsi="Times New Roman"/>
                <w:sz w:val="18"/>
                <w:szCs w:val="18"/>
                <w:color w:val="0000EE"/>
              </w:rPr>
              <w:t>ProKidney LP and Subsidiaries Consolidated Balance Sheets at June 30, 2022 and December 31, 2021</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FS-55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ProKidney LP and Subsidiaries Consolidated Statements of Operations and Comprehensive Loss for the three and six months ended</w:t>
            </w:r>
          </w:p>
        </w:tc>
        <w:tc>
          <w:tcPr>
            <w:tcW w:w="56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2021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ProKidney LP and Subsidiaries Consolidated Statements of Changes in Members’ Equity for the three and six months ended June 30,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2022 and 2021 (Unaudited)</w:t>
            </w:r>
          </w:p>
        </w:tc>
        <w:tc>
          <w:tcPr>
            <w:tcW w:w="7460" w:type="dxa"/>
            <w:vAlign w:val="bottom"/>
            <w:tcBorders>
              <w:top w:val="single" w:sz="8" w:color="0000EE"/>
            </w:tcBorders>
            <w:gridSpan w:val="19"/>
          </w:tcPr>
          <w:p>
            <w:pPr>
              <w:spacing w:after="0"/>
              <w:rPr>
                <w:sz w:val="17"/>
                <w:szCs w:val="17"/>
                <w:color w:val="auto"/>
              </w:rPr>
            </w:pPr>
          </w:p>
        </w:tc>
        <w:tc>
          <w:tcPr>
            <w:tcW w:w="46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FS-57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ProKidney LP and Subsidiaries Consolidated Statement of Cash Flows for the six months ended June 30, 2022 and 2021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FS-59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6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8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FS-60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FS-1</w:t>
      </w:r>
    </w:p>
    <w:p>
      <w:pPr>
        <w:sectPr>
          <w:pgSz w:w="11900" w:h="16838" w:orient="portrait"/>
          <w:cols w:equalWidth="0" w:num="1">
            <w:col w:w="11060"/>
          </w:cols>
          <w:pgMar w:left="320" w:top="482"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Social Capital Suvretta Holdings Corp. III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Social Capital Suvretta Holdings Corp. III (the “Company”) as of December 31, 2021, the related statements of operations, changes in temporary equity and permanent deficit and cash flows for the period from February 25,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February 25, 2021 (inception) through December 31, 2021,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Paragraph—Going Concern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2021 are not sufficient to complete its planned activities. These conditions raise substantial doubt about the Company’s ability to continue as a going concern. Management’s plans with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23,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FS-2</w:t>
      </w:r>
    </w:p>
    <w:p>
      <w:pPr>
        <w:sectPr>
          <w:pgSz w:w="11900" w:h="16838" w:orient="portrait"/>
          <w:cols w:equalWidth="0" w:num="1">
            <w:col w:w="11120"/>
          </w:cols>
          <w:pgMar w:left="320" w:top="482"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SOCIAL CAPITAL SUVRETTA HOLDINGS CORP. III</w:t>
      </w:r>
    </w:p>
    <w:p>
      <w:pPr>
        <w:spacing w:after="0" w:line="31"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Non-current 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Marketable Securities held in Trust Account</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LIABILITIES, TEMPORARY EQUITY AND PERMANENT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Advances from related party</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underwriting fee payable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Temporary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25,000,000 shares at redemption value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Permanent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 shares issued and outstanding</w:t>
      </w:r>
    </w:p>
    <w:p>
      <w:pPr>
        <w:spacing w:after="0" w:line="9" w:lineRule="exact"/>
        <w:rPr>
          <w:sz w:val="20"/>
          <w:szCs w:val="20"/>
          <w:color w:val="auto"/>
        </w:rPr>
      </w:pPr>
    </w:p>
    <w:p>
      <w:pPr>
        <w:ind w:left="300" w:hanging="179"/>
        <w:spacing w:after="0" w:line="250" w:lineRule="auto"/>
        <w:rPr>
          <w:sz w:val="20"/>
          <w:szCs w:val="20"/>
          <w:color w:val="auto"/>
        </w:rPr>
      </w:pPr>
      <w:r>
        <w:rPr>
          <w:rFonts w:ascii="Times New Roman" w:cs="Times New Roman" w:eastAsia="Times New Roman" w:hAnsi="Times New Roman"/>
          <w:sz w:val="18"/>
          <w:szCs w:val="18"/>
          <w:color w:val="auto"/>
        </w:rPr>
        <w:t>Class A ordinary shares, $0.0001 par value; 500,000,000 shares authorized; 640,000 shares issued and outstanding (excluding 25,000,000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6,250,000 shares issued and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Permanent Deficit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PERMANENT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1"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160"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color w:val="auto"/>
        </w:rPr>
        <w:t>FS-3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hanging="517"/>
        <w:spacing w:after="0"/>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440,488</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944,677</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247,500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$ 251,200,501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029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00" w:hanging="697"/>
        <w:spacing w:after="0"/>
        <w:tabs>
          <w:tab w:leader="none" w:pos="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1,864,796</w:t>
      </w:r>
    </w:p>
    <w:p>
      <w:pPr>
        <w:spacing w:after="0" w:line="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1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1,879,796</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7,700,000</w:t>
      </w:r>
    </w:p>
    <w:p>
      <w:pPr>
        <w:spacing w:after="0" w:line="13"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9,579,796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-425450</wp:posOffset>
            </wp:positionV>
            <wp:extent cx="7029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7029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7029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250,008,324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29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64</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625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(8,388,308)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b w:val="1"/>
          <w:bCs w:val="1"/>
          <w:color w:val="auto"/>
        </w:rPr>
        <w:t>(8,387,619)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029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$ 251,200,501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029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9180" w:space="720"/>
            <w:col w:w="1180"/>
          </w:cols>
          <w:pgMar w:left="320" w:top="482" w:right="49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07"/>
        </w:trPr>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SOCIAL CAPITAL SUVRETTA HOLDINGS CORP. III</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 FROM FEBRUARY 25, 2021 (INCEPTION) THROUGH DECEMBER 31, 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2,332,953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(2,332,953)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(2,324,629)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A ordinary shares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15,101,877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ordinary shares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B ordinary shares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ordinary shares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FS-4</w:t>
      </w:r>
    </w:p>
    <w:p>
      <w:pPr>
        <w:sectPr>
          <w:pgSz w:w="11900" w:h="16838" w:orient="portrait"/>
          <w:cols w:equalWidth="0" w:num="1">
            <w:col w:w="11140"/>
          </w:cols>
          <w:pgMar w:left="320" w:top="473"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2060"/>
        <w:spacing w:after="0" w:line="268" w:lineRule="auto"/>
        <w:rPr>
          <w:sz w:val="20"/>
          <w:szCs w:val="20"/>
          <w:color w:val="auto"/>
        </w:rPr>
      </w:pPr>
      <w:r>
        <w:rPr>
          <w:rFonts w:ascii="Times New Roman" w:cs="Times New Roman" w:eastAsia="Times New Roman" w:hAnsi="Times New Roman"/>
          <w:sz w:val="18"/>
          <w:szCs w:val="18"/>
          <w:b w:val="1"/>
          <w:bCs w:val="1"/>
          <w:color w:val="auto"/>
        </w:rPr>
        <w:t>SOCIAL CAPITAL SUVRETTA HOLDINGS CORP. III STATEMENT OF CHANGES IN TEMPORARY EQUITY AND PERMANENT DEFICIT FOR THE PERIOD FROM FEBRUARY 25, 2021 (INCEPTION) THROUGH DECEMBER 31, 2021</w:t>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Balance—February 25, 2021 (inception) </w:t>
      </w:r>
      <w:r>
        <w:rPr>
          <w:rFonts w:ascii="Times New Roman" w:cs="Times New Roman" w:eastAsia="Times New Roman" w:hAnsi="Times New Roman"/>
          <w:sz w:val="15"/>
          <w:szCs w:val="15"/>
          <w:color w:val="auto"/>
        </w:rPr>
        <w:t>Issuance of Class B ordinary shares to Sponsor</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Sale of 25,000,000 Public Shares, net of underwriting</w:t>
      </w:r>
    </w:p>
    <w:p>
      <w:pPr>
        <w:spacing w:after="0" w:line="19" w:lineRule="exact"/>
        <w:rPr>
          <w:sz w:val="20"/>
          <w:szCs w:val="20"/>
          <w:color w:val="auto"/>
        </w:rPr>
      </w:pPr>
    </w:p>
    <w:p>
      <w:pPr>
        <w:ind w:left="120" w:right="480" w:firstLine="153"/>
        <w:spacing w:after="0" w:line="206" w:lineRule="auto"/>
        <w:rPr>
          <w:sz w:val="20"/>
          <w:szCs w:val="20"/>
          <w:color w:val="auto"/>
        </w:rPr>
      </w:pPr>
      <w:r>
        <w:rPr>
          <w:rFonts w:ascii="Times New Roman" w:cs="Times New Roman" w:eastAsia="Times New Roman" w:hAnsi="Times New Roman"/>
          <w:sz w:val="15"/>
          <w:szCs w:val="15"/>
          <w:color w:val="auto"/>
        </w:rPr>
        <w:t>discounts and offering expenses Remeasurement of Class A ordinary shares to</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redemption value</w:t>
      </w:r>
    </w:p>
    <w:p>
      <w:pPr>
        <w:spacing w:after="0" w:line="28" w:lineRule="exact"/>
        <w:rPr>
          <w:sz w:val="20"/>
          <w:szCs w:val="20"/>
          <w:color w:val="auto"/>
        </w:rPr>
      </w:pPr>
    </w:p>
    <w:p>
      <w:pPr>
        <w:ind w:left="120" w:right="720"/>
        <w:spacing w:after="0" w:line="242" w:lineRule="auto"/>
        <w:rPr>
          <w:sz w:val="20"/>
          <w:szCs w:val="20"/>
          <w:color w:val="auto"/>
        </w:rPr>
      </w:pPr>
      <w:r>
        <w:rPr>
          <w:rFonts w:ascii="Times New Roman" w:cs="Times New Roman" w:eastAsia="Times New Roman" w:hAnsi="Times New Roman"/>
          <w:sz w:val="15"/>
          <w:szCs w:val="15"/>
          <w:color w:val="auto"/>
        </w:rPr>
        <w:t>Sale of 640,000 Private Placement Shares Forfeiture of Founder Shares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Net loss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Balance—December 31, 2021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Class A Ordinary</w:t>
            </w:r>
          </w:p>
        </w:tc>
        <w:tc>
          <w:tcPr>
            <w:tcW w:w="14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Class B Ordinary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190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80" w:type="dxa"/>
            <w:vAlign w:val="bottom"/>
            <w:gridSpan w:val="2"/>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7"/>
              </w:rPr>
              <w:t>Permanent</w:t>
            </w:r>
          </w:p>
        </w:tc>
      </w:tr>
      <w:tr>
        <w:trPr>
          <w:trHeight w:val="129"/>
        </w:trPr>
        <w:tc>
          <w:tcPr>
            <w:tcW w:w="900" w:type="dxa"/>
            <w:vAlign w:val="bottom"/>
            <w:tcBorders>
              <w:top w:val="single" w:sz="8" w:color="auto"/>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84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940" w:type="dxa"/>
            <w:vAlign w:val="bottom"/>
            <w:gridSpan w:val="3"/>
          </w:tcPr>
          <w:p>
            <w:pPr>
              <w:jc w:val="right"/>
              <w:ind w:right="404"/>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780" w:type="dxa"/>
            <w:vAlign w:val="bottom"/>
            <w:gridSpan w:val="2"/>
          </w:tcPr>
          <w:p>
            <w:pPr>
              <w:jc w:val="center"/>
              <w:ind w:right="102"/>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79"/>
        </w:trPr>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6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r>
      <w:tr>
        <w:trPr>
          <w:trHeight w:val="198"/>
        </w:trPr>
        <w:tc>
          <w:tcPr>
            <w:tcW w:w="90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6,325,000</w:t>
            </w:r>
          </w:p>
        </w:tc>
        <w:tc>
          <w:tcPr>
            <w:tcW w:w="14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633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24,367</w:t>
            </w:r>
          </w:p>
        </w:tc>
        <w:tc>
          <w:tcPr>
            <w:tcW w:w="100" w:type="dxa"/>
            <w:vAlign w:val="bottom"/>
          </w:tcPr>
          <w:p>
            <w:pPr>
              <w:spacing w:after="0"/>
              <w:rPr>
                <w:sz w:val="17"/>
                <w:szCs w:val="17"/>
                <w:color w:val="auto"/>
              </w:rPr>
            </w:pPr>
          </w:p>
        </w:tc>
        <w:tc>
          <w:tcPr>
            <w:tcW w:w="940" w:type="dxa"/>
            <w:vAlign w:val="bottom"/>
            <w:gridSpan w:val="3"/>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25,000</w:t>
            </w:r>
          </w:p>
        </w:tc>
      </w:tr>
      <w:tr>
        <w:trPr>
          <w:trHeight w:val="324"/>
        </w:trPr>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25,000,000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8"/>
              </w:rPr>
              <w:t>237,520,334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940" w:type="dxa"/>
            <w:vAlign w:val="bottom"/>
            <w:gridSpan w:val="3"/>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r>
      <w:tr>
        <w:trPr>
          <w:trHeight w:val="310"/>
        </w:trPr>
        <w:tc>
          <w:tcPr>
            <w:tcW w:w="90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12,487,990</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9"/>
              </w:rPr>
              <w:t>(6,424,311)</w:t>
            </w:r>
          </w:p>
        </w:tc>
        <w:tc>
          <w:tcPr>
            <w:tcW w:w="100" w:type="dxa"/>
            <w:vAlign w:val="bottom"/>
          </w:tcPr>
          <w:p>
            <w:pPr>
              <w:spacing w:after="0"/>
              <w:rPr>
                <w:sz w:val="24"/>
                <w:szCs w:val="24"/>
                <w:color w:val="auto"/>
              </w:rPr>
            </w:pPr>
          </w:p>
        </w:tc>
        <w:tc>
          <w:tcPr>
            <w:tcW w:w="8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w w:val="99"/>
              </w:rPr>
              <w:t>(6,063,679)</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8"/>
              </w:rPr>
              <w:t>(12,487,990)</w:t>
            </w:r>
          </w:p>
        </w:tc>
      </w:tr>
      <w:tr>
        <w:trPr>
          <w:trHeight w:val="216"/>
        </w:trPr>
        <w:tc>
          <w:tcPr>
            <w:tcW w:w="90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640,000</w:t>
            </w:r>
          </w:p>
        </w:tc>
        <w:tc>
          <w:tcPr>
            <w:tcW w:w="16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64</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6,399,936</w:t>
            </w:r>
          </w:p>
        </w:tc>
        <w:tc>
          <w:tcPr>
            <w:tcW w:w="100" w:type="dxa"/>
            <w:vAlign w:val="bottom"/>
          </w:tcPr>
          <w:p>
            <w:pPr>
              <w:spacing w:after="0"/>
              <w:rPr>
                <w:sz w:val="18"/>
                <w:szCs w:val="18"/>
                <w:color w:val="auto"/>
              </w:rPr>
            </w:pPr>
          </w:p>
        </w:tc>
        <w:tc>
          <w:tcPr>
            <w:tcW w:w="940" w:type="dxa"/>
            <w:vAlign w:val="bottom"/>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6,400,000</w:t>
            </w:r>
          </w:p>
        </w:tc>
      </w:tr>
      <w:tr>
        <w:trPr>
          <w:trHeight w:val="216"/>
        </w:trPr>
        <w:tc>
          <w:tcPr>
            <w:tcW w:w="90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8"/>
                <w:szCs w:val="18"/>
                <w:color w:val="auto"/>
              </w:rPr>
            </w:pPr>
          </w:p>
        </w:tc>
        <w:tc>
          <w:tcPr>
            <w:tcW w:w="940" w:type="dxa"/>
            <w:vAlign w:val="bottom"/>
            <w:gridSpan w:val="3"/>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90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w w:val="99"/>
              </w:rPr>
              <w:t>(2,324,629)</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(2,324,629)</w:t>
            </w:r>
          </w:p>
        </w:tc>
      </w:tr>
      <w:tr>
        <w:trPr>
          <w:trHeight w:val="156"/>
        </w:trPr>
        <w:tc>
          <w:tcPr>
            <w:tcW w:w="740" w:type="dxa"/>
            <w:vAlign w:val="bottom"/>
            <w:tcBorders>
              <w:top w:val="single" w:sz="8" w:color="auto"/>
              <w:bottom w:val="single" w:sz="8" w:color="auto"/>
            </w:tcBorders>
          </w:tcPr>
          <w:p>
            <w:pPr>
              <w:ind w:left="40"/>
              <w:spacing w:after="0" w:line="156" w:lineRule="exact"/>
              <w:rPr>
                <w:sz w:val="20"/>
                <w:szCs w:val="20"/>
                <w:color w:val="auto"/>
              </w:rPr>
            </w:pPr>
            <w:r>
              <w:rPr>
                <w:rFonts w:ascii="Times New Roman" w:cs="Times New Roman" w:eastAsia="Times New Roman" w:hAnsi="Times New Roman"/>
                <w:sz w:val="15"/>
                <w:szCs w:val="15"/>
                <w:b w:val="1"/>
                <w:bCs w:val="1"/>
                <w:color w:val="auto"/>
              </w:rPr>
              <w:t>25,000,000</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7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8"/>
              </w:rPr>
              <w:t>250,008,324</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6" w:lineRule="exact"/>
              <w:rPr>
                <w:sz w:val="20"/>
                <w:szCs w:val="20"/>
                <w:color w:val="auto"/>
              </w:rPr>
            </w:pPr>
            <w:r>
              <w:rPr>
                <w:rFonts w:ascii="Times New Roman" w:cs="Times New Roman" w:eastAsia="Times New Roman" w:hAnsi="Times New Roman"/>
                <w:sz w:val="15"/>
                <w:szCs w:val="15"/>
                <w:b w:val="1"/>
                <w:bCs w:val="1"/>
                <w:color w:val="auto"/>
                <w:w w:val="98"/>
              </w:rPr>
              <w:t>640,000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top w:val="single" w:sz="8" w:color="auto"/>
              <w:bottom w:val="single" w:sz="8" w:color="auto"/>
            </w:tcBorders>
          </w:tcPr>
          <w:p>
            <w:pPr>
              <w:ind w:left="140"/>
              <w:spacing w:after="0" w:line="156" w:lineRule="exact"/>
              <w:rPr>
                <w:sz w:val="20"/>
                <w:szCs w:val="20"/>
                <w:color w:val="auto"/>
              </w:rPr>
            </w:pPr>
            <w:r>
              <w:rPr>
                <w:rFonts w:ascii="Times New Roman" w:cs="Times New Roman" w:eastAsia="Times New Roman" w:hAnsi="Times New Roman"/>
                <w:sz w:val="15"/>
                <w:szCs w:val="15"/>
                <w:b w:val="1"/>
                <w:bCs w:val="1"/>
                <w:color w:val="auto"/>
                <w:w w:val="93"/>
              </w:rPr>
              <w:t>64</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60"/>
              <w:spacing w:after="0" w:line="156" w:lineRule="exact"/>
              <w:rPr>
                <w:sz w:val="20"/>
                <w:szCs w:val="20"/>
                <w:color w:val="auto"/>
              </w:rPr>
            </w:pPr>
            <w:r>
              <w:rPr>
                <w:rFonts w:ascii="Times New Roman" w:cs="Times New Roman" w:eastAsia="Times New Roman" w:hAnsi="Times New Roman"/>
                <w:sz w:val="15"/>
                <w:szCs w:val="15"/>
                <w:b w:val="1"/>
                <w:bCs w:val="1"/>
                <w:color w:val="auto"/>
                <w:w w:val="96"/>
              </w:rPr>
              <w:t>6,250,000</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top w:val="single" w:sz="8" w:color="auto"/>
              <w:bottom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w w:val="88"/>
              </w:rPr>
              <w:t>625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tcBorders>
              <w:top w:val="single" w:sz="8" w:color="auto"/>
              <w:bottom w:val="single" w:sz="8" w:color="auto"/>
            </w:tcBorders>
          </w:tcPr>
          <w:p>
            <w:pPr>
              <w:jc w:val="right"/>
              <w:ind w:right="7"/>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u w:val="single" w:color="auto"/>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8"/>
              </w:rPr>
              <w:t>(8,388,308</w:t>
            </w:r>
          </w:p>
        </w:tc>
        <w:tc>
          <w:tcPr>
            <w:tcW w:w="20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(8,387,619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-1190625</wp:posOffset>
            </wp:positionV>
            <wp:extent cx="699516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-950595</wp:posOffset>
            </wp:positionV>
            <wp:extent cx="6995160" cy="2057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-548005</wp:posOffset>
            </wp:positionV>
            <wp:extent cx="69951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-273685</wp:posOffset>
            </wp:positionV>
            <wp:extent cx="6995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220"/>
            <w:col w:w="7460"/>
          </w:cols>
          <w:pgMar w:left="320" w:top="482"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financial statements.</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FS-5</w:t>
      </w:r>
    </w:p>
    <w:p>
      <w:pPr>
        <w:sectPr>
          <w:pgSz w:w="11900" w:h="16838" w:orient="portrait"/>
          <w:cols w:equalWidth="0" w:num="1">
            <w:col w:w="11080"/>
          </w:cols>
          <w:pgMar w:left="320" w:top="482" w:right="499" w:bottom="1440" w:gutter="0" w:footer="0" w:header="0"/>
          <w:type w:val="continuous"/>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SOCIAL CAPITAL SUVRETTA HOLDINGS CORP. III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 FROM FEBRUARY 25, 2021 (INCEPTION) THROUGH DECEMBER 31,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(2,324,629)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Formation costs paid by Sponsor in exchange for issuance of Founder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(751,689)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 of cash into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(250,000,000</w:t>
            </w:r>
          </w:p>
        </w:tc>
        <w:tc>
          <w:tcPr>
            <w:tcW w:w="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Public Shares, net of underwriting discounts paid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sale of Private Placement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(87,319)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promissory note—related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of promissory note—related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(359,666)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251,650,334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Cash—Beginning of period (inception)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Cash—End of period</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in exchange for issuance of Founder Shares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 subject to possible redemption</w:t>
            </w: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978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12,487,990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FS-6</w:t>
      </w:r>
    </w:p>
    <w:p>
      <w:pPr>
        <w:sectPr>
          <w:pgSz w:w="11900" w:h="16838" w:orient="portrait"/>
          <w:cols w:equalWidth="0" w:num="1">
            <w:col w:w="11140"/>
          </w:cols>
          <w:pgMar w:left="320" w:top="473"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Social Capital Suvretta Holdings Corp. III (the “Company”) is a blank check company incorporated as a Cayman Islands exempted company on February 25, 2021. The Company was incorporated for the purpose of effecting a merger, share exchange, asset acquisition, share purchase, reorganization or similar business combination with one or more businesses (a “Business Combination”).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period from February 25, 2021 (inception) through December 31, 2021 relates to the Company’s formation, the initial public offering (the “Initial Public Offering”), described below, and, subsequent to the Initial Public Offering, identifying a target company for a Business Combination and activities in connection with the proposed acquisition of ProKidney LP (see Note 9). The Company will not generate any operating revenues until after the completion of a Business Combination, at the earliest. The Company generates non-operating income in the form of interest income from the marketable securities held in the Trust Account (as defined below).</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statements for the Company’s Initial Public Offering became effective on June 29, 2021 and June 30, 2021. On July 2, 2021, the Company consummated the Initial Public Offering of 25,000,000 Class A ordinary shares (the “Public Shares”), which includes the partial exercise by the underwriters of their over-allotment option in the amount of 3,000,000 Public Shares, at $10.00 per Public Share, generating gross proceeds of $250,000,000, which is described in Note 3. The fair value attributable to the unexercised portion of the over-allotment option was deemed to be immaterial to the financial statements.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consummated the sale of 640,000 Class A ordinary shares (the “Private Placement Shares”) at a price of $10.00 per Private Placement Share in a private placement to SCS Sponsor III LLC, a Cayman Islands limited liability company (the “Sponsor”), generating gross proceeds of $6,400,000, which is described in Note 4.</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Transaction costs amounted to $12,479,666, consisting of $4,400,000 of underwriting fees, $7,700,000 of deferred underwriting fees and $379,666 of other offering costs.</w:t>
      </w:r>
    </w:p>
    <w:p>
      <w:pPr>
        <w:spacing w:after="0" w:line="162"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on July 2, 2021, an amount of $250,000,000 ($10.00 per Public Share) from the net proceeds of the sale of the Public Shares in the Initial Public Offering and the sale of the Private Placement Shares was placed in a trust account (the “Trust Account”), and invested in U.S. government treasury bills with a maturity of 185 days or less or in money market funds investing solely in U.S. Treasuries and meeting certain conditions of Rule 2a-7 of the Investment Company Act of 1940, as amended (the “Investment Company Act”). Except with respect to interest earned on the funds held in the Trust Account that may be released to the Company to pay its taxes, if any, the funds held in the Trust Account will not be released from the Trust Account until the earliest of: (a) the completion of a Business Combination, and then only in connection with those Public Shares that such shareholder properly elected to redeem, subject to certain limitations; (b) the redemption of any Public Shares properly submitted in connection with a shareholder vote to amend the Company’s Amended and Restated Memorandum and Articles of Association (i) to modify the substance or timing of the Company’s obligation to allow redemption in connection with the Business Combination or to redeem 100% of the Public Shares if the Company does not complete a Business Combination within the Combination Period (as defined below) or</w:t>
      </w:r>
    </w:p>
    <w:p>
      <w:pPr>
        <w:spacing w:after="0" w:line="5" w:lineRule="exact"/>
        <w:rPr>
          <w:sz w:val="20"/>
          <w:szCs w:val="20"/>
          <w:color w:val="auto"/>
        </w:rPr>
      </w:pPr>
    </w:p>
    <w:p>
      <w:pPr>
        <w:ind w:left="120" w:hanging="4"/>
        <w:spacing w:after="0" w:line="253" w:lineRule="auto"/>
        <w:tabs>
          <w:tab w:leader="none" w:pos="3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provisions relating to shareholders’ rights or pre-Business Combination activity; and (c) the redemption of the Public Shares if the Company has not completed a Business Combination within the Combination Period or during any applicable extension period. The proceeds deposited in the Trust Account could become subject to the claims of the Company’s creditors, if any, which could have priority over the claims of the holders of the Public Shares (the “Public Shareholders”).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Shares, although substantially all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FS-7</w:t>
      </w:r>
    </w:p>
    <w:p>
      <w:pPr>
        <w:sectPr>
          <w:pgSz w:w="11900" w:h="16838" w:orient="portrait"/>
          <w:cols w:equalWidth="0" w:num="1">
            <w:col w:w="11100"/>
          </w:cols>
          <w:pgMar w:left="320" w:top="482"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220"/>
        <w:spacing w:after="0" w:line="255" w:lineRule="auto"/>
        <w:rPr>
          <w:sz w:val="20"/>
          <w:szCs w:val="20"/>
          <w:color w:val="auto"/>
        </w:rPr>
      </w:pPr>
      <w:r>
        <w:rPr>
          <w:rFonts w:ascii="Times New Roman" w:cs="Times New Roman" w:eastAsia="Times New Roman" w:hAnsi="Times New Roman"/>
          <w:sz w:val="18"/>
          <w:szCs w:val="18"/>
          <w:color w:val="auto"/>
        </w:rPr>
        <w:t>the net proceeds are intended to be applied generally toward consummating a Business Combination. The Company must complete one or more Business Combinations having an aggregate fair market value of at least 80% of the value of the assets held in the Trust Account (excluding any deferred underwriting commissions and taxes payable on the income earned on the Trust Account) at the time of the Company signing a definitive agreement in connection with the Business Combination. However,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complete a Business Combination successfully.</w:t>
      </w:r>
    </w:p>
    <w:p>
      <w:pPr>
        <w:spacing w:after="0" w:line="189" w:lineRule="exact"/>
        <w:rPr>
          <w:sz w:val="20"/>
          <w:szCs w:val="20"/>
          <w:color w:val="auto"/>
        </w:rPr>
      </w:pPr>
    </w:p>
    <w:p>
      <w:pPr>
        <w:ind w:left="180" w:firstLine="440"/>
        <w:spacing w:after="0" w:line="255" w:lineRule="auto"/>
        <w:rPr>
          <w:sz w:val="20"/>
          <w:szCs w:val="20"/>
          <w:color w:val="auto"/>
        </w:rPr>
      </w:pPr>
      <w:r>
        <w:rPr>
          <w:rFonts w:ascii="Times New Roman" w:cs="Times New Roman" w:eastAsia="Times New Roman" w:hAnsi="Times New Roman"/>
          <w:sz w:val="18"/>
          <w:szCs w:val="18"/>
          <w:color w:val="auto"/>
        </w:rPr>
        <w:t>The Company will provide the Public Shareholders with the opportunity to redeem all or a portion of their Public Shares upon the completion of the Business Combination, either (a) in connection with a general meeting called to approve the Business Combination or (b) by means of a tender offer. The decision as to whether the Company will seek shareholder approval of a Business Combination or conduct a tender offer will be made by the Company. The Public Shareholders will be entitled to redeem all or a portion of their Public Shares at a per-share price, payable in cash, equal to the aggregate amount then on deposit in the Trust Account, calculated as of two business days prior to the consummation of the Business Combination, including interest (which interest shall be net of taxes payable), divided by the number of then issued and outstanding Public Shares, subject to the limitations described below.</w:t>
      </w:r>
    </w:p>
    <w:p>
      <w:pPr>
        <w:spacing w:after="0" w:line="189" w:lineRule="exact"/>
        <w:rPr>
          <w:sz w:val="20"/>
          <w:szCs w:val="20"/>
          <w:color w:val="auto"/>
        </w:rPr>
      </w:pPr>
    </w:p>
    <w:p>
      <w:pPr>
        <w:ind w:left="180" w:right="6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Company’s Amended and Restated Memorandum and Articles of Association, in no event will the Company redeem the Public Shares in an amount that would cause the Company’s net tangible assets to be less than $5,000,001 following such redemptions. Redemptions of the Public Shares may also be subject to a higher net tangible asset test or cash requirement pursuant to an agreement relating to the Business Combination.</w:t>
      </w:r>
    </w:p>
    <w:p>
      <w:pPr>
        <w:spacing w:after="0" w:line="180" w:lineRule="exact"/>
        <w:rPr>
          <w:sz w:val="20"/>
          <w:szCs w:val="20"/>
          <w:color w:val="auto"/>
        </w:rPr>
      </w:pPr>
    </w:p>
    <w:p>
      <w:pPr>
        <w:ind w:left="180" w:right="40" w:firstLine="440"/>
        <w:spacing w:after="0" w:line="253" w:lineRule="auto"/>
        <w:rPr>
          <w:sz w:val="20"/>
          <w:szCs w:val="20"/>
          <w:color w:val="auto"/>
        </w:rPr>
      </w:pPr>
      <w:r>
        <w:rPr>
          <w:rFonts w:ascii="Times New Roman" w:cs="Times New Roman" w:eastAsia="Times New Roman" w:hAnsi="Times New Roman"/>
          <w:sz w:val="18"/>
          <w:szCs w:val="18"/>
          <w:color w:val="auto"/>
        </w:rPr>
        <w:t>If a shareholder vote is not required in connection with a Business Combination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(the “SEC”), and file tender offer documents with the SEC prior to completing a Business Combination. If, however, shareholder approval of the transaction is required by applicable law or stock exchange listing requirement, or the Company decides to obtain shareholder approval for business or other reasons, the Company will conduct the redemptions in conjunction with a proxy solicitation pursuant to the proxy rules and not pursuant to the tender offer rules and will file proxy materials with the SEC. If the Company seeks shareholder approval in connection with a Business Combination, the Company will complete such Business Combination only if the Company receives an ordinary resolution under Cayman Islands law, which requires the affirmative vote of holders of a majority of ordinary shares who attend and vote at a general meeting of the Company. The Public Shareholders may elect to redeem their Public Shares without voting and, if they do vote, irrespective of whether they vote for or against a Business Combination.</w:t>
      </w:r>
    </w:p>
    <w:p>
      <w:pPr>
        <w:spacing w:after="0" w:line="194" w:lineRule="exact"/>
        <w:rPr>
          <w:sz w:val="20"/>
          <w:szCs w:val="20"/>
          <w:color w:val="auto"/>
        </w:rPr>
      </w:pPr>
    </w:p>
    <w:p>
      <w:pPr>
        <w:ind w:left="18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redemption rights, if the Company seeks shareholder approval of the Business Combination and the Company does not conduct redemptions pursuant to the tender offer rules,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Public Shares with respect to more than an aggregate of 15% of the Public Shares without the Company’s prior written consent.</w:t>
      </w:r>
    </w:p>
    <w:p>
      <w:pPr>
        <w:spacing w:after="0" w:line="183" w:lineRule="exact"/>
        <w:rPr>
          <w:sz w:val="20"/>
          <w:szCs w:val="20"/>
          <w:color w:val="auto"/>
        </w:rPr>
      </w:pPr>
    </w:p>
    <w:p>
      <w:pPr>
        <w:ind w:left="180" w:right="140" w:firstLine="440"/>
        <w:spacing w:after="0" w:line="289" w:lineRule="auto"/>
        <w:rPr>
          <w:sz w:val="20"/>
          <w:szCs w:val="20"/>
          <w:color w:val="auto"/>
        </w:rPr>
      </w:pPr>
      <w:r>
        <w:rPr>
          <w:rFonts w:ascii="Times New Roman" w:cs="Times New Roman" w:eastAsia="Times New Roman" w:hAnsi="Times New Roman"/>
          <w:sz w:val="17"/>
          <w:szCs w:val="17"/>
          <w:color w:val="auto"/>
        </w:rPr>
        <w:t>The Sponsor and the Company’s directors and officers have agreed to waive: (a) their redemption rights with respect to any Founder Shares, Private Placement Shares and Public Shares held by them, as applicable, in connection with the completion of a Business Combination; (b) their redemption rights with respect to any Founder Shares, Private Placement Shares and Public Shares held by them in connection with a shareholder vote</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FS-8</w:t>
      </w:r>
    </w:p>
    <w:p>
      <w:pPr>
        <w:sectPr>
          <w:pgSz w:w="11900" w:h="16838" w:orient="portrait"/>
          <w:cols w:equalWidth="0" w:num="1">
            <w:col w:w="11160"/>
          </w:cols>
          <w:pgMar w:left="260" w:top="482"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40"/>
        <w:spacing w:after="0" w:line="254" w:lineRule="auto"/>
        <w:rPr>
          <w:sz w:val="20"/>
          <w:szCs w:val="20"/>
          <w:color w:val="auto"/>
        </w:rPr>
      </w:pPr>
      <w:r>
        <w:rPr>
          <w:rFonts w:ascii="Times New Roman" w:cs="Times New Roman" w:eastAsia="Times New Roman" w:hAnsi="Times New Roman"/>
          <w:sz w:val="18"/>
          <w:szCs w:val="18"/>
          <w:color w:val="auto"/>
        </w:rPr>
        <w:t>to amend the Company’s Amended and Restated Memorandum and Articles of Association (i) to modify the substance or timing of the Company’s obligation to allow redemption in connection with the Business Combination or to redeem 100% of the Public Shares if the Company does not complete a Business Combination within the Combination Period, or (ii) with respect to any other material provisions relating to shareholders’ rights or pre-Business Combination activity; and (c) their rights to liquidating distributions from the Trust Account with respect to any Founder Shares and Private Placement Shares they hold if the Company fails to complete a Business Combination within the Combination Period or during any applicable extension period (although such persons will be entitled to liquidating distributions from the Trust Account with respect to any Public Shares they hold if the Company fails to complete a Business Combination within the prescribed time frame). If the Company submits the Business Combination to the Public Shareholders for a vote, the Sponsor and the Company’s directors and officers have also agreed to vote any Founder Shares, Private Placement Shares and Public Shares held by them in favor of the Business Combination.</w:t>
      </w:r>
    </w:p>
    <w:p>
      <w:pPr>
        <w:spacing w:after="0" w:line="188" w:lineRule="exact"/>
        <w:rPr>
          <w:sz w:val="20"/>
          <w:szCs w:val="20"/>
          <w:color w:val="auto"/>
        </w:rPr>
      </w:pPr>
    </w:p>
    <w:p>
      <w:pPr>
        <w:ind w:left="180" w:right="40" w:firstLine="440"/>
        <w:spacing w:after="0" w:line="272" w:lineRule="auto"/>
        <w:rPr>
          <w:sz w:val="20"/>
          <w:szCs w:val="20"/>
          <w:color w:val="auto"/>
        </w:rPr>
      </w:pPr>
      <w:r>
        <w:rPr>
          <w:rFonts w:ascii="Times New Roman" w:cs="Times New Roman" w:eastAsia="Times New Roman" w:hAnsi="Times New Roman"/>
          <w:sz w:val="17"/>
          <w:szCs w:val="17"/>
          <w:color w:val="auto"/>
        </w:rPr>
        <w:t>The Company will have until July 2, 2023 to complete a Business Combination (the “Combination Period”), or such longer period as a result of a shareholder vote to amend such time period pursuant to the Company’s Amended and Restated Memorandum and Articles of Association. However, if the Company has not completed a Business Combination within such Combination Period or during any applicable extension period, the Company will:</w:t>
      </w:r>
    </w:p>
    <w:p>
      <w:pPr>
        <w:spacing w:after="0" w:line="2" w:lineRule="exact"/>
        <w:rPr>
          <w:sz w:val="20"/>
          <w:szCs w:val="20"/>
          <w:color w:val="auto"/>
        </w:rPr>
      </w:pPr>
    </w:p>
    <w:p>
      <w:pPr>
        <w:ind w:left="180" w:hanging="4"/>
        <w:spacing w:after="0" w:line="252" w:lineRule="auto"/>
        <w:tabs>
          <w:tab w:leader="none" w:pos="42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(b)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the Public Shareholders’ rights as shareholders (including the right to receive further liquidating distributions, if any); and (c) as promptly as reasonably possible following such redemption, subject to the approval of the Company’s remaining shareholders and its board of directors, liquidate and dissolve, subject in each case to the Company’s obligations under Cayman Islands law to provide for claims of creditors and the requirements of other applicable law.</w:t>
      </w:r>
    </w:p>
    <w:p>
      <w:pPr>
        <w:spacing w:after="0" w:line="188" w:lineRule="exact"/>
        <w:rPr>
          <w:sz w:val="20"/>
          <w:szCs w:val="20"/>
          <w:color w:val="auto"/>
        </w:rPr>
      </w:pPr>
    </w:p>
    <w:p>
      <w:pPr>
        <w:ind w:left="180" w:right="20" w:firstLine="440"/>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that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has not independently verified whether the Sponsor has sufficient funds to satisfy its indemnity obligations and believes that the Sponsor’s only assets are securities of the Company and, therefore, the Sponsor may not be able to satisfy those obligations. The Company has not asked the Sponsor to reserve for such obligations. None of the Company’s directors or officers will indemnify the Company for claims by third parties, including, without limitation, claims by vendors and prospective target businesses.</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80" w:right="24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pandemic could have a negative effect on the Company’s business, financial position, results of operations and/or the search for a target company, the specific impact is not readily determinable as of the date of these financial statements. The financial statements do not include any adjustments that might result from the outcome of this uncertainty.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FS-9</w:t>
      </w:r>
    </w:p>
    <w:p>
      <w:pPr>
        <w:sectPr>
          <w:pgSz w:w="11900" w:h="16838" w:orient="portrait"/>
          <w:cols w:equalWidth="0" w:num="1">
            <w:col w:w="11180"/>
          </w:cols>
          <w:pgMar w:left="260" w:top="482"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the Company had $440,488 in its operating bank accounts and working capital deficit of $935,119.</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76"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for a reasonable period of time, which is considered to be one year from the issuance date of the financial statements. These financial statements do not include any adjustments relating to the recovery of the recorded assets or the classification of the liabilities that might be necessary should the Company be unable to continue as a going concern.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FS-10</w:t>
      </w:r>
    </w:p>
    <w:p>
      <w:pPr>
        <w:sectPr>
          <w:pgSz w:w="11900" w:h="16838" w:orient="portrait"/>
          <w:cols w:equalWidth="0" w:num="1">
            <w:col w:w="11120"/>
          </w:cols>
          <w:pgMar w:left="320" w:top="482"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80" w:right="36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ind w:left="180" w:right="20" w:firstLine="440"/>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Significant accounting estimates include the determination of the fair value of Class A ordinary shares subject to possible redemption and the fair value of Founder Shares transferred to directors. Accordingly, the actual results could differ significantly from those estimates.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8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121" w:lineRule="exact"/>
        <w:rPr>
          <w:sz w:val="20"/>
          <w:szCs w:val="20"/>
          <w:color w:val="auto"/>
        </w:rPr>
      </w:pPr>
    </w:p>
    <w:p>
      <w:pPr>
        <w:ind w:left="180" w:right="14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2021, substantially all of the assets held in the Trust Account were held in money market funds which are invested primarily in U.S. Treasury securities.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21" w:lineRule="exact"/>
        <w:rPr>
          <w:sz w:val="20"/>
          <w:szCs w:val="20"/>
          <w:color w:val="auto"/>
        </w:rPr>
      </w:pPr>
    </w:p>
    <w:p>
      <w:pPr>
        <w:ind w:left="18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Financial Accounting Standards Board (“FASB”) ASC 480, “Distinguishing Liabilities from Equity.” Class A ordinary shares subject to mandatory redemption are classified as a liability instrument and are measured at redemption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permanent deficit section of the Company’s balance sheet.</w:t>
      </w:r>
    </w:p>
    <w:p>
      <w:pPr>
        <w:spacing w:after="0" w:line="192" w:lineRule="exact"/>
        <w:rPr>
          <w:sz w:val="20"/>
          <w:szCs w:val="20"/>
          <w:color w:val="auto"/>
        </w:rPr>
      </w:pPr>
    </w:p>
    <w:p>
      <w:pPr>
        <w:ind w:left="18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value of redeemable ordinary shares are affected by charges against additional paid-in capital (to the extent available) and accumulated deficit.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 December 31, 2021, the Class A ordinary shares subject to possible redemption reflected in the balance sheet are reconciled in the following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table:</w:t>
      </w:r>
    </w:p>
    <w:p>
      <w:pPr>
        <w:spacing w:after="0" w:line="252"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(12,479,666)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of carrying value to redemption value</w:t>
            </w: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12,487,990</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10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250,008,324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520"/>
              <w:spacing w:after="0"/>
              <w:rPr>
                <w:sz w:val="20"/>
                <w:szCs w:val="20"/>
                <w:color w:val="auto"/>
              </w:rPr>
            </w:pPr>
            <w:r>
              <w:rPr>
                <w:rFonts w:ascii="Times New Roman" w:cs="Times New Roman" w:eastAsia="Times New Roman" w:hAnsi="Times New Roman"/>
                <w:sz w:val="18"/>
                <w:szCs w:val="18"/>
                <w:color w:val="auto"/>
              </w:rPr>
              <w:t>FS-11</w:t>
            </w: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60" w:top="482"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ind w:left="18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Offering costs consisted of legal, accounting, underwriting fees and other costs incurred through the Initial Public Offering that were directly related to the Initial Public Offering. The Company incurred offering costs amounting to $12,479,666 as a result of the Initial Public Offering, consisting of $4,400,000 of underwriting commissions, $7,700,000 of deferred underwriting commissions, and $379,666 of other offering costs. The offering costs were charged to temporary equity and additional paid-in capital upon the completion of the Initial Public Offering. Immediately thereafter, temporary equity was remeasured and an adjustment was recognized through additional paid in capital and accumulated deficit to adjust temporary equity to the redemption value.</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Arrangements</w:t>
      </w:r>
    </w:p>
    <w:p>
      <w:pPr>
        <w:spacing w:after="0" w:line="121" w:lineRule="exact"/>
        <w:rPr>
          <w:sz w:val="20"/>
          <w:szCs w:val="20"/>
          <w:color w:val="auto"/>
        </w:rPr>
      </w:pPr>
    </w:p>
    <w:p>
      <w:pPr>
        <w:ind w:left="18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accounts for stock awards in accordance with ASC 718, “Compensation—Stock Compensation,” which requires that all equity awards be accounted for at their “fair value.” Fair value is measured on the grant date and is equal to the underlying value of the stock.</w:t>
      </w:r>
    </w:p>
    <w:p>
      <w:pPr>
        <w:spacing w:after="0" w:line="162" w:lineRule="exact"/>
        <w:rPr>
          <w:sz w:val="20"/>
          <w:szCs w:val="20"/>
          <w:color w:val="auto"/>
        </w:rPr>
      </w:pPr>
    </w:p>
    <w:p>
      <w:pPr>
        <w:ind w:left="180" w:right="40" w:firstLine="440"/>
        <w:spacing w:after="0" w:line="258" w:lineRule="auto"/>
        <w:rPr>
          <w:sz w:val="20"/>
          <w:szCs w:val="20"/>
          <w:color w:val="auto"/>
        </w:rPr>
      </w:pPr>
      <w:r>
        <w:rPr>
          <w:rFonts w:ascii="Times New Roman" w:cs="Times New Roman" w:eastAsia="Times New Roman" w:hAnsi="Times New Roman"/>
          <w:sz w:val="18"/>
          <w:szCs w:val="18"/>
          <w:color w:val="auto"/>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8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80" w:firstLine="440"/>
        <w:spacing w:after="0" w:line="255"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Company’s management has determined that the Cayman Islands is the Company’s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ind w:left="180" w:right="640" w:firstLine="440"/>
        <w:spacing w:after="0" w:line="282"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and is presently not subject to income taxes or income tax filing requirements in the Cayman Islands or the United States. As such, the Company’s tax provision was zero for the period presented.</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121" w:lineRule="exact"/>
        <w:rPr>
          <w:sz w:val="20"/>
          <w:szCs w:val="20"/>
          <w:color w:val="auto"/>
        </w:rPr>
      </w:pPr>
    </w:p>
    <w:p>
      <w:pPr>
        <w:ind w:left="180" w:right="280" w:firstLine="440"/>
        <w:spacing w:after="0" w:line="282"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weighted-average number of ordinary shares outstanding during the period. The Company has two classes of shares, which are referred to as Class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FS-12</w:t>
      </w:r>
    </w:p>
    <w:p>
      <w:pPr>
        <w:sectPr>
          <w:pgSz w:w="11900" w:h="16838" w:orient="portrait"/>
          <w:cols w:equalWidth="0" w:num="1">
            <w:col w:w="11180"/>
          </w:cols>
          <w:pgMar w:left="260" w:top="482"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460"/>
        <w:spacing w:after="0" w:line="282" w:lineRule="auto"/>
        <w:rPr>
          <w:sz w:val="20"/>
          <w:szCs w:val="20"/>
          <w:color w:val="auto"/>
        </w:rPr>
      </w:pPr>
      <w:r>
        <w:rPr>
          <w:rFonts w:ascii="Times New Roman" w:cs="Times New Roman" w:eastAsia="Times New Roman" w:hAnsi="Times New Roman"/>
          <w:sz w:val="18"/>
          <w:szCs w:val="18"/>
          <w:color w:val="auto"/>
        </w:rPr>
        <w:t>ordinary shares and Class B ordinary shares. Losses are shared pro rata between the two classes of shares. Charges associated with the redeemable Class A ordinary shares are excluded from net loss per ordinary share as the redemption value approximates fair value.</w:t>
      </w:r>
    </w:p>
    <w:p>
      <w:pPr>
        <w:spacing w:after="0" w:line="162" w:lineRule="exact"/>
        <w:rPr>
          <w:sz w:val="20"/>
          <w:szCs w:val="20"/>
          <w:color w:val="auto"/>
        </w:rPr>
      </w:pPr>
    </w:p>
    <w:p>
      <w:pPr>
        <w:ind w:left="180" w:right="2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ordinary share (in dollars, except per share amounts):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Period from</w:t>
            </w:r>
          </w:p>
        </w:tc>
      </w:tr>
      <w:tr>
        <w:trPr>
          <w:trHeight w:val="148"/>
        </w:trPr>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25, 2021 (Inception)</w:t>
            </w:r>
          </w:p>
        </w:tc>
      </w:tr>
      <w:tr>
        <w:trPr>
          <w:trHeight w:val="173"/>
        </w:trPr>
        <w:tc>
          <w:tcPr>
            <w:tcW w:w="5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Through December 31, 2021</w:t>
            </w:r>
          </w:p>
        </w:tc>
      </w:tr>
      <w:tr>
        <w:trPr>
          <w:trHeight w:val="142"/>
        </w:trPr>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2"/>
                <w:szCs w:val="12"/>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(1,675,346)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(649,283)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15,101,877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5,852,751</w:t>
            </w:r>
          </w:p>
        </w:tc>
        <w:tc>
          <w:tcPr>
            <w:tcW w:w="60" w:type="dxa"/>
            <w:vAlign w:val="bottom"/>
            <w:shd w:val="clear" w:color="auto" w:fill="CCEEFF"/>
          </w:tcPr>
          <w:p>
            <w:pPr>
              <w:spacing w:after="0"/>
              <w:rPr>
                <w:sz w:val="18"/>
                <w:szCs w:val="18"/>
                <w:color w:val="auto"/>
              </w:rPr>
            </w:pP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bl>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8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80" w:right="2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80" w:right="20" w:firstLine="4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effective as of January 1, 2021. The adoption of ASU 2020-06 did not have an impact on our financial statements.</w:t>
      </w:r>
    </w:p>
    <w:p>
      <w:pPr>
        <w:spacing w:after="0" w:line="189" w:lineRule="exact"/>
        <w:rPr>
          <w:sz w:val="20"/>
          <w:szCs w:val="20"/>
          <w:color w:val="auto"/>
        </w:rPr>
      </w:pPr>
    </w:p>
    <w:p>
      <w:pPr>
        <w:ind w:left="180" w:right="34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FS-13</w:t>
      </w:r>
    </w:p>
    <w:p>
      <w:pPr>
        <w:sectPr>
          <w:pgSz w:w="11900" w:h="16838" w:orient="portrait"/>
          <w:cols w:equalWidth="0" w:num="1">
            <w:col w:w="11180"/>
          </w:cols>
          <w:pgMar w:left="260" w:top="482"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w:t>
      </w:r>
    </w:p>
    <w:p>
      <w:pPr>
        <w:spacing w:after="0" w:line="121" w:lineRule="exact"/>
        <w:rPr>
          <w:sz w:val="20"/>
          <w:szCs w:val="20"/>
          <w:color w:val="auto"/>
        </w:rPr>
      </w:pPr>
    </w:p>
    <w:p>
      <w:pPr>
        <w:ind w:left="180" w:right="60" w:firstLine="440"/>
        <w:spacing w:after="0" w:line="282" w:lineRule="auto"/>
        <w:rPr>
          <w:sz w:val="20"/>
          <w:szCs w:val="20"/>
          <w:color w:val="auto"/>
        </w:rPr>
      </w:pPr>
      <w:r>
        <w:rPr>
          <w:rFonts w:ascii="Times New Roman" w:cs="Times New Roman" w:eastAsia="Times New Roman" w:hAnsi="Times New Roman"/>
          <w:sz w:val="18"/>
          <w:szCs w:val="18"/>
          <w:color w:val="auto"/>
        </w:rPr>
        <w:t>Accrued expenses includes $1,506,528 of accrued legal expense, $5,000 of accrued printing expense, $282,500 of accrued due diligence expense, $70,000 of accrued regulatory filing fee and $770 of accrued accounting expense.</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80" w:right="80" w:firstLine="440"/>
        <w:spacing w:after="0" w:line="258" w:lineRule="auto"/>
        <w:rPr>
          <w:sz w:val="20"/>
          <w:szCs w:val="20"/>
          <w:color w:val="auto"/>
        </w:rPr>
      </w:pPr>
      <w:r>
        <w:rPr>
          <w:rFonts w:ascii="Times New Roman" w:cs="Times New Roman" w:eastAsia="Times New Roman" w:hAnsi="Times New Roman"/>
          <w:sz w:val="18"/>
          <w:szCs w:val="18"/>
          <w:color w:val="auto"/>
        </w:rPr>
        <w:t>Pursuant to the Initial Public Offering, the Company sold 25,000,000 Public Shares, which includes a partial exercise by the underwriters of their over-allotment option in the amount of 3,000,000 Public Shares, at a price of $10.00 per Public Share. Unlike some other initial public offerings of special purpose acquisition companies, investors in the Initial Public Offering did not receive any warrants (which would typically become exercisable following completion of the Business Combination). The fair value attributable to the unexercised portion of the over-allotment option was deemed to be immaterial to the financial statements.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80" w:right="20" w:firstLine="440"/>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Sponsor purchased 640,000 Private Placement Shares at a price of $10.00 per Private Placement Share, for an aggregate purchase price of $6,400,000. Each Private Placement Share is identical to the Class A ordinary shares sold in the Initial Public Offering, subject to certain limited exceptions as described in Note 7. A portion of the proceeds from the sale of the Private Placement Shares was added to the net proceeds from the Initial Public Offering held in the Trust Account. If the Company does not complete a Business Combination within the Combination Period or during any applicable extension period, the proceeds from the sale of the Private Placement Shares held in the Trust Account will be used to fund the redemption of the Public Shares (subject to the requirements of applicable law) and the Private Placement Shares will be worthless.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80" w:firstLine="440"/>
        <w:spacing w:after="0" w:line="270" w:lineRule="auto"/>
        <w:rPr>
          <w:sz w:val="20"/>
          <w:szCs w:val="20"/>
          <w:color w:val="auto"/>
        </w:rPr>
      </w:pPr>
      <w:r>
        <w:rPr>
          <w:rFonts w:ascii="Times New Roman" w:cs="Times New Roman" w:eastAsia="Times New Roman" w:hAnsi="Times New Roman"/>
          <w:sz w:val="17"/>
          <w:szCs w:val="17"/>
          <w:color w:val="auto"/>
        </w:rPr>
        <w:t>On March 2, 2021, the Sponsor paid $25,000 to cover certain offering and formation costs of the Company in consideration for which the Sponsor received 5,750,000 Class B ordinary shares (the “Founder Shares”). On June 29, 2021, the Company effected a share capitalization with respect to its Class B ordinary shares of 575,000 shares thereof, resulting in the Company’s initial shareholders holding an aggregate of 6,325,000 Founder Shares. All share and per-share amounts have been retroactively restated to reflect the share capitalization. The Founder Shares included an aggregate of up</w:t>
      </w:r>
    </w:p>
    <w:p>
      <w:pPr>
        <w:spacing w:after="0" w:line="3" w:lineRule="exact"/>
        <w:rPr>
          <w:sz w:val="20"/>
          <w:szCs w:val="20"/>
          <w:color w:val="auto"/>
        </w:rPr>
      </w:pPr>
    </w:p>
    <w:p>
      <w:pPr>
        <w:ind w:left="180" w:right="120"/>
        <w:spacing w:after="0" w:line="255" w:lineRule="auto"/>
        <w:rPr>
          <w:sz w:val="20"/>
          <w:szCs w:val="20"/>
          <w:color w:val="auto"/>
        </w:rPr>
      </w:pPr>
      <w:r>
        <w:rPr>
          <w:rFonts w:ascii="Times New Roman" w:cs="Times New Roman" w:eastAsia="Times New Roman" w:hAnsi="Times New Roman"/>
          <w:sz w:val="18"/>
          <w:szCs w:val="18"/>
          <w:color w:val="auto"/>
        </w:rPr>
        <w:t>to 825,000 shares that were subject to forfeiture depending on the extent to which the underwriters’ over-allotment option was exercised. As a result of the underwriters’ election to partially exercise their over-allotment option, a total of 750,000 Founder Shares are no longer subject to forfeiture and 75,000 Founder Shares were forfeited, resulting in an aggregate of 6,250,000 Founder Shares outstanding.</w:t>
      </w:r>
    </w:p>
    <w:p>
      <w:pPr>
        <w:spacing w:after="0" w:line="186" w:lineRule="exact"/>
        <w:rPr>
          <w:sz w:val="20"/>
          <w:szCs w:val="20"/>
          <w:color w:val="auto"/>
        </w:rPr>
      </w:pPr>
    </w:p>
    <w:p>
      <w:pPr>
        <w:ind w:left="180" w:firstLine="440"/>
        <w:spacing w:after="0" w:line="253" w:lineRule="auto"/>
        <w:rPr>
          <w:sz w:val="20"/>
          <w:szCs w:val="20"/>
          <w:color w:val="auto"/>
        </w:rPr>
      </w:pPr>
      <w:r>
        <w:rPr>
          <w:rFonts w:ascii="Times New Roman" w:cs="Times New Roman" w:eastAsia="Times New Roman" w:hAnsi="Times New Roman"/>
          <w:sz w:val="18"/>
          <w:szCs w:val="18"/>
          <w:color w:val="auto"/>
        </w:rPr>
        <w:t>In June 2021, the Sponsor transferred 30,000 Founder Shares to Marc Semigran, an independent director of the Company. The sale of the Founders Shares to the Company’s director is in the scope of FASB ASC Topic 718, “Compensation-Stock Compensation” (“ASC 718”). Under ASC 718, stock-based compensation associated with equity-classified awards is measured at fair value upon the grant date. The fair value of the 30,000 shares granted to the Company’s director was $214,160 or approximately $7.14 per share. The Founders Shares were effectively sold subject to a performance condition (i.e., the occurrence of a Business Combination). Compensation expense related to the Founders Shares is recognized only when the performance condition is probable of occurrence. As of December 31, 2021,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times the grant date fair value per share (unless subsequently modified) less the amount initially received for the purchase of the Founders Shares.</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FS-14</w:t>
      </w:r>
    </w:p>
    <w:p>
      <w:pPr>
        <w:sectPr>
          <w:pgSz w:w="11900" w:h="16838" w:orient="portrait"/>
          <w:cols w:equalWidth="0" w:num="1">
            <w:col w:w="11160"/>
          </w:cols>
          <w:pgMar w:left="260" w:top="482"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40" w:firstLine="440"/>
        <w:spacing w:after="0" w:line="255"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subject to limited exceptions, not to transfer, assign or sell any of their Founder Shares until the earlier of: (A) one year after the completion of a Business Combination and (B) subsequent to a Business Combination, (x) if the last reported sale price of the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Public Shareholders having the right to exchange their Class A ordinary shares for cash, securities or other property.</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8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in which it will pay an affiliate of the Sponsor $10,000 per month, commencing on June 30, 2021, for office space, administrative and support services. Upon completion of a Business Combination or its liquidation, the Company will cease paying these monthly fees. For the period from February 25, 2021 (inception) through December 31, 2021, the Company incurred $60,000 in fees for these services, of which such amount was recognized in Operating and Formation Costs in the accompanying statement of operations.</w:t>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ind w:left="18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the Sponsor had advanced the Company $97,319 for working capital purposes, inclusive of the administrative services agreement noted above, of which $87,319 was repaid during the period ended December 31, 2021. As of December 31, 2021, the outstanding balance was $10,000.</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Note—Related Party</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March 2, 2021, the Sponsor issued an unsecured promissory note to the Company (the “Promissory Note”), pursuant to which the Company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could borrow up to an aggregate principal amount of $300,000. The Promissory Note was non-interest bearing and payable on the earlier of</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December 31, 2021 and the completion of the Initial Public Offering. The outstanding balance under the Promissory Note of $300,000 was repaid at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closing of the Initial Public Offering on July 2, 2021. Borrowings are no longer available under the Promissory Note.</w:t>
      </w: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left="180" w:firstLine="440"/>
        <w:spacing w:after="0" w:line="256"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it may repay such loaned amounts out of the proceeds of the Trust Account. In the event that the Business Combination does not close, the Company may use a portion of the working capital held outside the Trust Account to repay such loaned amounts but no proceeds from the Trust Account would be used to repay such loaned amounts. As of December 31, 2021, there were no outstanding amounts under the Working Capital Loans.</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8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June 29, 2021, the holders of the Founder Shares, Private Placement Shares and any Private Placement Shares that may be issued on conversion of Working Capital Loans (and any Class A ordinary shares issuable upon the conversion of the Founder Shares) are entitled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FS-15</w:t>
      </w:r>
    </w:p>
    <w:p>
      <w:pPr>
        <w:sectPr>
          <w:pgSz w:w="11900" w:h="16838" w:orient="portrait"/>
          <w:cols w:equalWidth="0" w:num="1">
            <w:col w:w="11160"/>
          </w:cols>
          <w:pgMar w:left="260" w:top="482"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100"/>
        <w:spacing w:after="0" w:line="258" w:lineRule="auto"/>
        <w:rPr>
          <w:sz w:val="20"/>
          <w:szCs w:val="20"/>
          <w:color w:val="auto"/>
        </w:rPr>
      </w:pPr>
      <w:r>
        <w:rPr>
          <w:rFonts w:ascii="Times New Roman" w:cs="Times New Roman" w:eastAsia="Times New Roman" w:hAnsi="Times New Roman"/>
          <w:sz w:val="18"/>
          <w:szCs w:val="18"/>
          <w:color w:val="auto"/>
        </w:rPr>
        <w:t>to registration rights requiring the Company to register such securities for resale (in the case of the Founder Shares, only after conversion to the Class A ordinary shares).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jc w:val="both"/>
        <w:ind w:left="180" w:right="1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underwriting commission of $7,700,000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w:t>
      </w:r>
    </w:p>
    <w:p>
      <w:pPr>
        <w:spacing w:after="0" w:line="121" w:lineRule="exact"/>
        <w:rPr>
          <w:sz w:val="20"/>
          <w:szCs w:val="20"/>
          <w:color w:val="auto"/>
        </w:rPr>
      </w:pPr>
    </w:p>
    <w:p>
      <w:pPr>
        <w:ind w:left="180" w:right="20" w:firstLine="440"/>
        <w:spacing w:after="0" w:line="258" w:lineRule="auto"/>
        <w:rPr>
          <w:sz w:val="20"/>
          <w:szCs w:val="20"/>
          <w:color w:val="auto"/>
        </w:rPr>
      </w:pPr>
      <w:r>
        <w:rPr>
          <w:rFonts w:ascii="Times New Roman" w:cs="Times New Roman" w:eastAsia="Times New Roman" w:hAnsi="Times New Roman"/>
          <w:sz w:val="18"/>
          <w:szCs w:val="18"/>
          <w:color w:val="auto"/>
        </w:rPr>
        <w:t>In September 2021, pursuant to a Director Restricted Stock Unit Award Agreement, dated September 24, 2021, between the Company and Uma Sinha, Ph.D., the Company agreed to grant 30,000 restricted stock units (“RSUs”) to Dr. Sinha, which grant is contingent on both the consummation of a Business Combination and a shareholder approved equity plan. The RSUs will vest upon the consummation of such Business Combination and represent 30,000 Class A ordinary shares of the Company that will settle on a date determined in the sole discretion of the Company that shall occur between the vesting date and March 15 of the year following the year in which vesting occurs.</w:t>
      </w:r>
    </w:p>
    <w:p>
      <w:pPr>
        <w:spacing w:after="0" w:line="183" w:lineRule="exact"/>
        <w:rPr>
          <w:sz w:val="20"/>
          <w:szCs w:val="20"/>
          <w:color w:val="auto"/>
        </w:rPr>
      </w:pPr>
    </w:p>
    <w:p>
      <w:pPr>
        <w:ind w:left="180" w:right="80" w:firstLine="440"/>
        <w:spacing w:after="0" w:line="255" w:lineRule="auto"/>
        <w:rPr>
          <w:sz w:val="20"/>
          <w:szCs w:val="20"/>
          <w:color w:val="auto"/>
        </w:rPr>
      </w:pPr>
      <w:r>
        <w:rPr>
          <w:rFonts w:ascii="Times New Roman" w:cs="Times New Roman" w:eastAsia="Times New Roman" w:hAnsi="Times New Roman"/>
          <w:sz w:val="18"/>
          <w:szCs w:val="18"/>
          <w:color w:val="auto"/>
        </w:rPr>
        <w:t>The RSUs to be granted by the Company are in the scope of ASC 718. Under ASC 718, stock-based compensation associated with equity-classified awards is measured at fair value upon the grant date. The RSUs to be granted are subject to a performance condition (i.e., the occurrence of a Business Combination). Compensation expense related to the RSUs is recognized only when the performance condition is probable of occurrence under the applicable accounting literature in this circumstance. As of December 31, 2021, the Company did not have a shareholder approved equity plan and also determined that a Business Combination is not considered probable, therefore, no stock-based compensation expense has been recognized. Stock-based compensation would be recognized at the date a Business Combination is considered probable (i.e., upon consummation of a Business Combination) in an amount equal to the number of RSUs times the grant date fair value per share (unless subsequently modified).</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7. TEMPORARY EQUITY AND PERMANENT DEFICIT</w:t>
      </w:r>
    </w:p>
    <w:p>
      <w:pPr>
        <w:spacing w:after="0" w:line="117" w:lineRule="exact"/>
        <w:rPr>
          <w:sz w:val="20"/>
          <w:szCs w:val="20"/>
          <w:color w:val="auto"/>
        </w:rPr>
      </w:pPr>
    </w:p>
    <w:p>
      <w:pPr>
        <w:ind w:lef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5,000,000 preference shares, with a par value of $0.0001 per share.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will be authorized to fix the voting rights, if any, designations, powers, preferences, the relative, participating, optional or other special rights and any qualifications, limitations and restrictions thereof, applicable to the shares of each series. The Company’s board of directors will be able to, without shareholder approval, issue preference shares with voting and other rights that could adversely affect the voting power and other rights of the holders of the Company’s ordinary shares and could have anti-takeover effects. At December 31, 2021, there were no preference shares issued or outstanding.</w:t>
      </w:r>
    </w:p>
    <w:p>
      <w:pPr>
        <w:spacing w:after="0" w:line="182" w:lineRule="exact"/>
        <w:rPr>
          <w:sz w:val="20"/>
          <w:szCs w:val="20"/>
          <w:color w:val="auto"/>
        </w:rPr>
      </w:pPr>
    </w:p>
    <w:p>
      <w:pPr>
        <w:ind w:left="18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—The Company is authorized to issue 500,000,000 Class A ordinary shares, with a par value of $0.0001 per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640,000 Class A ordinary shares issued and outstanding, excluding 25,000,000 Class A ordinary shares subject to possible redemption which are presented as temporary equity.</w:t>
      </w:r>
    </w:p>
    <w:p>
      <w:pPr>
        <w:spacing w:after="0" w:line="171" w:lineRule="exact"/>
        <w:rPr>
          <w:sz w:val="20"/>
          <w:szCs w:val="20"/>
          <w:color w:val="auto"/>
        </w:rPr>
      </w:pPr>
    </w:p>
    <w:p>
      <w:pPr>
        <w:ind w:left="18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—The Company is authorized to issue 50,000,000 Class B ordinary shares, with a par value of $0.0001 per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6,250,000 Class B ordinary shares issued and outstanding.</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FS-16</w:t>
      </w:r>
    </w:p>
    <w:p>
      <w:pPr>
        <w:sectPr>
          <w:pgSz w:w="11900" w:h="16838" w:orient="portrait"/>
          <w:cols w:equalWidth="0" w:num="1">
            <w:col w:w="11200"/>
          </w:cols>
          <w:pgMar w:left="26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firstLine="440"/>
        <w:spacing w:after="0" w:line="261" w:lineRule="auto"/>
        <w:rPr>
          <w:sz w:val="20"/>
          <w:szCs w:val="20"/>
          <w:color w:val="auto"/>
        </w:rPr>
      </w:pPr>
      <w:r>
        <w:rPr>
          <w:rFonts w:ascii="Times New Roman" w:cs="Times New Roman" w:eastAsia="Times New Roman" w:hAnsi="Times New Roman"/>
          <w:sz w:val="18"/>
          <w:szCs w:val="18"/>
          <w:color w:val="auto"/>
        </w:rPr>
        <w:t>Holders of record of Class A ordinary shares and Class B ordinary shares are entitled to one vote for each share held on all matters to be voted on by shareholders and vote together as a single class, except as required by law; provided that prior to a Business Combination, holders of Class B ordinary shares will have the right to appoint all of the Company’s directors and remove members of its board of directors for any reason, and holders of Class A ordinary shares will not be entitled to vote on the appointment of directors during such time.</w:t>
      </w:r>
    </w:p>
    <w:p>
      <w:pPr>
        <w:spacing w:after="0" w:line="180" w:lineRule="exact"/>
        <w:rPr>
          <w:sz w:val="20"/>
          <w:szCs w:val="20"/>
          <w:color w:val="auto"/>
        </w:rPr>
      </w:pPr>
    </w:p>
    <w:p>
      <w:pPr>
        <w:ind w:left="180" w:right="20" w:firstLine="44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Business Combination, or earlier at the option of the holder, on a one-for-one basis, subject to adjustment for share sub-divisions, share dividends, rights issuances, consolidations, reorganizations, recapitalizations and the like. Additionally, in the event that additional (in excess of the amounts issued in the Initial Public Offering) Class A ordinary shares, or equity-linked securities, are issued or deemed issued in connection with the closing of the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20% of the sum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the Business Combination, excluding any Class A ordinary shares or equity-linked securities exercisable for or convertible into Class A ordinary shares issued, or to be issued, to any seller in the Business Combination and any private placement shares issued to the Sponsor or its affiliates upon conversion of Working Capital Loans; provided that such conversion of Class B ordinary shares will never occur on a less than one-for-one-basis.</w:t>
      </w:r>
    </w:p>
    <w:p>
      <w:pPr>
        <w:spacing w:after="0" w:line="183" w:lineRule="exact"/>
        <w:rPr>
          <w:sz w:val="20"/>
          <w:szCs w:val="20"/>
          <w:color w:val="auto"/>
        </w:rPr>
      </w:pPr>
    </w:p>
    <w:p>
      <w:pPr>
        <w:ind w:left="18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Private Placement Shares</w:t>
      </w:r>
      <w:r>
        <w:rPr>
          <w:rFonts w:ascii="Times New Roman" w:cs="Times New Roman" w:eastAsia="Times New Roman" w:hAnsi="Times New Roman"/>
          <w:sz w:val="18"/>
          <w:szCs w:val="18"/>
          <w:color w:val="auto"/>
        </w:rPr>
        <w:t>—The Private Placement Shares are not transferable, assignable, or salable until 30 days after the completion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(except, among other limited exceptions, to the Company’s directors and officers and other persons or entities affiliated with the Sponsor). Holders of the Private Placement Shares are entitled to certain registration rights. If the Company does not complete a Business Combination within the Combination Period or during any applicable extension period, the proceeds from the sale of the Private Placement Shares held in the Trust Account will be used to fund the redemption of the Public Shares (subject to the requirements of applicable law) and the Private Placement Shares will be worthless.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8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ind w:left="180" w:right="4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ectPr>
          <w:pgSz w:w="11900" w:h="16838" w:orient="portrait"/>
          <w:cols w:equalWidth="0" w:num="1">
            <w:col w:w="11160"/>
          </w:cols>
          <w:pgMar w:left="260" w:top="482" w:right="479" w:bottom="1440" w:gutter="0" w:footer="0" w:header="0"/>
        </w:sectPr>
      </w:pP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8" w:lineRule="exact"/>
        <w:rPr>
          <w:sz w:val="20"/>
          <w:szCs w:val="20"/>
          <w:color w:val="auto"/>
        </w:rPr>
      </w:pPr>
    </w:p>
    <w:p>
      <w:pPr>
        <w:sectPr>
          <w:pgSz w:w="11900" w:h="16838" w:orient="portrait"/>
          <w:cols w:equalWidth="0" w:num="2">
            <w:col w:w="1660" w:space="720"/>
            <w:col w:w="8780"/>
          </w:cols>
          <w:pgMar w:left="260" w:top="482" w:right="47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7"/>
          <w:szCs w:val="17"/>
          <w:color w:val="auto"/>
        </w:rPr>
        <w:t>FS-17</w:t>
      </w:r>
    </w:p>
    <w:p>
      <w:pPr>
        <w:sectPr>
          <w:pgSz w:w="11900" w:h="16838" w:orient="portrait"/>
          <w:cols w:equalWidth="0" w:num="1">
            <w:col w:w="11160"/>
          </w:cols>
          <w:pgMar w:left="260" w:top="482" w:right="479"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760" w:type="dxa"/>
            <w:vAlign w:val="bottom"/>
          </w:tcPr>
          <w:p>
            <w:pPr>
              <w:spacing w:after="0"/>
              <w:rPr>
                <w:sz w:val="17"/>
                <w:szCs w:val="17"/>
                <w:color w:val="auto"/>
              </w:rPr>
            </w:pPr>
          </w:p>
        </w:tc>
      </w:tr>
      <w:tr>
        <w:trPr>
          <w:trHeight w:val="515"/>
        </w:trPr>
        <w:tc>
          <w:tcPr>
            <w:tcW w:w="1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Level 2:</w:t>
            </w:r>
          </w:p>
        </w:tc>
        <w:tc>
          <w:tcPr>
            <w:tcW w:w="9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Observable inputs other than Level 1 inputs. Examples of Level 2 inputs include quoted prices in active markets for</w:t>
            </w:r>
          </w:p>
        </w:tc>
      </w:tr>
      <w:tr>
        <w:trPr>
          <w:trHeight w:val="234"/>
        </w:trPr>
        <w:tc>
          <w:tcPr>
            <w:tcW w:w="1360" w:type="dxa"/>
            <w:vAlign w:val="bottom"/>
          </w:tcPr>
          <w:p>
            <w:pPr>
              <w:spacing w:after="0"/>
              <w:rPr>
                <w:sz w:val="20"/>
                <w:szCs w:val="20"/>
                <w:color w:val="auto"/>
              </w:rPr>
            </w:pPr>
          </w:p>
        </w:tc>
        <w:tc>
          <w:tcPr>
            <w:tcW w:w="9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similar assets or liabilities and quoted prices for identical assets or liabilities in markets that are not active.</w:t>
            </w:r>
          </w:p>
        </w:tc>
      </w:tr>
      <w:tr>
        <w:trPr>
          <w:trHeight w:val="319"/>
        </w:trPr>
        <w:tc>
          <w:tcPr>
            <w:tcW w:w="1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Level 3:</w:t>
            </w:r>
          </w:p>
        </w:tc>
        <w:tc>
          <w:tcPr>
            <w:tcW w:w="97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Unobservable inputs based on our assessment of the assumptions that market participants would use in pricing the asset or</w:t>
            </w:r>
          </w:p>
        </w:tc>
      </w:tr>
      <w:tr>
        <w:trPr>
          <w:trHeight w:val="234"/>
        </w:trPr>
        <w:tc>
          <w:tcPr>
            <w:tcW w:w="1360" w:type="dxa"/>
            <w:vAlign w:val="bottom"/>
          </w:tcPr>
          <w:p>
            <w:pPr>
              <w:spacing w:after="0"/>
              <w:rPr>
                <w:sz w:val="20"/>
                <w:szCs w:val="20"/>
                <w:color w:val="auto"/>
              </w:rPr>
            </w:pPr>
          </w:p>
        </w:tc>
        <w:tc>
          <w:tcPr>
            <w:tcW w:w="9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liability.</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December 31, 2021, and indicates the fair value hierarchy of the valuation inputs the Company utilized to determine such fair value: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250,008,324</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 except as follows: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Proposed ProKidney Business Combination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January 18, 2022, the Company entered into a Business Combination Agreement (the “ProKidney Business Combination Agreement”) with ProKidney LP, a limited partnership registered under the laws of Ireland (“ProKidney”), acting through its general partner ProKidney GP Limited, a private limited company incorporated under the laws of Ireland (“Legacy GP”).</w:t>
      </w:r>
    </w:p>
    <w:p>
      <w:pPr>
        <w:spacing w:after="0" w:line="176"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ProKidney Business Combination Agreement provides that, among other things and upon the terms and subject to the conditions thereof, prior to or at the closing of the ProKidney Business Combination Agreement (the “Closing”), the following transactions will occur (together with the other transactions contemplated by the ProKidney Business Combination Agreement, the “ProKidney Business Combination”): (1) ProKidney will issue to the Company a number of common units of ProKidney (“Post-Combination ProKidney Common Units”) equal to the number of fully diluted outstanding ordinary shares of the Company as of immediately prior to the Closing (but after giving effect to all redemptions of Public Shares and the purchase of Class A ordinary shares pursuant to one or more subscription agreements (the “PIPE Investment”)), in exchange for (a) (x) new Class B ordinary shares (“New ProKidney Class B ordinary shares”), which shares will have no economic rights but will entitle the holders thereof to vote on all matters on which shareholders of the Company are entitled to vote generally, and (y) restricted stock rights in respect of New ProKidney Class B ordinary shares (“New ProKidney Class B PMEL RSRs”), which restricted stock rights shall convert into New ProKidney Class B ordinary shares upon the vesting of the associated restricted common unit of ProKidney, (b) an amount in cash equal to the aggregate proceeds obtained by the Company in the PIPE Investment and (c) an amount in cash equal to the aggregate proceeds available for release to the Company from the Trust Account (after giving effect to all redemptions of Public Shares and after payment of any deferred underwriting commissions being held in the Trust Account and payment of certain transaction expenses); (2) Legacy GP will resign as the general partner of ProKidney and a private limited company incorporated under the laws of Ireland (“New GP”) will be admitted as the general partner of ProKidney; (3) ProKidney will distribute to the ProKidney unitholders the New ProKidney Class B ordinary shares and New ProKidney Class B PMEL RSRs received pursuant to clause (i)(a) (x) and (y) above; and</w:t>
      </w:r>
    </w:p>
    <w:p>
      <w:pPr>
        <w:spacing w:after="0" w:line="11" w:lineRule="exact"/>
        <w:rPr>
          <w:sz w:val="20"/>
          <w:szCs w:val="20"/>
          <w:color w:val="auto"/>
        </w:rPr>
      </w:pPr>
    </w:p>
    <w:p>
      <w:pPr>
        <w:jc w:val="both"/>
        <w:ind w:left="120" w:right="40" w:hanging="4"/>
        <w:spacing w:after="0" w:line="255" w:lineRule="auto"/>
        <w:tabs>
          <w:tab w:leader="none" w:pos="3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holders of ProKidney units will receive an aggregate of 17,500,000 restricted common units of ProKidney (“Earnout RCUs”) and 17,500,000 restricted stock rights of the Company (“Earnout RSRs” and, together with the Earnout RCUs, the “Earnout Rights”), which Earnout Rights will vest in three equal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FS-18</w:t>
      </w:r>
    </w:p>
    <w:p>
      <w:pPr>
        <w:sectPr>
          <w:pgSz w:w="11900" w:h="16838" w:orient="portrait"/>
          <w:cols w:equalWidth="0" w:num="1">
            <w:col w:w="11120"/>
          </w:cols>
          <w:pgMar w:left="320" w:top="473"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100"/>
        <w:spacing w:after="0" w:line="261" w:lineRule="auto"/>
        <w:rPr>
          <w:sz w:val="20"/>
          <w:szCs w:val="20"/>
          <w:color w:val="auto"/>
        </w:rPr>
      </w:pPr>
      <w:r>
        <w:rPr>
          <w:rFonts w:ascii="Times New Roman" w:cs="Times New Roman" w:eastAsia="Times New Roman" w:hAnsi="Times New Roman"/>
          <w:sz w:val="18"/>
          <w:szCs w:val="18"/>
          <w:color w:val="auto"/>
        </w:rPr>
        <w:t>tranches upon the trading price of a Class A ordinary share reaching $15.00/share, $20.00/share and $25.00/share, respectively, on the terms set forth in the ProKidney Business Combination Agreement, or upon certain change of control events. When vested, the Earnout RCUs will automatically convert into Post-Combination ProKidney Common Units and the associated Earnout RSRs will automatically convert into New ProKidney Class B ordinary shares, respectively.</w:t>
      </w:r>
    </w:p>
    <w:p>
      <w:pPr>
        <w:spacing w:after="0" w:line="180" w:lineRule="exact"/>
        <w:rPr>
          <w:sz w:val="20"/>
          <w:szCs w:val="20"/>
          <w:color w:val="auto"/>
        </w:rPr>
      </w:pPr>
    </w:p>
    <w:p>
      <w:pPr>
        <w:ind w:left="180" w:firstLine="440"/>
        <w:spacing w:after="0" w:line="253" w:lineRule="auto"/>
        <w:rPr>
          <w:sz w:val="20"/>
          <w:szCs w:val="20"/>
          <w:color w:val="auto"/>
        </w:rPr>
      </w:pPr>
      <w:r>
        <w:rPr>
          <w:rFonts w:ascii="Times New Roman" w:cs="Times New Roman" w:eastAsia="Times New Roman" w:hAnsi="Times New Roman"/>
          <w:sz w:val="18"/>
          <w:szCs w:val="18"/>
          <w:color w:val="auto"/>
        </w:rPr>
        <w:t>On January 18, 2022, the Company entered into subscription agreements (the “Subscription Agreements”) with certain investors (“PIPE Investors”) pursuant to which the PIPE Investors have subscribed for an aggregate of 57,500,000 Class A ordinary shares for a price of $10.00 per share for an aggregate purchase price of $575,000,000, of which (1) $156,400,000 is committed by certain existing directors, officers and equityholders of, or investment funds managed by Suvretta Capital Management, LLC, the Company, the Sponsor and/or their respective affiliates participating in the PIPE Investment, and (2) at least $50,000,000 (which may, at the election of such investors, be increased to up to $100,000,000) is committed by certain existing directors, officers and unitholders of ProKidney and/or its affiliates participating in the PIPE Investment (the “ProKidney Related PIPE Investors”); provided that the ProKidney Related PIPE Investors may elect instead to purchase Post-Combination ProKidney Common Units, together with a corresponding number of Class B ordinary shares, in lieu of Class A ordinary shares. The Subscription Agreements are subject to certain conditions, including that there shall not be in force any injunction or order enjoining or prohibiting the issuance and sale of the shares under the Subscription Agreements; the terms of the ProKidney Business Combination Agreement shall not have been amended, and the minimum cash condition therein shall not have been waived, in a manner that is materially adverse to the investor party to the Subscription Agreement; and the representation and warranties of the parties to the Subscription Agreement shall be accurate (subject to agreed materiality thresholds).</w:t>
      </w:r>
    </w:p>
    <w:p>
      <w:pPr>
        <w:spacing w:after="0" w:line="190" w:lineRule="exact"/>
        <w:rPr>
          <w:sz w:val="20"/>
          <w:szCs w:val="20"/>
          <w:color w:val="auto"/>
        </w:rPr>
      </w:pPr>
    </w:p>
    <w:p>
      <w:pPr>
        <w:ind w:left="180" w:right="8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the combined company will be organized in an umbrella partnership-C corporation (a so called “Up-C”) structure, and the Company’s direct assets will consist of ProKidney Common Units and equity interests of New GP, and substantially all of the operating assets and business of the Company will be held indirectly through ProKidney.</w:t>
      </w:r>
    </w:p>
    <w:p>
      <w:pPr>
        <w:spacing w:after="0" w:line="176" w:lineRule="exact"/>
        <w:rPr>
          <w:sz w:val="20"/>
          <w:szCs w:val="20"/>
          <w:color w:val="auto"/>
        </w:rPr>
      </w:pPr>
    </w:p>
    <w:p>
      <w:pPr>
        <w:ind w:left="180" w:right="540" w:firstLine="440"/>
        <w:spacing w:after="0" w:line="282" w:lineRule="auto"/>
        <w:rPr>
          <w:sz w:val="20"/>
          <w:szCs w:val="20"/>
          <w:color w:val="auto"/>
        </w:rPr>
      </w:pPr>
      <w:r>
        <w:rPr>
          <w:rFonts w:ascii="Times New Roman" w:cs="Times New Roman" w:eastAsia="Times New Roman" w:hAnsi="Times New Roman"/>
          <w:sz w:val="18"/>
          <w:szCs w:val="18"/>
          <w:color w:val="auto"/>
        </w:rPr>
        <w:t>The consummation of the proposed ProKidney Business Combination is subject to certain conditions as further described in the ProKidney Business Combination Agreement.</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180" w:right="260" w:firstLine="440"/>
        <w:spacing w:after="0" w:line="266" w:lineRule="auto"/>
        <w:rPr>
          <w:sz w:val="20"/>
          <w:szCs w:val="20"/>
          <w:color w:val="auto"/>
        </w:rPr>
      </w:pPr>
      <w:r>
        <w:rPr>
          <w:rFonts w:ascii="Times New Roman" w:cs="Times New Roman" w:eastAsia="Times New Roman" w:hAnsi="Times New Roman"/>
          <w:sz w:val="18"/>
          <w:szCs w:val="18"/>
          <w:color w:val="auto"/>
        </w:rPr>
        <w:t>Certain purported shareholders of the Company sent demand letters (the “Demands”) alleging deficiencies and/or omissions in the ProKidney Disclosure Statement filed by the Company with the SEC on February 14, 2022. The Demands seek additional disclosures to remedy these purported deficiencies. We believe that the allegations in the Demands are meritless.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Unaudited</w:t>
      </w:r>
    </w:p>
    <w:p>
      <w:pPr>
        <w:spacing w:after="0" w:line="121" w:lineRule="exact"/>
        <w:rPr>
          <w:sz w:val="20"/>
          <w:szCs w:val="20"/>
          <w:color w:val="auto"/>
        </w:rPr>
      </w:pPr>
    </w:p>
    <w:p>
      <w:pPr>
        <w:ind w:left="180" w:firstLine="440"/>
        <w:spacing w:after="0" w:line="258" w:lineRule="auto"/>
        <w:rPr>
          <w:sz w:val="20"/>
          <w:szCs w:val="20"/>
          <w:color w:val="auto"/>
        </w:rPr>
      </w:pPr>
      <w:r>
        <w:rPr>
          <w:rFonts w:ascii="Times New Roman" w:cs="Times New Roman" w:eastAsia="Times New Roman" w:hAnsi="Times New Roman"/>
          <w:sz w:val="18"/>
          <w:szCs w:val="18"/>
          <w:color w:val="auto"/>
        </w:rPr>
        <w:t>On April 20, 2022, the Company issued an unsecured promissory note (the “Promissory Note”) to the Sponsor pursuant to which the Company may borrow up to an aggregate principal amount of $1,500,000. The Promissory Note is non-interest bearing, unsecured and payable upon the earlier of July 2, 2023 and the effective date of the Company’s Business Combination. The Promissory Note is subject to customary events of default which could, subject to certain conditions, cause the Promissory Note to become immediately due and payable. On April 26, 2022, the Company drew $250,000 under the Promissory Note.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FS-19</w:t>
      </w:r>
    </w:p>
    <w:p>
      <w:pPr>
        <w:sectPr>
          <w:pgSz w:w="11900" w:h="16838" w:orient="portrait"/>
          <w:cols w:equalWidth="0" w:num="1">
            <w:col w:w="11180"/>
          </w:cols>
          <w:pgMar w:left="260" w:top="482"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107,546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440,488</w:t>
            </w: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504,189</w:t>
            </w:r>
          </w:p>
        </w:tc>
      </w:tr>
      <w:tr>
        <w:trPr>
          <w:trHeight w:val="27"/>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944,677</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prepaid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247,500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250,371,095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250,008,324</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251,003,391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251,200,501</w:t>
            </w:r>
          </w:p>
        </w:tc>
        <w:tc>
          <w:tcPr>
            <w:tcW w:w="12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TEMPORARY EQUITY AND PERMANENT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7,603,038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1,864,796</w:t>
            </w: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7,933,725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1,879,796</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7,700,000</w:t>
            </w:r>
          </w:p>
        </w:tc>
      </w:tr>
      <w:tr>
        <w:trPr>
          <w:trHeight w:val="27"/>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15,633,725</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9,579,796</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25,000,000 shares at redemption value as of June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250,371,095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250,008,324</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Permanent Deficit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 shares issued and outstanding as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640,000 shares issued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(excluding 25,000,000 shares subject to possible redemption) as of June 30, 2022 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r>
      <w:tr>
        <w:trPr>
          <w:trHeight w:val="198"/>
        </w:trPr>
        <w:tc>
          <w:tcPr>
            <w:tcW w:w="8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6,250,000 shares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2022 and December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(15,002,118)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(8,388,308)</w:t>
            </w:r>
          </w:p>
        </w:tc>
      </w:tr>
      <w:tr>
        <w:trPr>
          <w:trHeight w:val="27"/>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Permanent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(15,001,429)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(8,387,619)</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PERMANENT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251,003,391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251,200,501</w:t>
            </w:r>
          </w:p>
        </w:tc>
        <w:tc>
          <w:tcPr>
            <w:tcW w:w="12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FS-20</w:t>
      </w:r>
    </w:p>
    <w:p>
      <w:pPr>
        <w:sectPr>
          <w:pgSz w:w="11900" w:h="16838" w:orient="portrait"/>
          <w:cols w:equalWidth="0" w:num="1">
            <w:col w:w="11140"/>
          </w:cols>
          <w:pgMar w:left="320" w:top="482"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 25,</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6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Through June 30,</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2,607,609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6,613,810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(2,607,609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(6,613,810)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earned on marketable securities held in Trust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362,771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362,771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(2,270,014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(6,251,039</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A</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25,640,000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25,640,000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ordinary shares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B</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5,500,000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6,250,000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ordinary shares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FS-21</w:t>
      </w:r>
    </w:p>
    <w:p>
      <w:pPr>
        <w:sectPr>
          <w:pgSz w:w="11900" w:h="16838" w:orient="portrait"/>
          <w:cols w:equalWidth="0" w:num="1">
            <w:col w:w="11140"/>
          </w:cols>
          <w:pgMar w:left="320" w:top="482"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TEMPORARY EQUITY AND PERMANENT (DEFICIT)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THREE AND SIX MONTHS ENDED JUNE 30, 2022</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8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Balance—January 1, 2022</w:t>
            </w:r>
          </w:p>
        </w:tc>
        <w:tc>
          <w:tcPr>
            <w:tcW w:w="76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25,000,000</w:t>
            </w:r>
          </w:p>
        </w:tc>
        <w:tc>
          <w:tcPr>
            <w:tcW w:w="1060" w:type="dxa"/>
            <w:vAlign w:val="bottom"/>
            <w:gridSpan w:val="3"/>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$ 250,008,324</w:t>
            </w:r>
          </w:p>
        </w:tc>
        <w:tc>
          <w:tcPr>
            <w:tcW w:w="58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640,000</w:t>
            </w:r>
          </w:p>
        </w:tc>
        <w:tc>
          <w:tcPr>
            <w:tcW w:w="30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64</w:t>
            </w:r>
          </w:p>
        </w:tc>
        <w:tc>
          <w:tcPr>
            <w:tcW w:w="70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6,250,000</w:t>
            </w:r>
          </w:p>
        </w:tc>
        <w:tc>
          <w:tcPr>
            <w:tcW w:w="26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625</w:t>
            </w:r>
          </w:p>
        </w:tc>
        <w:tc>
          <w:tcPr>
            <w:tcW w:w="16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(8,388,308)</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(8,387,619)</w:t>
            </w:r>
          </w:p>
        </w:tc>
        <w:tc>
          <w:tcPr>
            <w:tcW w:w="0" w:type="dxa"/>
            <w:vAlign w:val="bottom"/>
          </w:tcPr>
          <w:p>
            <w:pPr>
              <w:spacing w:after="0"/>
              <w:rPr>
                <w:sz w:val="1"/>
                <w:szCs w:val="1"/>
                <w:color w:val="auto"/>
              </w:rPr>
            </w:pPr>
          </w:p>
        </w:tc>
      </w:tr>
      <w:tr>
        <w:trPr>
          <w:trHeight w:val="126"/>
        </w:trPr>
        <w:tc>
          <w:tcPr>
            <w:tcW w:w="3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Remeasurement for Class A ordinary shares to redemption</w:t>
            </w: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(8,324)</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8,324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8,324</w:t>
            </w:r>
          </w:p>
        </w:tc>
        <w:tc>
          <w:tcPr>
            <w:tcW w:w="0" w:type="dxa"/>
            <w:vAlign w:val="bottom"/>
          </w:tcPr>
          <w:p>
            <w:pPr>
              <w:spacing w:after="0"/>
              <w:rPr>
                <w:sz w:val="1"/>
                <w:szCs w:val="1"/>
                <w:color w:val="auto"/>
              </w:rPr>
            </w:pP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(3,981,025)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(3,981,025)</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Balance—March 31, 2022</w:t>
            </w:r>
          </w:p>
        </w:tc>
        <w:tc>
          <w:tcPr>
            <w:tcW w:w="7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25,000,000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$ 250,000,000</w:t>
            </w:r>
          </w:p>
        </w:tc>
        <w:tc>
          <w:tcPr>
            <w:tcW w:w="180" w:type="dxa"/>
            <w:vAlign w:val="bottom"/>
          </w:tcPr>
          <w:p>
            <w:pPr>
              <w:spacing w:after="0"/>
              <w:rPr>
                <w:sz w:val="12"/>
                <w:szCs w:val="12"/>
                <w:color w:val="auto"/>
              </w:rPr>
            </w:pPr>
          </w:p>
        </w:tc>
        <w:tc>
          <w:tcPr>
            <w:tcW w:w="52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640,000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64</w:t>
            </w:r>
          </w:p>
        </w:tc>
        <w:tc>
          <w:tcPr>
            <w:tcW w:w="140" w:type="dxa"/>
            <w:vAlign w:val="bottom"/>
          </w:tcPr>
          <w:p>
            <w:pPr>
              <w:spacing w:after="0"/>
              <w:rPr>
                <w:sz w:val="12"/>
                <w:szCs w:val="12"/>
                <w:color w:val="auto"/>
              </w:rPr>
            </w:pPr>
          </w:p>
        </w:tc>
        <w:tc>
          <w:tcPr>
            <w:tcW w:w="62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6,250,000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625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(12,361,009)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(12,360,320)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Remeasurement for Class A ordinary shares to redemption</w:t>
            </w: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371,095</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(371,095)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(371,095)</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gridSpan w:val="2"/>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(2,270,014)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(2,270,014)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Balance—June 30, 2022</w:t>
            </w:r>
          </w:p>
        </w:tc>
        <w:tc>
          <w:tcPr>
            <w:tcW w:w="7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25,000,000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xml:space="preserve"> 250,371,095</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640,000</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64</w:t>
            </w:r>
          </w:p>
        </w:tc>
        <w:tc>
          <w:tcPr>
            <w:tcW w:w="7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6,250,000</w:t>
            </w:r>
          </w:p>
        </w:tc>
        <w:tc>
          <w:tcPr>
            <w:tcW w:w="2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625</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(15,002,118)</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(15,001,429)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left="420" w:right="180"/>
        <w:spacing w:after="0" w:line="286" w:lineRule="auto"/>
        <w:rPr>
          <w:sz w:val="20"/>
          <w:szCs w:val="20"/>
          <w:color w:val="auto"/>
        </w:rPr>
      </w:pPr>
      <w:r>
        <w:rPr>
          <w:rFonts w:ascii="Times New Roman" w:cs="Times New Roman" w:eastAsia="Times New Roman" w:hAnsi="Times New Roman"/>
          <w:sz w:val="18"/>
          <w:szCs w:val="18"/>
          <w:b w:val="1"/>
          <w:bCs w:val="1"/>
          <w:color w:val="auto"/>
        </w:rPr>
        <w:t>FOR THE THREE MONTHS ENDED JUNE 30, 2021 AND FOR THE PERIOD FROM FEBRUARY 25, 2021 (INCEPTION) THROUGH JUNE 30, 2021</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3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180" w:type="dxa"/>
            <w:vAlign w:val="bottom"/>
          </w:tcPr>
          <w:p>
            <w:pPr>
              <w:spacing w:after="0"/>
              <w:rPr>
                <w:sz w:val="13"/>
                <w:szCs w:val="13"/>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4"/>
                <w:szCs w:val="14"/>
                <w:color w:val="auto"/>
              </w:rPr>
            </w:pPr>
          </w:p>
        </w:tc>
        <w:tc>
          <w:tcPr>
            <w:tcW w:w="16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Balance—February 25, 2021 (inception)</w:t>
            </w:r>
          </w:p>
        </w:tc>
        <w:tc>
          <w:tcPr>
            <w:tcW w:w="5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B ordinary shares to Sponsor</w:t>
            </w:r>
          </w:p>
        </w:tc>
        <w:tc>
          <w:tcPr>
            <w:tcW w:w="5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6,325,000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24,367</w:t>
            </w:r>
          </w:p>
        </w:tc>
        <w:tc>
          <w:tcPr>
            <w:tcW w:w="14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8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Balance—March 31, 2021</w:t>
            </w:r>
          </w:p>
        </w:tc>
        <w:tc>
          <w:tcPr>
            <w:tcW w:w="58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8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6,325,000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633</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24,367</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(5,182)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19,818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8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Balance—June 30, 2021</w:t>
            </w:r>
          </w:p>
        </w:tc>
        <w:tc>
          <w:tcPr>
            <w:tcW w:w="580" w:type="dxa"/>
            <w:vAlign w:val="bottom"/>
            <w:tcBorders>
              <w:top w:val="single" w:sz="8" w:color="auto"/>
              <w:bottom w:val="single" w:sz="8" w:color="auto"/>
            </w:tcBorders>
          </w:tcPr>
          <w:p>
            <w:pPr>
              <w:ind w:left="3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3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6"/>
              </w:rPr>
              <w:t>6,325,000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633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24,367</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(5,325)</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19,675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FS-22</w:t>
      </w:r>
    </w:p>
    <w:p>
      <w:pPr>
        <w:sectPr>
          <w:pgSz w:w="11900" w:h="16838" w:orient="portrait"/>
          <w:cols w:equalWidth="0" w:num="1">
            <w:col w:w="11140"/>
          </w:cols>
          <w:pgMar w:left="320" w:top="482"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25,</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0" w:type="dxa"/>
            <w:vAlign w:val="bottom"/>
          </w:tcPr>
          <w:p>
            <w:pPr>
              <w:spacing w:after="0"/>
              <w:rPr>
                <w:sz w:val="12"/>
                <w:szCs w:val="12"/>
                <w:color w:val="auto"/>
              </w:rPr>
            </w:pPr>
          </w:p>
        </w:tc>
        <w:tc>
          <w:tcPr>
            <w:tcW w:w="7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(6,251,039)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Formation costs paid by Sponsor in exchange for issuance of Founder Shares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(362,771)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226,939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(19,600)</w:t>
            </w:r>
          </w:p>
        </w:tc>
        <w:tc>
          <w:tcPr>
            <w:tcW w:w="0" w:type="dxa"/>
            <w:vAlign w:val="bottom"/>
          </w:tcPr>
          <w:p>
            <w:pPr>
              <w:spacing w:after="0"/>
              <w:rPr>
                <w:sz w:val="1"/>
                <w:szCs w:val="1"/>
                <w:color w:val="auto"/>
              </w:rPr>
            </w:pPr>
          </w:p>
        </w:tc>
      </w:tr>
      <w:tr>
        <w:trPr>
          <w:trHeight w:val="216"/>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70,687</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5,733,242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6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(582,942)</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25,643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promissory note—related party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(82,268)</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243,375</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(332,942)</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440,488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107,546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in exchange for issuance of Founder Shares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362,771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FS-23</w:t>
      </w:r>
    </w:p>
    <w:p>
      <w:pPr>
        <w:sectPr>
          <w:pgSz w:w="11900" w:h="16838" w:orient="portrait"/>
          <w:cols w:equalWidth="0" w:num="1">
            <w:col w:w="11140"/>
          </w:cols>
          <w:pgMar w:left="320" w:top="482"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GOING CONCERN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Social Capital Suvretta Holdings Corp. III (now known as ProKidney Corp.) (the “Company” or “SCS”) was a blank check company incorporated as a Cayman Islands exempted company on February 25, 2021. The Company was incorporated for the purpose of effecting a merger, share exchange, asset acquisition, share purchase, reorganization or similar business combination with one or more businesses (a “Business Combination”). The Company is an early stage and emerging growth company and, as such, the Company is subject to all of the risks associated with early stage and emerging growth companies.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July 11, 2022 (the “Closing Date”), SCS consummated the previously announced business combination (the “Business Combination”) with ProKidney LP, a limited partnership registered under the laws of Ireland (“ProKidney”). In connection with the closing of the Business Combination, SCS changed its name from “Social Capital Suvretta Holdings Corp. III” to “ProKidney Corp.” (or “New ProKidney”).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the following transactions occurred (the “Transactions”):</w:t>
      </w:r>
    </w:p>
    <w:p>
      <w:pPr>
        <w:spacing w:after="0" w:line="131" w:lineRule="exact"/>
        <w:rPr>
          <w:sz w:val="20"/>
          <w:szCs w:val="20"/>
          <w:color w:val="auto"/>
        </w:rPr>
      </w:pPr>
    </w:p>
    <w:p>
      <w:pPr>
        <w:ind w:left="1080" w:right="140" w:hanging="532"/>
        <w:spacing w:after="0" w:line="253"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ProKidney issued to SCS a number of Post-Combination ProKidney Common Units equal to the number of fully diluted outstanding SCS ordinary shares as of immediately prior to the Closing (but after giving effect to all redemptions of SCS Class A ordinary shares and the purchase of SCS Class A ordinary shares and/or Post-Combination ProKidney Common Units pursuant to one or more subscription agreements (the “PIPE Placement”)), in exchange for (a) (x) New ProKidney Class B ordinary shares, which shares have no economic rights but entitle the holders thereof to vote on all matters on which shareholders of New ProKidney would be entitled to vote generally, and (y) restricted stock rights in respect of New ProKidney Class B ordinary shares (“New ProKidney Class B PMEL RSRs”), which restricted stock rights will convert into New ProKidney Class B ordinary shares upon the vesting of the associated PMEL RCUs, (b) an amount in cash equal to the aggregate proceeds obtained by SCS in the PIPE Placement and (c) an amount in cash equal to the aggregate proceeds available for release to SCS from SCS’s trust account (“Trust Account”) (after giving effect to all redemptions of SCS Class A ordinary shares and after payment of any deferred underwriting commissions being held in the Trust Account and payment of certain transaction expenses);</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Legacy GP resigned as the general partner of ProKidney and New GP was admitted as the general partner of ProKidney;</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ProKidney distributed to the Closing ProKidney Unitholders the New ProKidney Class B ordinary shares and New ProKidney Class B PMEL RSRs received pursuant to clause (i)(a) (x) and (y) above; and</w:t>
      </w:r>
    </w:p>
    <w:p>
      <w:pPr>
        <w:spacing w:after="0" w:line="67" w:lineRule="exact"/>
        <w:rPr>
          <w:rFonts w:ascii="Times New Roman" w:cs="Times New Roman" w:eastAsia="Times New Roman" w:hAnsi="Times New Roman"/>
          <w:sz w:val="18"/>
          <w:szCs w:val="18"/>
          <w:color w:val="auto"/>
        </w:rPr>
      </w:pPr>
    </w:p>
    <w:p>
      <w:pPr>
        <w:ind w:left="1080" w:right="240" w:hanging="532"/>
        <w:spacing w:after="0" w:line="258"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holders of Legacy ProKidney Class A Units received an aggregate of 17,500,000 Earnout RCUs and 17,500,000 Earnout RSRs (collectively, the “Earnout Rights”), which Earnout Rights vest in three equal tranches upon the achievement of certain New ProKidney share price milestones or certain change of control events. When vested, the Earnout RCUs will automatically convert into Post-Combination ProKidney Common Units and the associated Earnout RSRs will automatically convert into New ProKidney Class B ordinary shares, respectively.</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Holders of an aggregate of 22,829,769 Class A ordinary shares of SCS sold in its initial public offering (the “Public Shares”) properly exercised their right to have such shares redeemed for a full pro rata portion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FS-24</w:t>
      </w:r>
    </w:p>
    <w:p>
      <w:pPr>
        <w:sectPr>
          <w:pgSz w:w="11900" w:h="16838" w:orient="portrait"/>
          <w:cols w:equalWidth="0" w:num="1">
            <w:col w:w="11100"/>
          </w:cols>
          <w:pgMar w:left="320" w:top="482"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which was approximately $10.00 per share, or approximately $228.7 million in the aggregate, including interest.</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SCS and New ProKidney entered into subscription agreements (the “Subscription Agreements”) with investors (the “PIPE Investors”), pursuant to which, among other things, New ProKidney agreed to issue and sell in a private placement an aggregate of 52,480,000 shares of New ProKidney Class A ordinary shares and 5,000,000 Post-Combination ProKidney Common Units (together with a corresponding number of New ProKidney Class B ordinary shares) to the PIPE Investors for a purchase price of $10.00 per share or Post-Combination ProKidney Common Unit, as applicable, and an aggregate purchase price of $574.8 million.</w:t>
      </w:r>
    </w:p>
    <w:p>
      <w:pPr>
        <w:spacing w:after="0" w:line="183" w:lineRule="exact"/>
        <w:rPr>
          <w:sz w:val="20"/>
          <w:szCs w:val="20"/>
          <w:color w:val="auto"/>
        </w:rPr>
      </w:pPr>
    </w:p>
    <w:p>
      <w:pPr>
        <w:jc w:val="both"/>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Immediately after giving effect to the Business Combination, the following equity securities of New ProKidney were issued and outstanding: (i) 9,060,231 New ProKidney Class A ordinary shares issued to the holders of pre-Closing SCS Class A ordinary shares and SCS Class B ordinary shares,</w:t>
      </w:r>
    </w:p>
    <w:p>
      <w:pPr>
        <w:spacing w:after="0" w:line="1" w:lineRule="exact"/>
        <w:rPr>
          <w:sz w:val="20"/>
          <w:szCs w:val="20"/>
          <w:color w:val="auto"/>
        </w:rPr>
      </w:pPr>
    </w:p>
    <w:p>
      <w:pPr>
        <w:ind w:left="120" w:right="40" w:hanging="4"/>
        <w:spacing w:after="0" w:line="252" w:lineRule="auto"/>
        <w:tabs>
          <w:tab w:leader="none" w:pos="3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52,480,000 Class A ordinary shares issued in the PIPE Placement and (iii) 170,723,961 New ProKidney Class B ordinary shares, exclusive of 9,276,039 ProKidney Class B RSRs and 17,500,000 Earnout RSRs. As noted above, an aggregate of approximately $228.7 million was paid from the Trust Account to holders that properly exercised their right to have public shares redeemed, and the remaining balance immediately prior to the Closing of approximately $21.7 million remained in the Trust Account. The remaining amount in the Trust Account was used to fund expenses incurred by SCS and ProKidney in connection with the Business Combination and will be used for general corporate purposes of New ProKidney following the Business Combination.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Prior to the Business Combination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Prior to the Business Combination, the Company had one wholly owned subsidiary, ProKidney Corp. GP Limited., which was incorporated in Dublin on June 3, 2022 (“Merger Sub”).</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activity for the period from February 25, 2021 (inception) through June 30, 2022 relates to the Company’s formation, the initial public offering (the “Initial Public Offering”), described below, and, subsequent to the Initial Public Offering, identifying a target company for a business combination and consummating the acquisition of ProKidney.</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statements for the Company’s Initial Public Offering became effective on June 29, 2021 and June 30, 2021. On July 2, 2021, the Company consummated the Initial Public Offering of 25,000,000 Class A ordinary shares (the “Public Shares”), which includes the partial exercise by the underwriters of their over-allotment option in the amount of 3,000,000 Public Shares, at $10.00 per Public Share, generating gross proceeds of $250,000,000, which is described in Note 3. The fair value attributable to the unexercised portion of the over-allotment option was deemed to be immaterial to the condensed consolidated financial statements.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consummated the sale of 640,000 Class A ordinary shares (the “Private Placement Shares”) at a price of $10.00 per Private Placement Share in a private placement to SCS Sponsor III LLC, a Cayman Islands limited liability company (the “Sponsor”), generating gross proceeds of $6,400,000, which is described in Note 4.</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Transaction costs amounted to $12,479,666, consisting of $4,400,000 of underwriting fees, $7,700,000 of deferred underwriting fees and $379,666 of other offering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FS-25</w:t>
      </w:r>
    </w:p>
    <w:p>
      <w:pPr>
        <w:sectPr>
          <w:pgSz w:w="11900" w:h="16838" w:orient="portrait"/>
          <w:cols w:equalWidth="0" w:num="1">
            <w:col w:w="11120"/>
          </w:cols>
          <w:pgMar w:left="320" w:top="482"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on July 2, 2021, an amount of $250,000,000 ($10.00 per Public Share) from the net proceeds of the sale of the Public Shares in the Initial Public Offering and the sale of the Private Placement Shares was placed in the Trust Account, and invested in U.S. government treasury bills with a maturity of 185 days or less or in money market funds investing solely in U.S. Treasuries and meeting certain conditions of Rule 2a-7 of the Investment Company Act of 1940, as amended (the “Investment Company Act”).</w:t>
      </w: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pandemic could have a negative effect on the Company’s business, financial position, results of operations and/or the search for a target company, the specific impact was not readily determinable as of the date of these condensed consolidated financial statements. The condensed consolidated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 Company had $107,546 in its operating bank account and working capital deficit of $7,301,429.</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used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with ProKidney. The Company completed its Business Combination on July 11, 2022 with ProKidney, and has raised sufficient capital for its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conformity with accounting principles generally accepted in the United States of America (“GAAP”) for interim financial information and in accordance with the instructions to Form 10-Q and Article 8 of Regulation S-X promulgated by the Securities and Exchange Commission (the “SEC”). Certain information or footnote disclosures normally included in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contained in the Company’s Annual Report on Form 10-K for the period ended December 31, 2021, filed with the SEC on March 24, 2022. The interim results for the three and six months ended June 30, 2022 are not necessarily indicative of the results to be expected for the year ending December 31, 2022 or for any future periods.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FS-26</w:t>
      </w:r>
    </w:p>
    <w:p>
      <w:pPr>
        <w:sectPr>
          <w:pgSz w:w="11900" w:h="16838" w:orient="portrait"/>
          <w:cols w:equalWidth="0" w:num="1">
            <w:col w:w="11060"/>
          </w:cols>
          <w:pgMar w:left="320" w:top="482" w:right="5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Significant accounting estimates include the determination of the fair value of Class A ordinary shares that were subject to possible redemption and the fair value of Founder Shares transferred to directors. Accordingly, the actual results could differ significantly from those estimates.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FS-27</w:t>
      </w:r>
    </w:p>
    <w:p>
      <w:pPr>
        <w:sectPr>
          <w:pgSz w:w="11900" w:h="16838" w:orient="portrait"/>
          <w:cols w:equalWidth="0" w:num="1">
            <w:col w:w="11100"/>
          </w:cols>
          <w:pgMar w:left="320" w:top="482"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8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121" w:lineRule="exact"/>
        <w:rPr>
          <w:sz w:val="20"/>
          <w:szCs w:val="20"/>
          <w:color w:val="auto"/>
        </w:rPr>
      </w:pPr>
    </w:p>
    <w:p>
      <w:pPr>
        <w:ind w:left="180" w:right="300" w:firstLine="44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substantially all of the assets held in the Trust Account were held in a money market fund which is invested primarily in U.S. Treasury securities.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21" w:lineRule="exact"/>
        <w:rPr>
          <w:sz w:val="20"/>
          <w:szCs w:val="20"/>
          <w:color w:val="auto"/>
        </w:rPr>
      </w:pPr>
    </w:p>
    <w:p>
      <w:pPr>
        <w:ind w:left="18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Financial Accounting Standards Board (“FASB”) Accounting Standards Codification (“ASC”) 480, “Distinguishing Liabilities from Equity.” Class A ordinary shares subject to mandatory redemption are classified as a liability instrument and are measured at redemption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permanent deficit.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permanent deficit section of the Company’s condensed consolidated balance sheets.</w:t>
      </w:r>
    </w:p>
    <w:p>
      <w:pPr>
        <w:spacing w:after="0" w:line="192" w:lineRule="exact"/>
        <w:rPr>
          <w:sz w:val="20"/>
          <w:szCs w:val="20"/>
          <w:color w:val="auto"/>
        </w:rPr>
      </w:pPr>
    </w:p>
    <w:p>
      <w:pPr>
        <w:ind w:left="18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value of redeemable ordinary shares are affected by charges against additional paid-in capital (to the extent available) and accumulated deficit.</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FS-28</w:t>
      </w:r>
    </w:p>
    <w:p>
      <w:pPr>
        <w:sectPr>
          <w:pgSz w:w="11900" w:h="16838" w:orient="portrait"/>
          <w:cols w:equalWidth="0" w:num="1">
            <w:col w:w="11100"/>
          </w:cols>
          <w:pgMar w:left="260" w:top="482" w:right="5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80" w:right="340" w:firstLine="44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Class A ordinary shares subject to possible redemption reflected in the condensed consolidated balance sheets are reconciled in the following table:</w:t>
      </w:r>
    </w:p>
    <w:p>
      <w:pPr>
        <w:spacing w:after="0" w:line="20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(12,479,666)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12,487,990</w:t>
            </w:r>
          </w:p>
        </w:tc>
      </w:tr>
      <w:tr>
        <w:trPr>
          <w:trHeight w:val="174"/>
        </w:trPr>
        <w:tc>
          <w:tcPr>
            <w:tcW w:w="62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250,008,324</w:t>
            </w:r>
          </w:p>
        </w:tc>
        <w:tc>
          <w:tcPr>
            <w:tcW w:w="100" w:type="dxa"/>
            <w:vAlign w:val="bottom"/>
          </w:tcPr>
          <w:p>
            <w:pPr>
              <w:spacing w:after="0"/>
              <w:rPr>
                <w:sz w:val="20"/>
                <w:szCs w:val="20"/>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Remeasurement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(8,324)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March 31, 2022</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Remeasurement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371,095</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June 30, 2022</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250,371,095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ind w:left="18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Offering costs consisted of legal, accounting, underwriting fees and other costs incurred through the Initial Public Offering that were directly related to the Initial Public Offering. The Company incurred offering costs amounting to $12,479,666 as a result of the Initial Public Offering, consisting of $4,400,000 of underwriting commissions, $7,700,000 of deferred underwriting commissions, and $379,666 of other offering costs. As the shares sold in the IPO are redeemable, the offering costs were charged to temporary equity and additional paid-in capital upon the completion of the Initial Public Offering. Immediately thereafter, temporary equity was remeasured, and an adjustment was recognized through additional paid in capital and accumulated deficit to adjust temporary equity to the redemption value.</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Arrangements</w:t>
      </w:r>
    </w:p>
    <w:p>
      <w:pPr>
        <w:spacing w:after="0" w:line="121" w:lineRule="exact"/>
        <w:rPr>
          <w:sz w:val="20"/>
          <w:szCs w:val="20"/>
          <w:color w:val="auto"/>
        </w:rPr>
      </w:pPr>
    </w:p>
    <w:p>
      <w:pPr>
        <w:ind w:left="18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accounts for stock awards in accordance with ASC 718, “Compensation—Stock Compensation,” which requires that all equity awards be accounted for at their “fair value.” Fair value is measured on the grant date and is equal to the underlying value of the stock.</w:t>
      </w:r>
    </w:p>
    <w:p>
      <w:pPr>
        <w:spacing w:after="0" w:line="135" w:lineRule="exact"/>
        <w:rPr>
          <w:sz w:val="20"/>
          <w:szCs w:val="20"/>
          <w:color w:val="auto"/>
        </w:rPr>
      </w:pPr>
    </w:p>
    <w:p>
      <w:pPr>
        <w:ind w:left="180" w:firstLine="440"/>
        <w:spacing w:after="0" w:line="258" w:lineRule="auto"/>
        <w:rPr>
          <w:sz w:val="20"/>
          <w:szCs w:val="20"/>
          <w:color w:val="auto"/>
        </w:rPr>
      </w:pPr>
      <w:r>
        <w:rPr>
          <w:rFonts w:ascii="Times New Roman" w:cs="Times New Roman" w:eastAsia="Times New Roman" w:hAnsi="Times New Roman"/>
          <w:sz w:val="18"/>
          <w:szCs w:val="18"/>
          <w:color w:val="auto"/>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FS-29</w:t>
      </w:r>
    </w:p>
    <w:p>
      <w:pPr>
        <w:sectPr>
          <w:pgSz w:w="11900" w:h="16838" w:orient="portrait"/>
          <w:cols w:equalWidth="0" w:num="1">
            <w:col w:w="11140"/>
          </w:cols>
          <w:pgMar w:left="260" w:top="482"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condensed consolidated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5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condensed consolidated financial statements and prescribes a recognition threshold and measurement process for condensed consolidated financial statement recognition and measurement of a tax position taken or expected to be taken in a tax return. For those benefits to be recognized, a tax position must be more-likely-than-not to be sustained upon examination by taxing authorities. The Company’s management has determined that the Cayman Islands is the Company’s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 The Company has been subject to income tax examinations by major taxing authorities since inception.</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and is presently not subject to income taxes or income tax filing requirements in the Cayman Islands or the United States. As such, the Company’s tax provision was zero for the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weighted-average number of ordinary shares outstanding during the period. The Company has two classes of ordinary shares, which are referred to as Class A ordinary shares and Class B ordinary shares. Losses are shared pro rata between the two classes of shares. Charges associated with the redeemable Class A ordinary shares are excluded from net loss per ordinary share as the redemption value approximates fair value.</w:t>
      </w:r>
    </w:p>
    <w:p>
      <w:pPr>
        <w:spacing w:after="0" w:line="13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and 2021,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FS-30</w:t>
      </w:r>
    </w:p>
    <w:p>
      <w:pPr>
        <w:sectPr>
          <w:pgSz w:w="11900" w:h="16838" w:orient="portrait"/>
          <w:cols w:equalWidth="0" w:num="1">
            <w:col w:w="11120"/>
          </w:cols>
          <w:pgMar w:left="320" w:top="482"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the calculation of basic and diluted net loss per ordinary share (in dollars, except per share amounts):</w:t>
      </w:r>
    </w:p>
    <w:p>
      <w:pPr>
        <w:sectPr>
          <w:pgSz w:w="11900" w:h="16838" w:orient="portrait"/>
          <w:cols w:equalWidth="0" w:num="1">
            <w:col w:w="11180"/>
          </w:cols>
          <w:pgMar w:left="26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Basic and diluted net loss per ordinary share</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Numerator:</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Allocation of net loss, as adjusted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Denominator:</w:t>
      </w:r>
    </w:p>
    <w:p>
      <w:pPr>
        <w:spacing w:after="0" w:line="19" w:lineRule="exact"/>
        <w:rPr>
          <w:sz w:val="20"/>
          <w:szCs w:val="20"/>
          <w:color w:val="auto"/>
        </w:rPr>
      </w:pPr>
    </w:p>
    <w:p>
      <w:pPr>
        <w:ind w:left="340" w:right="240" w:hanging="161"/>
        <w:spacing w:after="0" w:line="264" w:lineRule="auto"/>
        <w:rPr>
          <w:sz w:val="20"/>
          <w:szCs w:val="20"/>
          <w:color w:val="auto"/>
        </w:rPr>
      </w:pPr>
      <w:r>
        <w:rPr>
          <w:rFonts w:ascii="Times New Roman" w:cs="Times New Roman" w:eastAsia="Times New Roman" w:hAnsi="Times New Roman"/>
          <w:sz w:val="16"/>
          <w:szCs w:val="16"/>
          <w:color w:val="auto"/>
        </w:rPr>
        <w:t>Basic and diluted weighted average shares outstanding</w:t>
      </w:r>
    </w:p>
    <w:p>
      <w:pPr>
        <w:ind w:left="180"/>
        <w:spacing w:after="0"/>
        <w:rPr>
          <w:sz w:val="20"/>
          <w:szCs w:val="20"/>
          <w:color w:val="auto"/>
        </w:rPr>
      </w:pPr>
      <w:r>
        <w:rPr>
          <w:rFonts w:ascii="Times New Roman" w:cs="Times New Roman" w:eastAsia="Times New Roman" w:hAnsi="Times New Roman"/>
          <w:sz w:val="16"/>
          <w:szCs w:val="16"/>
          <w:color w:val="auto"/>
        </w:rPr>
        <w:t>Basic and diluted net loss per ordinary share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January 20,</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720" w:type="dxa"/>
            <w:vAlign w:val="bottom"/>
            <w:gridSpan w:val="10"/>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3"/>
          </w:tcPr>
          <w:p>
            <w:pPr>
              <w:jc w:val="center"/>
              <w:ind w:right="161"/>
              <w:spacing w:after="0" w:line="160"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880" w:type="dxa"/>
            <w:vAlign w:val="bottom"/>
            <w:gridSpan w:val="2"/>
          </w:tcPr>
          <w:p>
            <w:pPr>
              <w:jc w:val="center"/>
              <w:ind w:left="265"/>
              <w:spacing w:after="0" w:line="160"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10"/>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880" w:type="dxa"/>
            <w:vAlign w:val="bottom"/>
            <w:gridSpan w:val="2"/>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left="5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2"/>
                <w:szCs w:val="12"/>
                <w:color w:val="auto"/>
              </w:rPr>
            </w:pPr>
          </w:p>
        </w:tc>
        <w:tc>
          <w:tcPr>
            <w:tcW w:w="4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86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609"/>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(1,825,123)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(444,891)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(5,025,922)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(1,225,117)</w:t>
            </w:r>
          </w:p>
        </w:tc>
        <w:tc>
          <w:tcPr>
            <w:tcW w:w="1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0" w:type="dxa"/>
            <w:vAlign w:val="bottom"/>
          </w:tcPr>
          <w:p>
            <w:pPr>
              <w:spacing w:after="0"/>
              <w:rPr>
                <w:sz w:val="1"/>
                <w:szCs w:val="1"/>
                <w:color w:val="auto"/>
              </w:rPr>
            </w:pPr>
          </w:p>
        </w:tc>
      </w:tr>
      <w:tr>
        <w:trPr>
          <w:trHeight w:val="600"/>
        </w:trPr>
        <w:tc>
          <w:tcPr>
            <w:tcW w:w="8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7"/>
              </w:rPr>
              <w:t>25,640,000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6,250,000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5,500,000</w:t>
            </w:r>
          </w:p>
        </w:tc>
        <w:tc>
          <w:tcPr>
            <w:tcW w:w="180" w:type="dxa"/>
            <w:vAlign w:val="bottom"/>
          </w:tcPr>
          <w:p>
            <w:pPr>
              <w:spacing w:after="0"/>
              <w:rPr>
                <w:sz w:val="24"/>
                <w:szCs w:val="24"/>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25,640,000</w:t>
            </w:r>
          </w:p>
        </w:tc>
        <w:tc>
          <w:tcPr>
            <w:tcW w:w="18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6,250,000</w:t>
            </w:r>
          </w:p>
        </w:tc>
        <w:tc>
          <w:tcPr>
            <w:tcW w:w="180" w:type="dxa"/>
            <w:vAlign w:val="bottom"/>
          </w:tcPr>
          <w:p>
            <w:pPr>
              <w:spacing w:after="0"/>
              <w:rPr>
                <w:sz w:val="24"/>
                <w:szCs w:val="24"/>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5,500,000</w:t>
            </w:r>
          </w:p>
        </w:tc>
        <w:tc>
          <w:tcPr>
            <w:tcW w:w="0" w:type="dxa"/>
            <w:vAlign w:val="bottom"/>
          </w:tcPr>
          <w:p>
            <w:pPr>
              <w:spacing w:after="0"/>
              <w:rPr>
                <w:sz w:val="1"/>
                <w:szCs w:val="1"/>
                <w:color w:val="auto"/>
              </w:rPr>
            </w:pPr>
          </w:p>
        </w:tc>
      </w:tr>
      <w:tr>
        <w:trPr>
          <w:trHeight w:val="210"/>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(0.07)</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(0.20)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(0.20)</w:t>
            </w:r>
          </w:p>
        </w:tc>
        <w:tc>
          <w:tcPr>
            <w:tcW w:w="1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-913130</wp:posOffset>
            </wp:positionV>
            <wp:extent cx="699516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-655955</wp:posOffset>
            </wp:positionV>
            <wp:extent cx="699516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-398780</wp:posOffset>
            </wp:positionV>
            <wp:extent cx="6995160" cy="2571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00"/>
          </w:cols>
          <w:pgMar w:left="260" w:top="482" w:right="459" w:bottom="1440" w:gutter="0" w:footer="0" w:header="0"/>
          <w:type w:val="continuous"/>
        </w:sectPr>
      </w:pP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8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w:t>
      </w: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80" w:right="10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(“ASC 820”), approximates the carrying amounts represented in the accompanying condensed consolidated balance sheets, primarily due to their short-term nature.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80" w:right="200" w:firstLine="4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condensed consolidated financial statements.</w:t>
      </w:r>
    </w:p>
    <w:p>
      <w:pPr>
        <w:spacing w:after="0" w:line="189" w:lineRule="exact"/>
        <w:rPr>
          <w:sz w:val="20"/>
          <w:szCs w:val="20"/>
          <w:color w:val="auto"/>
        </w:rPr>
      </w:pPr>
    </w:p>
    <w:p>
      <w:pPr>
        <w:ind w:left="180" w:right="34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FS-31</w:t>
      </w:r>
    </w:p>
    <w:p>
      <w:pPr>
        <w:sectPr>
          <w:pgSz w:w="11900" w:h="16838" w:orient="portrait"/>
          <w:cols w:equalWidth="0" w:num="1">
            <w:col w:w="11180"/>
          </w:cols>
          <w:pgMar w:left="260" w:top="482" w:right="459" w:bottom="144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180" w:right="280" w:firstLine="440"/>
        <w:spacing w:after="0" w:line="261" w:lineRule="auto"/>
        <w:rPr>
          <w:sz w:val="20"/>
          <w:szCs w:val="20"/>
          <w:color w:val="auto"/>
        </w:rPr>
      </w:pPr>
      <w:r>
        <w:rPr>
          <w:rFonts w:ascii="Times New Roman" w:cs="Times New Roman" w:eastAsia="Times New Roman" w:hAnsi="Times New Roman"/>
          <w:sz w:val="18"/>
          <w:szCs w:val="18"/>
          <w:color w:val="auto"/>
        </w:rPr>
        <w:t>At June 30, 2022, accrued expenses included $5,712,109 of legal expense, $665,684 of printing expense, $529,688 of due diligence expense, $124,950 of professional fee expense, $70,000 of regulatory fee expense and $500,606 of consulting expense, of which $5,500,000 of legal expense, $500,606 of consulting expense, $665,684 of printing expense, $118,450 of accounting fee and $529,688 due diligence expenses were incurred in connection with the Business Combination with ProKidney.</w:t>
      </w:r>
    </w:p>
    <w:p>
      <w:pPr>
        <w:spacing w:after="0" w:line="180" w:lineRule="exact"/>
        <w:rPr>
          <w:sz w:val="20"/>
          <w:szCs w:val="20"/>
          <w:color w:val="auto"/>
        </w:rPr>
      </w:pPr>
    </w:p>
    <w:p>
      <w:pPr>
        <w:ind w:left="180" w:right="18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2021, accrued expenses included $1,506,528 of legal expense, $5,000 of printing expense, $282,500 of due diligence expense, $70,000 of regulatory filing fee and $770 of accounting expense.</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8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the Initial Public Offering, the Company sold 25,000,000 Public Shares, which included a partial exercise by the underwriters of their over-allotment option in the amount of 3,000,000 Public Shares, at a price of $10.00 per Public Share. Unlike some other initial public offerings of special purpose acquisition companies, investors in the Initial Public Offering did not receive any warrants (which would typically become exercisable following completion of the Business Combination). The fair value attributable to the unexercised portion of the over-allotment option was deemed to be immaterial to the condensed consolidated financial statements.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80" w:right="60" w:firstLine="440"/>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Sponsor purchased 640,000 Private Placement Shares at a price of $10.00 per Private Placement Share, for an aggregate purchase price of $6,400,000. Each Private Placement Share was identical to the Class A ordinary shares sold in the Initial Public Offering, subject to certain limited exceptions as described in Note 7. A portion of the proceeds from the sale of the Private Placement Shares was added to the net proceeds from the Initial Public Offering held in the Trust Account. If the Company did not complete a Business Combination within the Combination Period or during any applicable extension period, the proceeds from the sale of the Private Placement Shares held in the Trust Account would be used to fund the redemption of the Public Shares (subject to the requirements of applicable law) and the Private Placement Shares would be worthless.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80" w:firstLine="440"/>
        <w:spacing w:after="0" w:line="270" w:lineRule="auto"/>
        <w:rPr>
          <w:sz w:val="20"/>
          <w:szCs w:val="20"/>
          <w:color w:val="auto"/>
        </w:rPr>
      </w:pPr>
      <w:r>
        <w:rPr>
          <w:rFonts w:ascii="Times New Roman" w:cs="Times New Roman" w:eastAsia="Times New Roman" w:hAnsi="Times New Roman"/>
          <w:sz w:val="17"/>
          <w:szCs w:val="17"/>
          <w:color w:val="auto"/>
        </w:rPr>
        <w:t>On March 2, 2021, the Sponsor paid $25,000 to cover certain offering and formation costs of the Company in consideration for which the Sponsor received 5,750,000 Class B ordinary shares (the “Founder Shares”). On June 29, 2021, the Company effected a share capitalization with respect to its Class B ordinary shares of 575,000 shares thereof, resulting in the Company’s initial shareholders holding an aggregate of 6,325,000 Founder Shares. All share and per-share amounts have been retroactively restated to reflect the share capitalization. The Founder Shares included an aggregate of up</w:t>
      </w:r>
    </w:p>
    <w:p>
      <w:pPr>
        <w:spacing w:after="0" w:line="3" w:lineRule="exact"/>
        <w:rPr>
          <w:sz w:val="20"/>
          <w:szCs w:val="20"/>
          <w:color w:val="auto"/>
        </w:rPr>
      </w:pPr>
    </w:p>
    <w:p>
      <w:pPr>
        <w:ind w:left="180" w:right="120"/>
        <w:spacing w:after="0" w:line="255" w:lineRule="auto"/>
        <w:rPr>
          <w:sz w:val="20"/>
          <w:szCs w:val="20"/>
          <w:color w:val="auto"/>
        </w:rPr>
      </w:pPr>
      <w:r>
        <w:rPr>
          <w:rFonts w:ascii="Times New Roman" w:cs="Times New Roman" w:eastAsia="Times New Roman" w:hAnsi="Times New Roman"/>
          <w:sz w:val="18"/>
          <w:szCs w:val="18"/>
          <w:color w:val="auto"/>
        </w:rPr>
        <w:t>to 825,000 shares that were subject to forfeiture depending on the extent to which the underwriters’ over-allotment option was exercised. As a result of the underwriters’ election to partially exercise their over-allotment option, a total of 750,000 Founder Shares were no longer subject to forfeiture and 75,000 Founder Shares were forfeited, resulting in an aggregate of 6,250,000 Founder Shares outstanding.</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FS-32</w:t>
      </w:r>
    </w:p>
    <w:p>
      <w:pPr>
        <w:sectPr>
          <w:pgSz w:w="11900" w:h="16838" w:orient="portrait"/>
          <w:cols w:equalWidth="0" w:num="1">
            <w:col w:w="11160"/>
          </w:cols>
          <w:pgMar w:left="260" w:top="482"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80" w:firstLine="440"/>
        <w:spacing w:after="0" w:line="253" w:lineRule="auto"/>
        <w:rPr>
          <w:sz w:val="20"/>
          <w:szCs w:val="20"/>
          <w:color w:val="auto"/>
        </w:rPr>
      </w:pPr>
      <w:r>
        <w:rPr>
          <w:rFonts w:ascii="Times New Roman" w:cs="Times New Roman" w:eastAsia="Times New Roman" w:hAnsi="Times New Roman"/>
          <w:sz w:val="18"/>
          <w:szCs w:val="18"/>
          <w:color w:val="auto"/>
        </w:rPr>
        <w:t>In June 2021, the Sponsor transferred 30,000 Founder Shares to Marc Semigran, an independent director of the Company. The sale of the Founder Shares to the Company’s director is in the scope of FASB ASC Topic 718, “Compensation-Stock Compensation” (“ASC 718”). Under ASC 718, stock-based compensation associated with equity-classified awards is measured at fair value upon the grant date. The fair value of the 30,000 shares granted to the Company’s director was $214,160 or approximately $7.14 per share. The Founder Shares were effectively sold subject to a performance condition (i.e., the occurrence of a Business Combination). Compensation expense related to the Founder Shares is recognized only when the performance condition is probable of occurrence under the applicable accounting literature in this circumstance. As of June 30, 2022, the Company determined that a Business Combination was not considered probable, and, therefore, no stock-based compensation expense has been recognized. Stock-based compensation would be recognized at the date a Business Combination would be considered probable (i.e., upon consummation of a Business Combination) in an amount equal to the number of Founder Shares times the grant date fair value per share (unless subsequently modified) less the amount initially received for the purchase of the Founder Shares.</w:t>
      </w:r>
    </w:p>
    <w:p>
      <w:pPr>
        <w:spacing w:after="0" w:line="194" w:lineRule="exact"/>
        <w:rPr>
          <w:sz w:val="20"/>
          <w:szCs w:val="20"/>
          <w:color w:val="auto"/>
        </w:rPr>
      </w:pPr>
    </w:p>
    <w:p>
      <w:pPr>
        <w:ind w:left="180" w:right="40" w:firstLine="440"/>
        <w:spacing w:after="0" w:line="255"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subject to limited exceptions, not to transfer, assign or sell any of their Founder Shares until the earlier of: (A) one year after the completion of a Business Combination and (B) subsequent to a Business Combination, (x) if the last reported sale price of the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Public Shareholders having the right to exchange their Class A ordinary shares for cash, securities or other property.</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8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in which it would pay an affiliate of the Sponsor $10,000 per month, commencing on June 30, 2021, for office space, administrative and support services. For the three and six months ended June 30, 2022, the Company incurred $30,000 and $60,000, respectively, in fees for these services, of which is included in amounts due to related party in the accompanying condensed consolidated balance sheet. For the three months ended June 30, 2021 and for the period from February 25, 2021 (inception) through June 30, 2021, the Company did not incur any fees for these services. Upon completion of the Business Combination, the Company ceased paying these monthly fees.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w:t>
      </w:r>
    </w:p>
    <w:p>
      <w:pPr>
        <w:spacing w:after="0" w:line="121" w:lineRule="exact"/>
        <w:rPr>
          <w:sz w:val="20"/>
          <w:szCs w:val="20"/>
          <w:color w:val="auto"/>
        </w:rPr>
      </w:pPr>
    </w:p>
    <w:p>
      <w:pPr>
        <w:ind w:left="180" w:right="200" w:firstLine="44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an affiliate of the Sponsor advanced the Company $37,064 and $70,687, respectively, for working capital purposes. No repayments of these amounts were made during the three and six months ended June 30, 2022. During the three and six months ended June 30, 2021, the affiliate of the Sponsor advanced the Company $25,643, of which such amount was repaid on July 7, 2021. As of June 30, 2022, and December 31, 2021, the outstanding balance under the advances amounted to $80,687 and $10,000 respectively.</w:t>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Note—Related Party</w:t>
      </w:r>
    </w:p>
    <w:p>
      <w:pPr>
        <w:spacing w:after="0" w:line="121" w:lineRule="exact"/>
        <w:rPr>
          <w:sz w:val="20"/>
          <w:szCs w:val="20"/>
          <w:color w:val="auto"/>
        </w:rPr>
      </w:pPr>
    </w:p>
    <w:p>
      <w:pPr>
        <w:ind w:left="180" w:right="420" w:firstLine="440"/>
        <w:spacing w:after="0" w:line="282" w:lineRule="auto"/>
        <w:rPr>
          <w:sz w:val="20"/>
          <w:szCs w:val="20"/>
          <w:color w:val="auto"/>
        </w:rPr>
      </w:pPr>
      <w:r>
        <w:rPr>
          <w:rFonts w:ascii="Times New Roman" w:cs="Times New Roman" w:eastAsia="Times New Roman" w:hAnsi="Times New Roman"/>
          <w:sz w:val="18"/>
          <w:szCs w:val="18"/>
          <w:color w:val="auto"/>
        </w:rPr>
        <w:t>On March 2, 2021, the Company issued an unsecured promissory note to the Sponsor (the “Pre-IPO Sponsor Promissory Note”), pursuant to which the Company could borrow up to an aggregate principal amount of</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FS-33</w:t>
      </w:r>
    </w:p>
    <w:p>
      <w:pPr>
        <w:sectPr>
          <w:pgSz w:w="11900" w:h="16838" w:orient="portrait"/>
          <w:cols w:equalWidth="0" w:num="1">
            <w:col w:w="11160"/>
          </w:cols>
          <w:pgMar w:left="260" w:top="482"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left="180" w:right="140"/>
        <w:spacing w:after="0" w:line="266" w:lineRule="auto"/>
        <w:rPr>
          <w:sz w:val="20"/>
          <w:szCs w:val="20"/>
          <w:color w:val="auto"/>
        </w:rPr>
      </w:pPr>
      <w:r>
        <w:rPr>
          <w:rFonts w:ascii="Times New Roman" w:cs="Times New Roman" w:eastAsia="Times New Roman" w:hAnsi="Times New Roman"/>
          <w:sz w:val="18"/>
          <w:szCs w:val="18"/>
          <w:color w:val="auto"/>
        </w:rPr>
        <w:t>$300,000. The Pre-IPO Sponsor Promissory Note was non-interest bearing and payable on the earlier of December 31, 2021 and the completion of the Initial Public Offering. The outstanding balance under the Pre-IPO Sponsor Promissory Note of $300,000 was repaid at the closing of the Initial Public Offering on July 2, 2021. Borrowings are no longer available under the Pre-IPO Sponsor Promissory Note.</w:t>
      </w:r>
    </w:p>
    <w:p>
      <w:pPr>
        <w:spacing w:after="0" w:line="176" w:lineRule="exact"/>
        <w:rPr>
          <w:sz w:val="20"/>
          <w:szCs w:val="20"/>
          <w:color w:val="auto"/>
        </w:rPr>
      </w:pPr>
    </w:p>
    <w:p>
      <w:pPr>
        <w:ind w:left="180" w:firstLine="440"/>
        <w:spacing w:after="0" w:line="255" w:lineRule="auto"/>
        <w:rPr>
          <w:sz w:val="20"/>
          <w:szCs w:val="20"/>
          <w:color w:val="auto"/>
        </w:rPr>
      </w:pPr>
      <w:r>
        <w:rPr>
          <w:rFonts w:ascii="Times New Roman" w:cs="Times New Roman" w:eastAsia="Times New Roman" w:hAnsi="Times New Roman"/>
          <w:sz w:val="18"/>
          <w:szCs w:val="18"/>
          <w:color w:val="auto"/>
        </w:rPr>
        <w:t>On April 20, 2022, the Company issued an unsecured promissory note (the “Promissory Note”) to the Sponsor pursuant to which the Company could borrow up to an aggregate principal amount of $1,500,000. The Promissory Note was non-interest bearing, unsecured and payable upon the earlier of July 2, 2023 and the effective date of the Company’s Business Combination. The Promissory Note was subject to customary events of default which could, subject to certain conditions, cause the Promissory Notes to become immediately due and payable. On April 26, 2022, the Company</w:t>
      </w:r>
    </w:p>
    <w:p>
      <w:pPr>
        <w:spacing w:after="0" w:line="3" w:lineRule="exact"/>
        <w:rPr>
          <w:sz w:val="20"/>
          <w:szCs w:val="20"/>
          <w:color w:val="auto"/>
        </w:rPr>
      </w:pPr>
    </w:p>
    <w:p>
      <w:pPr>
        <w:ind w:left="180" w:right="220"/>
        <w:spacing w:after="0" w:line="260" w:lineRule="auto"/>
        <w:rPr>
          <w:sz w:val="20"/>
          <w:szCs w:val="20"/>
          <w:color w:val="auto"/>
        </w:rPr>
      </w:pPr>
      <w:r>
        <w:rPr>
          <w:rFonts w:ascii="Times New Roman" w:cs="Times New Roman" w:eastAsia="Times New Roman" w:hAnsi="Times New Roman"/>
          <w:sz w:val="18"/>
          <w:szCs w:val="18"/>
          <w:color w:val="auto"/>
        </w:rPr>
        <w:t>drew $250,000 under the Promissory Note. As of June 30, 2022, there was $250,000 outstanding under the Promissory Note and the amount was paid off at the closing of the Business Combination.</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ind w:left="18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was a party to agreements with certain vendors that provide for fees that are contingent upon the consummation of a Business Combination in an aggregate amount of approximately $13.4 million, excluding the deferred underwriting fee discussed below. The Company was also required to pay certain fees and expenses of such vendors regardless of whether or not a Business Combination is consummated.</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8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June 29, 2021, the holders of the Founder Shares, Private Placement Shares and any Private Placement Shares that could be issued on conversion of any Class A ordinary shares issuable upon the conversion of the Founder Shares) were entitled to registration rights requiring the Company to register such securities for resale (in the case of the Founder Shares, only after conversion to the Class A ordinary shares). The holders of these securities would be entitled to make up to three demands, excluding short form registration demands, that the Company register such securities. In addition, the holders had certain “piggy-back” registration rights with respect to registration statements filed subsequent to the completion of a Business Combination and rights to require the Company to register for resale such securities pursuant to Rule 415 under the Securities Act. The Company would bear the expenses incurred in connection with the filing of any such registration statements. At the closing of the Business Combination, the Company entered into an Amended and Restated Registration Rights Agreement, with the Sponsor, the Company’s directors and the Closing ProKidney unitholders, which replaced the existing registration rights agreement.</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Legal Matters</w:t>
      </w:r>
    </w:p>
    <w:p>
      <w:pPr>
        <w:spacing w:after="0" w:line="121" w:lineRule="exact"/>
        <w:rPr>
          <w:sz w:val="20"/>
          <w:szCs w:val="20"/>
          <w:color w:val="auto"/>
        </w:rPr>
      </w:pPr>
    </w:p>
    <w:p>
      <w:pPr>
        <w:ind w:left="18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purported shareholders of the Company sent demand letters (the “Demands”) alleging deficiencies and/or omissions in the preliminary proxy statement on Schedule 14A filed by the Company with the SEC on February 14, 2022. The Demands seek additional disclosures to remedy these purported deficiencies. The Company believes that the allegations in the Demands are meritless.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80" w:right="8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were entitled to a deferred underwriting commission of $7,700,000 in the aggregate. The deferred fee was paid to the underwriters at the closing of the Business Combination on July 11,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FS-34</w:t>
      </w:r>
    </w:p>
    <w:p>
      <w:pPr>
        <w:sectPr>
          <w:pgSz w:w="11900" w:h="16838" w:orient="portrait"/>
          <w:cols w:equalWidth="0" w:num="1">
            <w:col w:w="11180"/>
          </w:cols>
          <w:pgMar w:left="260" w:top="482"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September 2021, pursuant to a Director Restricted Stock Unit Award Agreement, dated September 24, 2021, between the Company and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Uma Sinha, the Company agreed to grant 30,000 restricted stock units (“RSUs”) to Dr. Sinha, which grant was contingent on both the consummation of</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Business Combination and a shareholder approved equity plan. The RSUs were to vest upon the consummation of such Business Combination and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represent 30,000 Class A ordinary shares of the Company that will settle on a date determined in the sole discretion of the Company that shall occur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between the vesting date and March 15 of the year following the year in which vesting occurs.</w:t>
      </w:r>
    </w:p>
    <w:p>
      <w:pPr>
        <w:spacing w:after="0" w:line="207" w:lineRule="exact"/>
        <w:rPr>
          <w:sz w:val="20"/>
          <w:szCs w:val="20"/>
          <w:color w:val="auto"/>
        </w:rPr>
      </w:pPr>
    </w:p>
    <w:p>
      <w:pPr>
        <w:ind w:left="180" w:right="20" w:firstLine="440"/>
        <w:spacing w:after="0" w:line="255" w:lineRule="auto"/>
        <w:rPr>
          <w:sz w:val="20"/>
          <w:szCs w:val="20"/>
          <w:color w:val="auto"/>
        </w:rPr>
      </w:pPr>
      <w:r>
        <w:rPr>
          <w:rFonts w:ascii="Times New Roman" w:cs="Times New Roman" w:eastAsia="Times New Roman" w:hAnsi="Times New Roman"/>
          <w:sz w:val="18"/>
          <w:szCs w:val="18"/>
          <w:color w:val="auto"/>
        </w:rPr>
        <w:t>The RSUs granted by the Company are in the scope of ASC 718. Under ASC 718, stock-based compensation associated with equity-classified awards is measured at fair value upon the grant date. The RSUs granted were subject to a performance condition (i.e., the occurrence of a Business Combination). Compensation expense related to the RSUs is recognized only when the performance condition is probable of occurrence under the applicable accounting literature in this circumstance. As of June 30, 2022, the Company did not have a shareholder approved equity plan and also determined that a Business Combination was not considered probable, and, therefore, no stock-based compensation expense has been recognized. Stock-based compensation was recognized at the date a Business Combination was considered probable (i.e., upon consummation of a Business Combination) in an amount equal to the number of RSUs times the grant date fair value per share (unless subsequently modified).</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7. TEMPORARY EQUITY AND PERMANENT DEFICIT</w:t>
      </w:r>
    </w:p>
    <w:p>
      <w:pPr>
        <w:spacing w:after="0" w:line="117" w:lineRule="exact"/>
        <w:rPr>
          <w:sz w:val="20"/>
          <w:szCs w:val="20"/>
          <w:color w:val="auto"/>
        </w:rPr>
      </w:pPr>
    </w:p>
    <w:p>
      <w:pPr>
        <w:ind w:lef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5,000,000 preference shares, with a par value of $0.0001 per share.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will be authorized to fix the voting rights, if any, designations, powers, preferences, the relative, participating, optional or other special rights and any qualifications, limitations and restrictions thereof, applicable to the shares of each series. The Company’s board of directors will be able to, without shareholder approval, issue preference shares with voting and other rights that could adversely affect the voting power and other rights of the holders of the Company’s ordinary shares and could have anti-takeover effects. At June 30, 2022 and December 31, 2021, there were no preference shares issued or outstanding.</w:t>
      </w:r>
    </w:p>
    <w:p>
      <w:pPr>
        <w:spacing w:after="0" w:line="182" w:lineRule="exact"/>
        <w:rPr>
          <w:sz w:val="20"/>
          <w:szCs w:val="20"/>
          <w:color w:val="auto"/>
        </w:rPr>
      </w:pPr>
    </w:p>
    <w:p>
      <w:pPr>
        <w:ind w:left="18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—The Company is authorized to issue 500,000,000 Class A ordinary shares, with a par value of $0.0001 per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and December 31, 2021, there were 640,000 Class A ordinary shares issued and outstanding, excluding 25,000,000 Class A ordinary shares subject to possible redemption which are presented as temporary equity.</w:t>
      </w:r>
    </w:p>
    <w:p>
      <w:pPr>
        <w:spacing w:after="0" w:line="171" w:lineRule="exact"/>
        <w:rPr>
          <w:sz w:val="20"/>
          <w:szCs w:val="20"/>
          <w:color w:val="auto"/>
        </w:rPr>
      </w:pPr>
    </w:p>
    <w:p>
      <w:pPr>
        <w:ind w:left="18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—As of June 30, 2022, the Company was authorized to issue 50,000,000 Class B ordinary shares,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At June 30, 2022 and December 31, 2021, there were 6,250,000 Class B ordinary shares issued and outstanding.</w:t>
      </w:r>
    </w:p>
    <w:p>
      <w:pPr>
        <w:spacing w:after="0" w:line="159" w:lineRule="exact"/>
        <w:rPr>
          <w:sz w:val="20"/>
          <w:szCs w:val="20"/>
          <w:color w:val="auto"/>
        </w:rPr>
      </w:pPr>
    </w:p>
    <w:p>
      <w:pPr>
        <w:ind w:left="180" w:right="120" w:firstLine="440"/>
        <w:spacing w:after="0" w:line="261" w:lineRule="auto"/>
        <w:rPr>
          <w:sz w:val="20"/>
          <w:szCs w:val="20"/>
          <w:color w:val="auto"/>
        </w:rPr>
      </w:pPr>
      <w:r>
        <w:rPr>
          <w:rFonts w:ascii="Times New Roman" w:cs="Times New Roman" w:eastAsia="Times New Roman" w:hAnsi="Times New Roman"/>
          <w:sz w:val="18"/>
          <w:szCs w:val="18"/>
          <w:color w:val="auto"/>
        </w:rPr>
        <w:t>Holders of record of Class A ordinary shares and Class B ordinary shares are entitled to one vote for each share held on all matters to be voted on by shareholders and vote together as a single class, except as required by law; provided that prior to a Business Combination, holders of Class B ordinary shares had the right to appoint all of the Company’s directors and remove members of its board of directors for any reason, and holders of Class A ordinary shares were not entitled to vote on the appointment of directors during such time.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FS-35</w:t>
      </w:r>
    </w:p>
    <w:p>
      <w:pPr>
        <w:sectPr>
          <w:pgSz w:w="11900" w:h="16838" w:orient="portrait"/>
          <w:cols w:equalWidth="0" w:num="1">
            <w:col w:w="11200"/>
          </w:cols>
          <w:pgMar w:left="260" w:top="482"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80" w:firstLine="440"/>
        <w:spacing w:after="0" w:line="253" w:lineRule="auto"/>
        <w:rPr>
          <w:sz w:val="20"/>
          <w:szCs w:val="20"/>
          <w:color w:val="auto"/>
        </w:rPr>
      </w:pPr>
      <w:r>
        <w:rPr>
          <w:rFonts w:ascii="Times New Roman" w:cs="Times New Roman" w:eastAsia="Times New Roman" w:hAnsi="Times New Roman"/>
          <w:sz w:val="18"/>
          <w:szCs w:val="18"/>
          <w:color w:val="auto"/>
        </w:rPr>
        <w:t>The Class B ordinary shares automatically converted into Class A ordinary shares at the time of the Business Combination, or earlier at the option of the holder, on a one-for-one basis, subject to adjustment for share sub-divisions, share dividends, rights issuances, consolidations, reorganizations, recapitalizations and the like. Additionally, in the event that additional (in excess of the amounts issued in the Initial Public Offering) Class A ordinary shares, or equity-linked securities, were issued or deemed issued in connection with the closing of the Business Combination, the ratio at which the Class B ordinary shares would convert into Class A ordinary shares would be adjusted (unless the holders of a majority of the issued and outstanding Class B ordinary shares agreed to waive such anti-dilution adjustment with respect to any such issuance or deemed issuance) so that the number of Class A ordinary shares issuable upon conversion of all Class B ordinary shares would equal, in the aggregate, 20% of the sum of the total number of Class A ordinary shares outstanding after such conversion (after giving effect to any redemptions of Class A ordinary shares by Public Shareholders, and excluding the Private Placement Shares), including any Class A ordinary shares issued or deemed issued, or issuable upon the conversion or exercise of any equity-linked securities or rights issued or deemed issued, by the Company in connection with the Business Combination, excluding any Class A ordinary shares or equity-linked securities exercisable for or convertible into Class A ordinary shares issued, or to be issued, to any seller in the Business Combination and any private placement shares issued to the Sponsor or its affiliates upon conversion of Working Capital Loans; provided that such conversion of Class B ordinary shares would never occur on a less than one-for-one-basis.</w:t>
      </w:r>
    </w:p>
    <w:p>
      <w:pPr>
        <w:spacing w:after="0" w:line="183" w:lineRule="exact"/>
        <w:rPr>
          <w:sz w:val="20"/>
          <w:szCs w:val="20"/>
          <w:color w:val="auto"/>
        </w:rPr>
      </w:pPr>
    </w:p>
    <w:p>
      <w:pPr>
        <w:ind w:left="18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Private Placement Shares</w:t>
      </w:r>
      <w:r>
        <w:rPr>
          <w:rFonts w:ascii="Times New Roman" w:cs="Times New Roman" w:eastAsia="Times New Roman" w:hAnsi="Times New Roman"/>
          <w:sz w:val="18"/>
          <w:szCs w:val="18"/>
          <w:color w:val="auto"/>
        </w:rPr>
        <w:t>—The Private Placement Shares are not transferable, assignable, or salable until 30 days after the completion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(except, among other limited exceptions, to the Company’s directors and officers and other persons or entities affiliated with the Sponsor). Holders of the Private Placement Shares are entitled to certain registration rights. If the Company did not complete a Business Combination within the Combination Period or during any applicable extension period, the proceeds from the sale of the Private Placement Shares held in the Trust Account would be used to fund the redemption of the Public Shares (subject to the requirements of applicable law) and the Private Placement Shares would be worthless.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8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ind w:left="18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93" w:lineRule="exact"/>
        <w:rPr>
          <w:sz w:val="20"/>
          <w:szCs w:val="20"/>
          <w:color w:val="auto"/>
        </w:rPr>
      </w:pPr>
    </w:p>
    <w:p>
      <w:pPr>
        <w:ind w:left="1280" w:right="380" w:hanging="1106"/>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FS-36</w:t>
      </w:r>
    </w:p>
    <w:p>
      <w:pPr>
        <w:sectPr>
          <w:pgSz w:w="11900" w:h="16838" w:orient="portrait"/>
          <w:cols w:equalWidth="0" w:num="1">
            <w:col w:w="11180"/>
          </w:cols>
          <w:pgMar w:left="260" w:top="482"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(F/K/A SOCIAL CAPITAL SUVRETTA HOLDINGS CORP. III)</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20" w:right="12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122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based on the Company’s assessment of the assumptions that market participants would use in pricing the asset or liability.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June 30, 2022 and December 31, 2021, and indicates the fair value hierarchy of the valuation inputs the Company utilized to determine such fair value:​</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w:t>
            </w:r>
          </w:p>
        </w:tc>
        <w:tc>
          <w:tcPr>
            <w:tcW w:w="6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9"/>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$250,371,095</w:t>
            </w:r>
          </w:p>
        </w:tc>
        <w:tc>
          <w:tcPr>
            <w:tcW w:w="1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250,008,324</w:t>
            </w:r>
          </w:p>
        </w:tc>
        <w:tc>
          <w:tcPr>
            <w:tcW w:w="60" w:type="dxa"/>
            <w:vAlign w:val="bottom"/>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further described in Note 1, on July 11, 2022, the Company completed its Business Combination with ProKidney.</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FS-37</w:t>
      </w:r>
    </w:p>
    <w:p>
      <w:pPr>
        <w:sectPr>
          <w:pgSz w:w="11900" w:h="16838" w:orient="portrait"/>
          <w:cols w:equalWidth="0" w:num="1">
            <w:col w:w="10880"/>
          </w:cols>
          <w:pgMar w:left="320" w:top="482" w:right="6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Members and the Board of Directors of ProKidney LP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ProKidney LP (the Company) as of December 31, 2021 and 2020, the related consolidated statements of operations and comprehensive loss, statements of changes in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Our opinion is not modified with respect to this matter.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Adoption of ASC 842, </w:t>
      </w: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Company changed its method of accounting for leases in the year ended December 31, 2020 due to the adoption of ASC 842, Leases. Our opinion is not modified with respect to this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11, 2022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FS-38</w:t>
      </w:r>
    </w:p>
    <w:p>
      <w:pPr>
        <w:sectPr>
          <w:pgSz w:w="11900" w:h="16838" w:orient="portrait"/>
          <w:cols w:equalWidth="0" w:num="1">
            <w:col w:w="11120"/>
          </w:cols>
          <w:pgMar w:left="320" w:top="482"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clinical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Units (186,500,000 and 115,000,000 issued and outstanding as of December 31, 2021 and 2020,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186,500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Units (7,767,122 issued and outstanding as of December 31, 2021 and 2020)</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(161,510)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(106,364)</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2"/>
              </w:rPr>
              <w:t>26,917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FS-39</w:t>
      </w:r>
    </w:p>
    <w:p>
      <w:pPr>
        <w:sectPr>
          <w:pgSz w:w="11900" w:h="16838" w:orient="portrait"/>
          <w:cols w:equalWidth="0" w:num="1">
            <w:col w:w="11140"/>
          </w:cols>
          <w:pgMar w:left="320" w:top="482"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46,255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21,042</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55,110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27,024</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(55,108)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Class A Units outstanding:</w:t>
            </w: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7"/>
              </w:rPr>
              <w:t>150,706,849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104,986,301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Class A Unit: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FS-40</w:t>
      </w:r>
    </w:p>
    <w:p>
      <w:pPr>
        <w:sectPr>
          <w:pgSz w:w="11900" w:h="16838" w:orient="portrait"/>
          <w:cols w:equalWidth="0" w:num="1">
            <w:col w:w="11140"/>
          </w:cols>
          <w:pgMar w:left="320" w:top="482"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Profits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8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Members’</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498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9,864</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71,500</w:t>
            </w:r>
          </w:p>
        </w:tc>
        <w:tc>
          <w:tcPr>
            <w:tcW w:w="1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(55,146)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186,500,000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(161,510)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26,917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FS-41</w:t>
      </w:r>
    </w:p>
    <w:p>
      <w:pPr>
        <w:sectPr>
          <w:pgSz w:w="11900" w:h="16838" w:orient="portrait"/>
          <w:cols w:equalWidth="0" w:num="1">
            <w:col w:w="11140"/>
          </w:cols>
          <w:pgMar w:left="320" w:top="482"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(55,146)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(26,749)</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(5,704)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8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(50,299)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(25,181)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(5,192)</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(5,456)</w:t>
            </w: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contribution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19,989</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15,980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(10,648)</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15,226</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and facility expansion included in accounts payable and accrued expenses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1,840</w:t>
            </w:r>
          </w:p>
        </w:tc>
      </w:tr>
      <w:tr>
        <w:trPr>
          <w:trHeight w:val="20"/>
        </w:trPr>
        <w:tc>
          <w:tcPr>
            <w:tcW w:w="8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FS-42</w:t>
      </w:r>
    </w:p>
    <w:p>
      <w:pPr>
        <w:sectPr>
          <w:pgSz w:w="11900" w:h="16838" w:orient="portrait"/>
          <w:cols w:equalWidth="0" w:num="1">
            <w:col w:w="11140"/>
          </w:cols>
          <w:pgMar w:left="320" w:top="482"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ProKidney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The Company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ProKidney LLC was formed as a Bermuda limited liability company on December 12, 2018 and funded with $75,000,000 on December 31, 2018.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January 9, 2019 (the “Acquisition Date”), ProKidney LLC acquired all of the equity interests in inRegen and Twin City Bio LLC (“TC Bio”)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$62,000,000. inRegen was duly incorporated under the Cayman Islands Companies Act (as amended) on December 21, 2015 as an exempted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During 2020, inRegen’s name was changed to ProKidney (and is referred to herein as “ProKidney-KY”), and TC Bio’s name was changed to ProKidney,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(and is referred to herein as “ProKidney-US”). ProKidney-US was formed as a limited liability company under the laws of Delaware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18, 2015. In August 2021, ProKidney LP was organized as a limited partnership under the laws and regulations of Ireland, with ProKidney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becoming a wholly owned subsidiary of ProKidney LP (and is referred to herein as “ProKidney”). Following this reorganization on August 5, 2021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for the purposes of these financial statements, the term “ProKidney,” as used herein, refers to ProKidney LP following this reorganization,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information presented herein is that of ProKidney LP and its wholly owned subsidiaries.</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ProKidney acquired the equity interests in ProKidney-KY to develop its Renal Advanced Cell Therapy, which has the potential to stabilize or improve renal function in patients with chronic kidney disease or delay or eliminate the need for dialysis and organ transplantation. ProKidney acquired ProKidney-US to provide contractual development and manufacturing services to ProKidney-KY, which is ProKidney-US’s only customer.</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Because ProKidney is a limited partnership, the debts, obligations and liabilities of the Company (as defined below), whether arising in contract, tort or otherwise, are solely the debts, obligations and liabilities of the Company, and no holder of equity interests in ProKidney (“members’ equity”) is obligated personally for any such debt, obligation or liability of the Company solely by reason of being a holder of members’ equity.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ProKidney and its wholly-owned subsidiaries consisting of ProKidney-KY and ProKidney-US (together, the “Company”). All intercompany transactions and accounts have been eliminated.</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These consolidated financial statements are presented in U.S. Dollars.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normal course of business. The Company performed an analysis of its ability to continue as a going concern. As of December 31, 2021, the Company had an accumulated deficit of $161,510,000. The Company has generated losses from operations for each year since its inception including losses from operations of $55,146,000 and $26,749,000 for the years ended December 31, 2021 and 2020, respectively. The Company intends to continue to conduct significant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FS-43</w:t>
      </w:r>
    </w:p>
    <w:p>
      <w:pPr>
        <w:sectPr>
          <w:pgSz w:w="11900" w:h="16838" w:orient="portrait"/>
          <w:cols w:equalWidth="0" w:num="1">
            <w:col w:w="11140"/>
          </w:cols>
          <w:pgMar w:left="320" w:top="482"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80" w:right="160"/>
        <w:spacing w:after="0" w:line="254" w:lineRule="auto"/>
        <w:rPr>
          <w:sz w:val="20"/>
          <w:szCs w:val="20"/>
          <w:color w:val="auto"/>
        </w:rPr>
      </w:pPr>
      <w:r>
        <w:rPr>
          <w:rFonts w:ascii="Times New Roman" w:cs="Times New Roman" w:eastAsia="Times New Roman" w:hAnsi="Times New Roman"/>
          <w:sz w:val="18"/>
          <w:szCs w:val="18"/>
          <w:color w:val="auto"/>
        </w:rPr>
        <w:t>additional research, development, and clinical study activities which, together with expenses incurred for general and administrative expenses, are expected to result in continuing operating losses for the foreseeable future. The amount of future losses and when, if ever, the Company will achieve profitability are uncertain. The Company’s ability to achieve profitability will depend, among other things, on successfully completing clinical studies, obtaining requisite regulatory approvals, establishing appropriate pricing for its product with payers, and raising sufficient funds to finance the Company’s activities. No assurance can be given that the Company’s clinical development efforts will be successful, that regulatory approvals will be obtained, or that the Company will be able to achieve appropriate pricing and market access or that profitability, if achieved, can be sustained. These matters raise substantial doubt about the Company’s ability to continue as a going concern. The Company believes that, based on its current business plan, its existing cash and cash equivalents of $20,558,000 at December 31, 2021 will not be sufficient to fund its obligations for the next 12 months. The consolidated financial statements do not include any adjustments related to the outcome of this uncertainty.</w:t>
      </w:r>
    </w:p>
    <w:p>
      <w:pPr>
        <w:spacing w:after="0" w:line="188" w:lineRule="exact"/>
        <w:rPr>
          <w:sz w:val="20"/>
          <w:szCs w:val="20"/>
          <w:color w:val="auto"/>
        </w:rPr>
      </w:pPr>
    </w:p>
    <w:p>
      <w:pPr>
        <w:ind w:left="180" w:right="80" w:firstLine="440"/>
        <w:spacing w:after="0" w:line="258" w:lineRule="auto"/>
        <w:rPr>
          <w:sz w:val="20"/>
          <w:szCs w:val="20"/>
          <w:color w:val="auto"/>
        </w:rPr>
      </w:pPr>
      <w:r>
        <w:rPr>
          <w:rFonts w:ascii="Times New Roman" w:cs="Times New Roman" w:eastAsia="Times New Roman" w:hAnsi="Times New Roman"/>
          <w:sz w:val="18"/>
          <w:szCs w:val="18"/>
          <w:color w:val="auto"/>
        </w:rPr>
        <w:t>Our ability to execute our operating plan depends on our ability to obtain additional funding through equity offerings, debt financings or potential licensing and collaboration arrangements. There can be no assurance that additional funds will be available when needed from any source or, if available, will be available on terms that are acceptable to us. Even if we raise additional capital, we may also be required to modify, delay or abandon some of our plans which could have a material adverse effect on our business, operating results and financial condition and our ability to achieve our intended business objectives.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8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certain estimates and assumptions that affect the reported amounts of assets and liabilities and disclosure of contingent assets and liabilities at the date of the consolidated financial statements, and the amounts of expenses during the reported periods. Certain estimates in these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 due to the short-term nature of these items.</w:t>
      </w: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left="180" w:right="260" w:firstLine="440"/>
        <w:spacing w:after="0" w:line="282" w:lineRule="auto"/>
        <w:rPr>
          <w:sz w:val="20"/>
          <w:szCs w:val="20"/>
          <w:color w:val="auto"/>
        </w:rPr>
      </w:pPr>
      <w:r>
        <w:rPr>
          <w:rFonts w:ascii="Times New Roman" w:cs="Times New Roman" w:eastAsia="Times New Roman" w:hAnsi="Times New Roman"/>
          <w:sz w:val="18"/>
          <w:szCs w:val="18"/>
          <w:color w:val="auto"/>
        </w:rPr>
        <w:t>Cash and equivalents are financial instruments that are potentially subject to concentrations of credit risk. The Company’s cash and equivalents are deposited in accounts at large financial institutions, and amounts may exceed federally insured limits.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FS-44</w:t>
      </w:r>
    </w:p>
    <w:p>
      <w:pPr>
        <w:sectPr>
          <w:pgSz w:w="11900" w:h="16838" w:orient="portrait"/>
          <w:cols w:equalWidth="0" w:num="1">
            <w:col w:w="11180"/>
          </w:cols>
          <w:pgMar w:left="260" w:top="482"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Accrued expenses which have been presented on the consolidated balance sheets as of December 31, 2021 and 2020 consisted of the following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4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2,031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expansion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964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4,164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4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9,213</w:t>
            </w:r>
          </w:p>
        </w:tc>
        <w:tc>
          <w:tcPr>
            <w:tcW w:w="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4,496</w:t>
            </w:r>
          </w:p>
        </w:tc>
      </w:tr>
      <w:tr>
        <w:trPr>
          <w:trHeight w:val="20"/>
        </w:trPr>
        <w:tc>
          <w:tcPr>
            <w:tcW w:w="4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189" w:lineRule="exact"/>
        <w:rPr>
          <w:sz w:val="20"/>
          <w:szCs w:val="20"/>
          <w:color w:val="auto"/>
        </w:rPr>
      </w:pPr>
    </w:p>
    <w:p>
      <w:pPr>
        <w:jc w:val="both"/>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The Company records nonrefundable advance payments it makes for future research and development activities as prepaid expenses. Prepaid expenses are recognized as expense in the Statement of Operations and Comprehensive Loss as the Company receives the related goods or services.</w:t>
      </w:r>
    </w:p>
    <w:p>
      <w:pPr>
        <w:spacing w:after="0" w:line="140"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14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51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5-7 years</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4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remainder of lease term</w:t>
            </w:r>
          </w:p>
        </w:tc>
      </w:tr>
      <w:tr>
        <w:trPr>
          <w:trHeight w:val="365"/>
        </w:trPr>
        <w:tc>
          <w:tcPr>
            <w:tcW w:w="3220" w:type="dxa"/>
            <w:vAlign w:val="bottom"/>
          </w:tcPr>
          <w:p>
            <w:pPr>
              <w:spacing w:after="0"/>
              <w:rPr>
                <w:sz w:val="24"/>
                <w:szCs w:val="24"/>
                <w:color w:val="auto"/>
              </w:rPr>
            </w:pPr>
          </w:p>
        </w:tc>
        <w:tc>
          <w:tcPr>
            <w:tcW w:w="5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FS-45</w:t>
            </w:r>
          </w:p>
        </w:tc>
      </w:tr>
    </w:tbl>
    <w:p>
      <w:pPr>
        <w:sectPr>
          <w:pgSz w:w="11900" w:h="16838" w:orient="portrait"/>
          <w:cols w:equalWidth="0" w:num="1">
            <w:col w:w="11120"/>
          </w:cols>
          <w:pgMar w:left="320" w:top="482"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Pr>
          <w:p>
            <w:pPr>
              <w:spacing w:after="0"/>
              <w:rPr>
                <w:sz w:val="18"/>
                <w:szCs w:val="18"/>
                <w:color w:val="auto"/>
              </w:rPr>
            </w:pPr>
          </w:p>
        </w:tc>
        <w:tc>
          <w:tcPr>
            <w:tcW w:w="15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10,517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8"/>
                <w:szCs w:val="18"/>
                <w:color w:val="auto"/>
              </w:rPr>
            </w:pPr>
          </w:p>
        </w:tc>
        <w:tc>
          <w:tcPr>
            <w:tcW w:w="15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7,854</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(2,259)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assets, net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2021 and 2020 was $1,451,000 and $606,000, respectively.</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180" w:right="60" w:firstLine="440"/>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acquired assembled workforce, which are accounted for in accordance with ASC 350—Intangibles—Goodwill and Other. The acquired assembled workforce is amortized on a straight-line basis over the useful life of five years. The following table summarizes information related to the Company’s assembled workforce intangible asset (in thousands):</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4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3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0"/>
        </w:trPr>
        <w:tc>
          <w:tcPr>
            <w:tcW w:w="3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right="200" w:firstLine="440"/>
        <w:spacing w:after="0" w:line="282" w:lineRule="auto"/>
        <w:rPr>
          <w:sz w:val="20"/>
          <w:szCs w:val="20"/>
          <w:color w:val="auto"/>
        </w:rPr>
      </w:pPr>
      <w:r>
        <w:rPr>
          <w:rFonts w:ascii="Times New Roman" w:cs="Times New Roman" w:eastAsia="Times New Roman" w:hAnsi="Times New Roman"/>
          <w:sz w:val="18"/>
          <w:szCs w:val="18"/>
          <w:color w:val="auto"/>
        </w:rPr>
        <w:t>Estimated amortization expense for each of the years 2022 through 2023 is $215,000 and $5,000 for 2024. Amortization expense relating to the assembled workforce intangible asset was $214,000 for the year ended December 31, 2021 and $215,000 for the year ended December 31, 2020.</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left="180" w:firstLine="440"/>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years ended December 31, 2021 or 2020.</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80" w:right="100" w:firstLine="440"/>
        <w:spacing w:after="0" w:line="272" w:lineRule="auto"/>
        <w:rPr>
          <w:sz w:val="20"/>
          <w:szCs w:val="20"/>
          <w:color w:val="auto"/>
        </w:rPr>
      </w:pPr>
      <w:r>
        <w:rPr>
          <w:rFonts w:ascii="Times New Roman" w:cs="Times New Roman" w:eastAsia="Times New Roman" w:hAnsi="Times New Roman"/>
          <w:sz w:val="17"/>
          <w:szCs w:val="17"/>
          <w:color w:val="auto"/>
        </w:rPr>
        <w:t>The Company was organized as a limited liability company, is now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 ProKidney-US is a limited liability company and has elected to be treated as a</w:t>
      </w:r>
    </w:p>
    <w:p>
      <w:pPr>
        <w:spacing w:after="0" w:line="2" w:lineRule="exact"/>
        <w:rPr>
          <w:sz w:val="20"/>
          <w:szCs w:val="20"/>
          <w:color w:val="auto"/>
        </w:rPr>
      </w:pPr>
    </w:p>
    <w:p>
      <w:pPr>
        <w:ind w:left="180" w:right="120"/>
        <w:spacing w:after="0" w:line="253" w:lineRule="auto"/>
        <w:rPr>
          <w:sz w:val="20"/>
          <w:szCs w:val="20"/>
          <w:color w:val="auto"/>
        </w:rPr>
      </w:pPr>
      <w:r>
        <w:rPr>
          <w:rFonts w:ascii="Times New Roman" w:cs="Times New Roman" w:eastAsia="Times New Roman" w:hAnsi="Times New Roman"/>
          <w:sz w:val="18"/>
          <w:szCs w:val="18"/>
          <w:color w:val="auto"/>
        </w:rPr>
        <w:t>C corporation. Therefore, a provision for federal and state taxes has been recorded.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FS-46</w:t>
      </w:r>
    </w:p>
    <w:p>
      <w:pPr>
        <w:sectPr>
          <w:pgSz w:w="11900" w:h="16838" w:orient="portrait"/>
          <w:cols w:equalWidth="0" w:num="1">
            <w:col w:w="11140"/>
          </w:cols>
          <w:pgMar w:left="260" w:top="482"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December 31, 2021.</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8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w:t>
      </w:r>
    </w:p>
    <w:p>
      <w:pPr>
        <w:spacing w:after="0" w:line="117" w:lineRule="exact"/>
        <w:rPr>
          <w:sz w:val="20"/>
          <w:szCs w:val="20"/>
          <w:color w:val="auto"/>
        </w:rPr>
      </w:pPr>
    </w:p>
    <w:p>
      <w:pPr>
        <w:jc w:val="both"/>
        <w:ind w:left="1340" w:right="80" w:hanging="1214"/>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either directly or indirectly observable through correlation with market data</w:t>
      </w:r>
    </w:p>
    <w:p>
      <w:pPr>
        <w:spacing w:after="0" w:line="54"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data, which require the reporting entity to develop its own assumptions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short-term nature of these instruments. There are no available-for-sale securities included in cash and cash equivalents as of December 31,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FS-47</w:t>
      </w:r>
    </w:p>
    <w:p>
      <w:pPr>
        <w:sectPr>
          <w:pgSz w:w="11900" w:h="16838" w:orient="portrait"/>
          <w:cols w:equalWidth="0" w:num="1">
            <w:col w:w="11120"/>
          </w:cols>
          <w:pgMar w:left="320" w:top="482"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left="18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left="180" w:firstLine="440"/>
        <w:spacing w:after="0" w:line="254"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ProKidney LP, dated as of August 5, 2021 (the “Limited Partnership Agreement”) which replaced the Amended and Restated Limited Liability Company Agreement of ProKidney LLC as the governing document of the parent entity in the Company, allows for the issuance of Profits Interests (as defined in the Limited Partnership Agreement) to employees, directors, other service providers of the Company and others denominated in the form of one or more Class B Units (as defined in the Limited Partnership Agreement). The Company measures compensation expense for Profits Interests based on estimated fair values at the time of grant. The Company estimates the fair value of Profits Interests using generally accepted valuation procedures. The Company recognizes compensation expense, on a straight-line basis, for the portion of the Profits Interests’ value that is expected to vest over the requisite service period. The Company records forfeitures of Profits Interests as they occur.</w:t>
      </w:r>
    </w:p>
    <w:p>
      <w:pPr>
        <w:spacing w:after="0" w:line="2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180" w:right="200" w:firstLine="440"/>
        <w:spacing w:after="0" w:line="258" w:lineRule="auto"/>
        <w:rPr>
          <w:sz w:val="20"/>
          <w:szCs w:val="20"/>
          <w:color w:val="auto"/>
        </w:rPr>
      </w:pPr>
      <w:r>
        <w:rPr>
          <w:rFonts w:ascii="Times New Roman" w:cs="Times New Roman" w:eastAsia="Times New Roman" w:hAnsi="Times New Roman"/>
          <w:sz w:val="18"/>
          <w:szCs w:val="18"/>
          <w:color w:val="auto"/>
        </w:rPr>
        <w:t>The Company sponsors a 401(k) plan for its ProKidney-US employees and a defined contribution plan for its ProKidney-KY employees. Full-time employees are eligible to participate in the ProKidney-US plan. The Company matches 50% of participating ProKidney-US employees’ contributions up to 8% of salary. The costs of the ProKidney-US plan were $161,000 and $119,000 for the years ended December 31, 2021 and 2020, respectively. The Company contributes 7% of ProKidney-KY employee salaries to the ProKidney-KY defined contribution plan. The costs of the ProKidney-KY plan were $8,000 and $20,000 for the years ended December 31, 2021 and 2020, respectively.</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180" w:firstLine="440"/>
        <w:spacing w:after="0" w:line="277" w:lineRule="auto"/>
        <w:rPr>
          <w:sz w:val="20"/>
          <w:szCs w:val="20"/>
          <w:color w:val="auto"/>
        </w:rPr>
      </w:pPr>
      <w:r>
        <w:rPr>
          <w:rFonts w:ascii="Times New Roman" w:cs="Times New Roman" w:eastAsia="Times New Roman" w:hAnsi="Times New Roman"/>
          <w:sz w:val="17"/>
          <w:szCs w:val="17"/>
          <w:color w:val="auto"/>
        </w:rPr>
        <w:t>In February 2016, the FASB issued ASU No. 2016-02, Leases (Topic 842), which requires lessees to recognize a right-of-use asset and a liability on the balance sheet for all leases, with the exception of short-term leases. The lease liability will be equal to the present value of lease payments, and the right-of-use asset will be based on the lease liability, subject to adjustment such as for initial direct costs. Leases will continue to be classified as either operating or finance leases in the income statement. The guidance is effective for annual periods beginning after December 15, 2021, with early adoption permitted. The Company early adopted ASU No. 2016-02, Leases (Topic 842), as of January 1, 2021. For additional detail, see Note 4, Leases.</w:t>
      </w: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8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April 11, 2022, which is the date the consolidated financial statements were available to be issued. See additional information in Notes 5 and 8.</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Income Taxes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Company’s subsidiary, ProKidney-US, is treated as a C corporation, and therefore a provision for federal and state taxes has been recorded.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FS-48</w:t>
      </w:r>
    </w:p>
    <w:p>
      <w:pPr>
        <w:sectPr>
          <w:pgSz w:w="11900" w:h="16838" w:orient="portrait"/>
          <w:cols w:equalWidth="0" w:num="1">
            <w:col w:w="11140"/>
          </w:cols>
          <w:pgMar w:left="260" w:top="482"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 for the year ended December 31, 2021 and 2020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difference between the statutory rate for federal income tax and the effective income tax rate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9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9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LLC flow-through structure</w:t>
            </w:r>
          </w:p>
        </w:tc>
        <w:tc>
          <w:tcPr>
            <w:tcW w:w="19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(21.4)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Credits</w:t>
            </w:r>
          </w:p>
        </w:tc>
        <w:tc>
          <w:tcPr>
            <w:tcW w:w="19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19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9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Components of the Company’s deferred tax assets and liabilities included in the consolidated balance sheet consisted of the following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6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bonus</w:t>
            </w:r>
          </w:p>
        </w:tc>
        <w:tc>
          <w:tcPr>
            <w:tcW w:w="22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credit carryforwards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Start-up costs</w:t>
            </w:r>
          </w:p>
        </w:tc>
        <w:tc>
          <w:tcPr>
            <w:tcW w:w="2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48</w:t>
            </w:r>
          </w:p>
        </w:tc>
        <w:tc>
          <w:tcPr>
            <w:tcW w:w="4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560</w:t>
            </w:r>
          </w:p>
        </w:tc>
        <w:tc>
          <w:tcPr>
            <w:tcW w:w="4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9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170</w:t>
            </w:r>
          </w:p>
        </w:tc>
        <w:tc>
          <w:tcPr>
            <w:tcW w:w="40" w:type="dxa"/>
            <w:vAlign w:val="bottom"/>
          </w:tcPr>
          <w:p>
            <w:pPr>
              <w:spacing w:after="0"/>
              <w:rPr>
                <w:sz w:val="20"/>
                <w:szCs w:val="20"/>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FS-49</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420"/>
          </w:cols>
          <w:pgMar w:left="320" w:top="482" w:right="11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80" w:right="120" w:firstLine="440"/>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valuation allowance of $1,237,000 and $560,000 respectively for December 31, 2021 and 2020, to offset the net deferred tax assets.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has $1,118,000 in Research Credit Carryforwards that begin to expire in 2040.</w:t>
      </w:r>
    </w:p>
    <w:p>
      <w:pPr>
        <w:spacing w:after="0" w:line="225" w:lineRule="exact"/>
        <w:rPr>
          <w:sz w:val="20"/>
          <w:szCs w:val="20"/>
          <w:color w:val="auto"/>
        </w:rPr>
      </w:pPr>
    </w:p>
    <w:p>
      <w:pPr>
        <w:ind w:left="18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total unrecognized tax benefits for the years ended December 31, 2021 and 2020 consisted of the following (in thousands):</w:t>
      </w:r>
    </w:p>
    <w:p>
      <w:pPr>
        <w:spacing w:after="0" w:line="17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Unrecognized tax benefits (gross):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at the beginning of the year</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00" w:type="dxa"/>
            <w:vAlign w:val="bottom"/>
          </w:tcPr>
          <w:p>
            <w:pPr>
              <w:spacing w:after="0"/>
              <w:rPr>
                <w:sz w:val="18"/>
                <w:szCs w:val="18"/>
                <w:color w:val="auto"/>
              </w:rPr>
            </w:pP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Benefits at the end of the year</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right="180" w:firstLine="440"/>
        <w:spacing w:after="0" w:line="282" w:lineRule="auto"/>
        <w:rPr>
          <w:sz w:val="20"/>
          <w:szCs w:val="20"/>
          <w:color w:val="auto"/>
        </w:rPr>
      </w:pPr>
      <w:r>
        <w:rPr>
          <w:rFonts w:ascii="Times New Roman" w:cs="Times New Roman" w:eastAsia="Times New Roman" w:hAnsi="Times New Roman"/>
          <w:sz w:val="18"/>
          <w:szCs w:val="18"/>
          <w:color w:val="auto"/>
        </w:rPr>
        <w:t>There are no net unrecognized tax benefits as of December 31, 2021 which, if recognized, would affect our effective tax rate. We expect none of the gross unrecognized tax benefits will decrease within the next year.</w:t>
      </w:r>
    </w:p>
    <w:p>
      <w:pPr>
        <w:spacing w:after="0" w:line="162" w:lineRule="exact"/>
        <w:rPr>
          <w:sz w:val="20"/>
          <w:szCs w:val="20"/>
          <w:color w:val="auto"/>
        </w:rPr>
      </w:pPr>
    </w:p>
    <w:p>
      <w:pPr>
        <w:ind w:left="180" w:right="20" w:firstLine="440"/>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coronavirus (COVID-19) a global pandemic. This contagious disease outbreak, which continued to spread, and the related adverse public health developments, have adversely affected work forces, economies and financial markets globally. As a result, governments around the world have enacted legislation to provide aid and stimulate economies. In the U.S., The Coronavirus, Aid, Relief and Economics Security Act (“CARES Act”), was enacted on March 27, 2020, The Consolidated Appropriations Act, 2021 was enacted on December 27, 2020, and the American Rescue Plan Act of 2021 was enacted on March 11, 2021. All of these acts included both income tax and non-income tax provisions to assist companies. No provisions in these acts had a material impact on the income tax provision or any other area of the Company’s financial statements.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Tax years 2018 through 2021 remain subject to examination by federal and state authorities.</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180" w:right="60" w:firstLine="44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This ASU requires a lessee to recognize a right-of-use asset and a lease liability on its balance sheet for most operating leases. ASU 2016-02 is effective for annual and interim periods beginning after December 15, 2018, including interim periods within those fiscal years. In July 2018, the FASB issued ASU 2018-11, Leases (Topic 842): Targeted Improvements, which provides companies with an additional optional transition method to apply the new standard to leases in effect at the adoption date through a cumulative effect adjustment. The Company adopted the new lease standard as of January 1, 2021 using the modified retrospective transition method.</w:t>
      </w:r>
    </w:p>
    <w:p>
      <w:pPr>
        <w:spacing w:after="0" w:line="183" w:lineRule="exact"/>
        <w:rPr>
          <w:sz w:val="20"/>
          <w:szCs w:val="20"/>
          <w:color w:val="auto"/>
        </w:rPr>
      </w:pPr>
    </w:p>
    <w:p>
      <w:pPr>
        <w:ind w:left="180" w:firstLine="440"/>
        <w:spacing w:after="0" w:line="289" w:lineRule="auto"/>
        <w:rPr>
          <w:sz w:val="20"/>
          <w:szCs w:val="20"/>
          <w:color w:val="auto"/>
        </w:rPr>
      </w:pPr>
      <w:r>
        <w:rPr>
          <w:rFonts w:ascii="Times New Roman" w:cs="Times New Roman" w:eastAsia="Times New Roman" w:hAnsi="Times New Roman"/>
          <w:sz w:val="17"/>
          <w:szCs w:val="17"/>
          <w:color w:val="auto"/>
        </w:rPr>
        <w:t>The Company elected the package of practical expedients referenced in ASU 2016-02, which permits companies to retain original lease identification and classification without reassessing initial direct costs for existing leases. The Company also elected the practical expedient that exempts leases with an initial lease term of 12 months or less, as well as the practical expedient that allows companies to select, by class of underlying asset,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FS-50</w:t>
      </w:r>
    </w:p>
    <w:p>
      <w:pPr>
        <w:sectPr>
          <w:pgSz w:w="11900" w:h="16838" w:orient="portrait"/>
          <w:cols w:equalWidth="0" w:num="1">
            <w:col w:w="11180"/>
          </w:cols>
          <w:pgMar w:left="260" w:top="482"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not to separate lease and non-lease components. Adoption of this standard resulted in the recognition of a right-of-use asset and a lease liability on the Company’s January 1, 2021 Consolidated Balance Sheet of $1,560,000 and $1,559,000 respectively. There was no material impact on the Company’s Consolidated Statement of Comprehensive Loss.</w:t>
      </w:r>
    </w:p>
    <w:p>
      <w:pPr>
        <w:spacing w:after="0" w:line="176"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The Company has operating leases for real estate (primarily office space) and certain equipment with various expiration dates. The Company also has one finance lease for certain equipment. Rent expense was $434,000 and $314,000, for the years ended December 31, 2021 and 2020, respectively.</w:t>
      </w:r>
    </w:p>
    <w:p>
      <w:pPr>
        <w:spacing w:after="0" w:line="14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Consolidated Balance Sheets as of December 31, 2021 and December 31, 2020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Maturities of lease liabilities for the Company’s operating and finance leases are as follows for the year ending December 31, 2021 (in thousands):</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000" w:type="dxa"/>
            <w:vAlign w:val="bottom"/>
            <w:gridSpan w:val="4"/>
          </w:tcPr>
          <w:p>
            <w:pPr>
              <w:ind w:left="20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16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4.4 years, and 3.3 years for the finance lease. The weighted average discount rate is 8.5%.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Members’ Equity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Ownership interests in the Company are represented by two classes of units, Class A Units and Class B Units. The terms of the units are governed by the LLC Agreement. As of December 31, 2021, there were 190,000,000 Class A and 10,000,000 Class B Units authorized.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FS-51</w:t>
      </w:r>
    </w:p>
    <w:p>
      <w:pPr>
        <w:sectPr>
          <w:pgSz w:w="11900" w:h="16838" w:orient="portrait"/>
          <w:cols w:equalWidth="0" w:num="1">
            <w:col w:w="11100"/>
          </w:cols>
          <w:pgMar w:left="320" w:top="482"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80" w:right="60" w:firstLine="440"/>
        <w:spacing w:after="0" w:line="282" w:lineRule="auto"/>
        <w:rPr>
          <w:sz w:val="20"/>
          <w:szCs w:val="20"/>
          <w:color w:val="auto"/>
        </w:rPr>
      </w:pPr>
      <w:r>
        <w:rPr>
          <w:rFonts w:ascii="Times New Roman" w:cs="Times New Roman" w:eastAsia="Times New Roman" w:hAnsi="Times New Roman"/>
          <w:sz w:val="18"/>
          <w:szCs w:val="18"/>
          <w:color w:val="auto"/>
        </w:rPr>
        <w:t>Holders of Class A Units have voting rights and rights to profits and losses of the Company and distributions from the Company. The following is a summary of the activity of the Class A Units:</w:t>
      </w:r>
    </w:p>
    <w:p>
      <w:pPr>
        <w:spacing w:after="0" w:line="20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January 1, 2020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Issued 2020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December 31, 2020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Issued 2021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71,500,000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December 31, 2021</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right="40" w:firstLine="440"/>
        <w:spacing w:after="0" w:line="255" w:lineRule="auto"/>
        <w:rPr>
          <w:sz w:val="20"/>
          <w:szCs w:val="20"/>
          <w:color w:val="auto"/>
        </w:rPr>
      </w:pPr>
      <w:r>
        <w:rPr>
          <w:rFonts w:ascii="Times New Roman" w:cs="Times New Roman" w:eastAsia="Times New Roman" w:hAnsi="Times New Roman"/>
          <w:sz w:val="18"/>
          <w:szCs w:val="18"/>
          <w:color w:val="auto"/>
        </w:rPr>
        <w:t>The Class B Units are reserved for issuance of Profits Interests and do not have voting rights. The Profits Interests are designed so that the holders of Profits Interests only participate in a qualified distribution event and only if its valuation threshold is attained in such a distribution event as set forth in the Limited Partnership Agreement; provided, however, that the Limited Partnership Agreement (as amended and restated on January 17, 2022 as contemplated by Note 8 below) provides that certain qualified distribution events will result in the holders of Profits Interests receiving disproportionate distributions from ProKidney until each such holder’s threshold value has been reduced to zero in order to “catch up” such holder’s distributions to its pro rata share of aggregate cumulative distributions, and once sufficient distributions to a holder of Profits Interests have been made in accordance with the foregoing, the associated Class B Units will automatically be converted into Class A Units.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121" w:lineRule="exact"/>
        <w:rPr>
          <w:sz w:val="20"/>
          <w:szCs w:val="20"/>
          <w:color w:val="auto"/>
        </w:rPr>
      </w:pPr>
    </w:p>
    <w:p>
      <w:pPr>
        <w:ind w:left="180" w:right="80" w:firstLine="440"/>
        <w:spacing w:after="0" w:line="258" w:lineRule="auto"/>
        <w:rPr>
          <w:sz w:val="20"/>
          <w:szCs w:val="20"/>
          <w:color w:val="auto"/>
        </w:rPr>
      </w:pPr>
      <w:r>
        <w:rPr>
          <w:rFonts w:ascii="Times New Roman" w:cs="Times New Roman" w:eastAsia="Times New Roman" w:hAnsi="Times New Roman"/>
          <w:sz w:val="18"/>
          <w:szCs w:val="18"/>
          <w:color w:val="auto"/>
        </w:rPr>
        <w:t>Basic loss per share (“EPS”) was computed by dividing net loss by the number of weighted average units of Class A Units outstanding during the period. Diluted EPS was calculated to give effect to potentially issuable dilutive units of common units using the treasury method. For all periods presented, the vested Profits Interests have been excluded from the diluted EPS calculation as their effect would be anti-dilutive. The following table sets forth the calculation of basic and diluted earnings per share for the periods indicated based on the weighted average number of common shares outstanding:</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Class A Unit 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(55,146)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(26,749)</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3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Class A Units outstanding, basic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w w:val="97"/>
              </w:rPr>
              <w:t>150,706,849</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104,986,301</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Class A Unit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Class A Unit,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7: Equity Based Compensation</w:t>
      </w:r>
    </w:p>
    <w:p>
      <w:pPr>
        <w:spacing w:after="0" w:line="121" w:lineRule="exact"/>
        <w:rPr>
          <w:sz w:val="20"/>
          <w:szCs w:val="20"/>
          <w:color w:val="auto"/>
        </w:rPr>
      </w:pPr>
    </w:p>
    <w:p>
      <w:pPr>
        <w:ind w:left="180" w:firstLine="440"/>
        <w:spacing w:after="0" w:line="261" w:lineRule="auto"/>
        <w:rPr>
          <w:sz w:val="20"/>
          <w:szCs w:val="20"/>
          <w:color w:val="auto"/>
        </w:rPr>
      </w:pPr>
      <w:r>
        <w:rPr>
          <w:rFonts w:ascii="Times New Roman" w:cs="Times New Roman" w:eastAsia="Times New Roman" w:hAnsi="Times New Roman"/>
          <w:sz w:val="18"/>
          <w:szCs w:val="18"/>
          <w:color w:val="auto"/>
        </w:rPr>
        <w:t>The issuance of Profits Interests to employees, directors, and other service providers of the Company (“Plan Participants”) is administered at the discretion of ProKidney GP Limited, the general partner of ProKidney (the “General Partner”). Profits Interests allow the Plan Participants to participate in the residual profits of the Company after the distribution of proceeds reach a minimum threshold value. The threshold value is the amount of proceeds that must be distributed to the holders of Class A Units before the Plan Participants can participate in a distribution.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FS-52</w:t>
      </w:r>
    </w:p>
    <w:p>
      <w:pPr>
        <w:sectPr>
          <w:pgSz w:w="11900" w:h="16838" w:orient="portrait"/>
          <w:cols w:equalWidth="0" w:num="1">
            <w:col w:w="11180"/>
          </w:cols>
          <w:pgMar w:left="260" w:top="482"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Limited Partnership Agreement, the General Partner determines the terms and conditions of the Profits Interests issued. The threshold value assigned to each grant shall not be less than the fair market value of the Company on the date of grant. Profits Interests awards vest at a rate of 25% on the latter of the first anniversary of employment and the first anniversary of the Acquisition Date with the remaining 75% to vest in increments of 25% on each anniversary following the first anniversary date or in increments of 6.25% each calendar quarter following the first anniversary date. The Profits Interests are subject to a repurchase option should the plan participant no longer be employed by the Company.</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Under the Limited Partnership Agreement (prior to its amendment and restatement on January 17, 2022), there are 10,000,000 Class B Units authorized for issuance.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Profits Interest awards for the year ended December 31,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4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4,402,398</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(1,941,781)</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December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2,460,617</w:t>
            </w: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No Class B Units were granted to employees during the year ended December 31, 2021. As of December 31, 2021, 2,232,878 Class B Units remained unissued. Given that these instruments meet the criteria for being considered profits interest, the Company has recognized no tax benefit related to these awards.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respectively, the Company recognized equity-based compensation expense of $699,000 and $730,000.</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the unrecognized compensation expense was $868,000. The current weighted average remaining period over which the unrecognized compensation expense is expected to be recognized is 1.4 years. The weighted average grant date fair value of the Profits Interests granted during the year ended December 31, 2020 was $0.36 per Class B unit.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Estimate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is privately held with no active public market for its equity instruments. Therefore, for financial reporting purposes, management may periodically determine the estimated per share fair value of the Company’s equity shares (including Profits Interests) using contemporaneous valuations. These contemporaneous valuations are done using methodologies consistent with the American Institute of Certified Public Accountants Practice Aid, Valuation of Privately-Held Company Equity Securities Issued as Compensation, also known as the Practice Aid.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valuation approach utilized the Option Pricing Method (OPM), where the fair value of the total equity of the Company within each scenario is first estimated using a back-solve method wherein the equity value is derived from a recent transaction in the Company’s own securities, and then the total equity value is allocated to the various components of the capital structure, including the Profits Interests, using an OPM or a waterfall approach based on the specific rights of each of the equity classes. The OPM uses the fair value of the total equity of the Company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FS-53</w:t>
      </w:r>
    </w:p>
    <w:p>
      <w:pPr>
        <w:sectPr>
          <w:pgSz w:w="11900" w:h="16838" w:orient="portrait"/>
          <w:cols w:equalWidth="0" w:num="1">
            <w:col w:w="11100"/>
          </w:cols>
          <w:pgMar w:left="320" w:top="482"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80" w:right="40"/>
        <w:spacing w:after="0" w:line="282" w:lineRule="auto"/>
        <w:rPr>
          <w:sz w:val="20"/>
          <w:szCs w:val="20"/>
          <w:color w:val="auto"/>
        </w:rPr>
      </w:pPr>
      <w:r>
        <w:rPr>
          <w:rFonts w:ascii="Times New Roman" w:cs="Times New Roman" w:eastAsia="Times New Roman" w:hAnsi="Times New Roman"/>
          <w:sz w:val="18"/>
          <w:szCs w:val="18"/>
          <w:color w:val="auto"/>
        </w:rPr>
        <w:t>This process creates a range of equity values both between and within scenarios. The fair value measurement is sensitive to changes in the unobservable inputs. Changes in those inputs might result in a higher or lower fair value measurement.</w:t>
      </w:r>
    </w:p>
    <w:p>
      <w:pPr>
        <w:spacing w:after="0" w:line="162" w:lineRule="exact"/>
        <w:rPr>
          <w:sz w:val="20"/>
          <w:szCs w:val="20"/>
          <w:color w:val="auto"/>
        </w:rPr>
      </w:pPr>
    </w:p>
    <w:p>
      <w:pPr>
        <w:ind w:left="180" w:firstLine="440"/>
        <w:spacing w:after="0" w:line="256" w:lineRule="auto"/>
        <w:rPr>
          <w:sz w:val="20"/>
          <w:szCs w:val="20"/>
          <w:color w:val="auto"/>
        </w:rPr>
      </w:pPr>
      <w:r>
        <w:rPr>
          <w:rFonts w:ascii="Times New Roman" w:cs="Times New Roman" w:eastAsia="Times New Roman" w:hAnsi="Times New Roman"/>
          <w:sz w:val="18"/>
          <w:szCs w:val="18"/>
          <w:color w:val="auto"/>
        </w:rPr>
        <w:t>In performing these valuations, management considered all objective and subjective factors that they believed to be relevant, including management’s best estimate of the Company business condition, prospects, and operating performance at each valuation date. Within the valuations performed, a range of factors, assumptions, and methodologies were used. The significant factors included trends within the industry, the prices at which the Company sold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reflects the key assumptions used in the OPM valuation: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value (in thousands)</w:t>
            </w:r>
          </w:p>
        </w:tc>
        <w:tc>
          <w:tcPr>
            <w:tcW w:w="2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$ 78,100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total equity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for lack of market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to exit event</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left="180" w:right="140" w:firstLine="440"/>
        <w:spacing w:after="0" w:line="261" w:lineRule="auto"/>
        <w:rPr>
          <w:sz w:val="20"/>
          <w:szCs w:val="20"/>
          <w:color w:val="auto"/>
        </w:rPr>
      </w:pPr>
      <w:r>
        <w:rPr>
          <w:rFonts w:ascii="Times New Roman" w:cs="Times New Roman" w:eastAsia="Times New Roman" w:hAnsi="Times New Roman"/>
          <w:sz w:val="18"/>
          <w:szCs w:val="18"/>
          <w:color w:val="auto"/>
        </w:rPr>
        <w:t>On January 17, 2022, the Company amended and restated its Limited Partnership Agreement (the “Amended and Restated Limited Partnership Agreement”) in part to authorize the issuance of up to 50,000,000 Class B Units (including Class B-1 Units). Upon authorization of these units, the Company issued Profits Interests to certain Plan Participants in the form of 8,498,488 Class B-1 Units. Additionally, the Company issued 8,848,901 of its Class B-1 Units for total value received by the Company (or its subsidiaries) of $8,052,000.</w:t>
      </w:r>
    </w:p>
    <w:p>
      <w:pPr>
        <w:spacing w:after="0" w:line="180" w:lineRule="exact"/>
        <w:rPr>
          <w:sz w:val="20"/>
          <w:szCs w:val="20"/>
          <w:color w:val="auto"/>
        </w:rPr>
      </w:pPr>
    </w:p>
    <w:p>
      <w:pPr>
        <w:ind w:left="180" w:right="180" w:firstLine="440"/>
        <w:spacing w:after="0" w:line="261" w:lineRule="auto"/>
        <w:rPr>
          <w:sz w:val="20"/>
          <w:szCs w:val="20"/>
          <w:color w:val="auto"/>
        </w:rPr>
      </w:pPr>
      <w:r>
        <w:rPr>
          <w:rFonts w:ascii="Times New Roman" w:cs="Times New Roman" w:eastAsia="Times New Roman" w:hAnsi="Times New Roman"/>
          <w:sz w:val="18"/>
          <w:szCs w:val="18"/>
          <w:color w:val="auto"/>
        </w:rPr>
        <w:t>The Amended and Restated Limited Partnership Agreement provides that certain qualified distribution events will result in holders of Profits Interests receiving disproportionate distributions from ProKidney until each such holder’s valuation threshold has been reduced to zero in order to “catch up” such holder’s distributions to its pro rata share of aggregate cumulative distributions, and once sufficient distributions to a holder of Profits Interests have been made in accordance with the foregoing, the associated Class B Units will automatically be converted into Class A Units.</w:t>
      </w:r>
    </w:p>
    <w:p>
      <w:pPr>
        <w:spacing w:after="0" w:line="180" w:lineRule="exact"/>
        <w:rPr>
          <w:sz w:val="20"/>
          <w:szCs w:val="20"/>
          <w:color w:val="auto"/>
        </w:rPr>
      </w:pPr>
    </w:p>
    <w:p>
      <w:pPr>
        <w:ind w:left="180" w:right="100" w:firstLine="440"/>
        <w:spacing w:after="0" w:line="261" w:lineRule="auto"/>
        <w:rPr>
          <w:sz w:val="20"/>
          <w:szCs w:val="20"/>
          <w:color w:val="auto"/>
        </w:rPr>
      </w:pPr>
      <w:r>
        <w:rPr>
          <w:rFonts w:ascii="Times New Roman" w:cs="Times New Roman" w:eastAsia="Times New Roman" w:hAnsi="Times New Roman"/>
          <w:sz w:val="18"/>
          <w:szCs w:val="18"/>
          <w:color w:val="auto"/>
        </w:rPr>
        <w:t>On January 18, 2022, the Company executed a definitive business combination agreement (the “Business Combination Agreement”), with Social Capital Suvretta Holdings Corp. III (“SCS”). Under the terms of the Business Combination Agreement, the Company will become a subsidiary of SCS and will be organized in an umbrella partnership corporation (“Up-C”) structure, which provides potential future tax benefits for SCS when the equity holders ultimately exchange their pass-through interests for Class A ordinary shares in SCS.</w:t>
      </w:r>
    </w:p>
    <w:p>
      <w:pPr>
        <w:spacing w:after="0" w:line="180" w:lineRule="exact"/>
        <w:rPr>
          <w:sz w:val="20"/>
          <w:szCs w:val="20"/>
          <w:color w:val="auto"/>
        </w:rPr>
      </w:pPr>
    </w:p>
    <w:p>
      <w:pPr>
        <w:ind w:left="180" w:right="120" w:firstLine="440"/>
        <w:spacing w:after="0" w:line="261" w:lineRule="auto"/>
        <w:rPr>
          <w:sz w:val="20"/>
          <w:szCs w:val="20"/>
          <w:color w:val="auto"/>
        </w:rPr>
      </w:pPr>
      <w:r>
        <w:rPr>
          <w:rFonts w:ascii="Times New Roman" w:cs="Times New Roman" w:eastAsia="Times New Roman" w:hAnsi="Times New Roman"/>
          <w:sz w:val="18"/>
          <w:szCs w:val="18"/>
          <w:color w:val="auto"/>
        </w:rPr>
        <w:t>On January 18, 2022, in connection with the Business Combination Agreement, the Company entered into two promissory note agreements with certain of its existing holders. Through such promissory notes, the existing holders may fund up to $100,000,000 to support the operational financing needs of the Company prior to the closing of the Business Combination. The Company has borrowed $20,000,000 against these promissory notes subsequent to December 31, 2021.</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FS-54</w:t>
      </w:r>
    </w:p>
    <w:p>
      <w:pPr>
        <w:sectPr>
          <w:pgSz w:w="11900" w:h="16838" w:orient="portrait"/>
          <w:cols w:equalWidth="0" w:num="1">
            <w:col w:w="11160"/>
          </w:cols>
          <w:pgMar w:left="260" w:top="482"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6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21,882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20,558</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clinical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11,350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33,914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27,271</w:t>
            </w: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2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10,857</w:t>
            </w:r>
          </w:p>
        </w:tc>
        <w:tc>
          <w:tcPr>
            <w:tcW w:w="1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53,958</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2,834</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45,804</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20" w:type="dxa"/>
            <w:vAlign w:val="bottom"/>
          </w:tcPr>
          <w:p>
            <w:pPr>
              <w:spacing w:after="0"/>
              <w:rPr>
                <w:sz w:val="19"/>
                <w:szCs w:val="19"/>
                <w:color w:val="auto"/>
              </w:rPr>
            </w:pPr>
          </w:p>
        </w:tc>
      </w:tr>
      <w:tr>
        <w:trPr>
          <w:trHeight w:val="103"/>
        </w:trPr>
        <w:tc>
          <w:tcPr>
            <w:tcW w:w="8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w:t>
            </w: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Units (186,500,000 issued and outstanding as of June 30, 2022 and December 31, 2021)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186,500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186,500</w:t>
            </w:r>
          </w:p>
        </w:tc>
      </w:tr>
      <w:tr>
        <w:trPr>
          <w:trHeight w:val="198"/>
        </w:trPr>
        <w:tc>
          <w:tcPr>
            <w:tcW w:w="8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Units (27,100,937 and 7,767,122 issued and outstanding as of June 30, 2022 and December 31,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 respectively)</w:t>
            </w:r>
          </w:p>
        </w:tc>
        <w:tc>
          <w:tcPr>
            <w:tcW w:w="12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71,164</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(251,127)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(161,510)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53,958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40,298</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FS-55</w:t>
      </w:r>
    </w:p>
    <w:p>
      <w:pPr>
        <w:sectPr>
          <w:pgSz w:w="11900" w:h="16838" w:orient="portrait"/>
          <w:cols w:equalWidth="0" w:num="1">
            <w:col w:w="11140"/>
          </w:cols>
          <w:pgMar w:left="320" w:top="482"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10,969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40,048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20,828</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47,152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3,492</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87,200</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12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(20,738)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w:t>
            </w:r>
          </w:p>
        </w:tc>
        <w:tc>
          <w:tcPr>
            <w:tcW w:w="12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12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Class A Units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7"/>
              </w:rPr>
              <w:t>186,500,000</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140,109,890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9"/>
              </w:rPr>
              <w:t>186,500,000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131,160,221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Class A Unit: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FS-56</w:t>
      </w:r>
    </w:p>
    <w:p>
      <w:pPr>
        <w:sectPr>
          <w:pgSz w:w="11900" w:h="16838" w:orient="portrait"/>
          <w:cols w:equalWidth="0" w:num="1">
            <w:col w:w="11140"/>
          </w:cols>
          <w:pgMar w:left="320" w:top="482"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Members’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3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Total Members’</w:t>
            </w:r>
          </w:p>
        </w:tc>
        <w:tc>
          <w:tcPr>
            <w:tcW w:w="120" w:type="dxa"/>
            <w:vAlign w:val="bottom"/>
          </w:tcPr>
          <w:p>
            <w:pPr>
              <w:spacing w:after="0"/>
              <w:rPr>
                <w:sz w:val="12"/>
                <w:szCs w:val="12"/>
                <w:color w:val="auto"/>
              </w:rPr>
            </w:pPr>
          </w:p>
        </w:tc>
      </w:tr>
      <w:tr>
        <w:trPr>
          <w:trHeight w:val="142"/>
        </w:trPr>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Profits Interests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186,500,000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w:t>
            </w:r>
          </w:p>
        </w:tc>
        <w:tc>
          <w:tcPr>
            <w:tcW w:w="14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payments</w:t>
            </w:r>
          </w:p>
        </w:tc>
        <w:tc>
          <w:tcPr>
            <w:tcW w:w="1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8,001</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(22,131)</w:t>
            </w:r>
          </w:p>
        </w:tc>
      </w:tr>
      <w:tr>
        <w:trPr>
          <w:trHeight w:val="27"/>
        </w:trPr>
        <w:tc>
          <w:tcPr>
            <w:tcW w:w="3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186,500,000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186,500</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71,164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(251,127)</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6,537</w:t>
            </w:r>
          </w:p>
        </w:tc>
      </w:tr>
      <w:tr>
        <w:trPr>
          <w:trHeight w:val="20"/>
        </w:trPr>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3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Total Members’</w:t>
            </w:r>
          </w:p>
        </w:tc>
        <w:tc>
          <w:tcPr>
            <w:tcW w:w="120" w:type="dxa"/>
            <w:vAlign w:val="bottom"/>
          </w:tcPr>
          <w:p>
            <w:pPr>
              <w:spacing w:after="0"/>
              <w:rPr>
                <w:sz w:val="12"/>
                <w:szCs w:val="12"/>
                <w:color w:val="auto"/>
              </w:rPr>
            </w:pPr>
          </w:p>
        </w:tc>
      </w:tr>
      <w:tr>
        <w:trPr>
          <w:trHeight w:val="142"/>
        </w:trPr>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Profits Interests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w:t>
            </w:r>
          </w:p>
        </w:tc>
        <w:tc>
          <w:tcPr>
            <w:tcW w:w="28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10,000,000</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payments</w:t>
            </w:r>
          </w:p>
        </w:tc>
        <w:tc>
          <w:tcPr>
            <w:tcW w:w="1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(12,725)</w:t>
            </w:r>
          </w:p>
        </w:tc>
      </w:tr>
      <w:tr>
        <w:trPr>
          <w:trHeight w:val="27"/>
        </w:trPr>
        <w:tc>
          <w:tcPr>
            <w:tcW w:w="3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1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145,000,000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145,000</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(130,698)</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15,880</w:t>
            </w:r>
          </w:p>
        </w:tc>
      </w:tr>
      <w:tr>
        <w:trPr>
          <w:trHeight w:val="20"/>
        </w:trPr>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FS-57</w:t>
      </w:r>
    </w:p>
    <w:p>
      <w:pPr>
        <w:sectPr>
          <w:pgSz w:w="11900" w:h="16838" w:orient="portrait"/>
          <w:cols w:equalWidth="0" w:num="1">
            <w:col w:w="11140"/>
          </w:cols>
          <w:pgMar w:left="320" w:top="482"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Members’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3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Total Members’</w:t>
            </w:r>
          </w:p>
        </w:tc>
        <w:tc>
          <w:tcPr>
            <w:tcW w:w="12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Profits Interests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186,500,000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w:t>
            </w:r>
          </w:p>
        </w:tc>
        <w:tc>
          <w:tcPr>
            <w:tcW w:w="13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6,050</w:t>
            </w: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6,050</w:t>
            </w: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payments</w:t>
            </w:r>
          </w:p>
        </w:tc>
        <w:tc>
          <w:tcPr>
            <w:tcW w:w="1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63,187</w:t>
            </w: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(89,617)</w:t>
            </w:r>
          </w:p>
        </w:tc>
      </w:tr>
      <w:tr>
        <w:trPr>
          <w:trHeight w:val="27"/>
        </w:trPr>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186,500,000</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186,500</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71,164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(251,127)</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6,537</w:t>
            </w:r>
          </w:p>
        </w:tc>
      </w:tr>
      <w:tr>
        <w:trPr>
          <w:trHeight w:val="20"/>
        </w:trPr>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3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Total Members’</w:t>
            </w:r>
          </w:p>
        </w:tc>
        <w:tc>
          <w:tcPr>
            <w:tcW w:w="12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Profits Interests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w:t>
            </w:r>
          </w:p>
        </w:tc>
        <w:tc>
          <w:tcPr>
            <w:tcW w:w="2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30,000,000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payments</w:t>
            </w:r>
          </w:p>
        </w:tc>
        <w:tc>
          <w:tcPr>
            <w:tcW w:w="1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(24,334)</w:t>
            </w:r>
          </w:p>
        </w:tc>
      </w:tr>
      <w:tr>
        <w:trPr>
          <w:trHeight w:val="27"/>
        </w:trPr>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1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145,000,000</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145,000</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(130,698)</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15,880</w:t>
            </w:r>
          </w:p>
        </w:tc>
      </w:tr>
      <w:tr>
        <w:trPr>
          <w:trHeight w:val="20"/>
        </w:trPr>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FS-58</w:t>
      </w:r>
    </w:p>
    <w:p>
      <w:pPr>
        <w:sectPr>
          <w:pgSz w:w="11900" w:h="16838" w:orient="portrait"/>
          <w:cols w:equalWidth="0" w:num="1">
            <w:col w:w="11140"/>
          </w:cols>
          <w:pgMar w:left="320" w:top="482"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(89,617)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(24,334)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60,685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8,907</w:t>
            </w:r>
          </w:p>
        </w:tc>
        <w:tc>
          <w:tcPr>
            <w:tcW w:w="0" w:type="dxa"/>
            <w:vAlign w:val="bottom"/>
          </w:tcPr>
          <w:p>
            <w:pPr>
              <w:spacing w:after="0"/>
              <w:rPr>
                <w:sz w:val="1"/>
                <w:szCs w:val="1"/>
                <w:color w:val="auto"/>
              </w:rPr>
            </w:pPr>
          </w:p>
        </w:tc>
      </w:tr>
      <w:tr>
        <w:trPr>
          <w:trHeight w:val="216"/>
        </w:trPr>
        <w:tc>
          <w:tcPr>
            <w:tcW w:w="7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Income taxes payable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(38,485)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2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81"/>
        </w:trPr>
        <w:tc>
          <w:tcPr>
            <w:tcW w:w="77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under related party notes payable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contribution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41,034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29,985</w:t>
            </w: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20,558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 and facility expansion included in accounts payable and accrued expenses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FS-59</w:t>
      </w:r>
    </w:p>
    <w:p>
      <w:pPr>
        <w:sectPr>
          <w:pgSz w:w="11900" w:h="16838" w:orient="portrait"/>
          <w:cols w:equalWidth="0" w:num="1">
            <w:col w:w="11140"/>
          </w:cols>
          <w:pgMar w:left="320" w:top="482"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ProKidney LP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The Company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ProKidney LLC was formed as a Bermuda limited liability company on December 12, 2018 and funded with $75,000,000 on December 31, 2018.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January 9, 2019 (the “Acquisition Date”), ProKidney LLC acquired all of the equity interests in inRegen and Twin City Bio LLC (“TC Bio”)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$62,000,000. inRegen was duly incorporated under the Cayman Islands Companies Act (as amended) on December 21, 2015 as an exempted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During 2020, inRegen’s name was changed to ProKidney (and is referred to herein as “ProKidney-KY”), and TC Bio’s name was changed to ProKidney,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(and is referred to herein as “ProKidney-US”). ProKidney-US was formed as a limited liability company under the laws of Delaware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18, 2015. In August 2021, ProKidney LP was organized as a limited partnership under the laws and regulations of Ireland, with ProKidney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becoming a wholly owned subsidiary of ProKidney LP (and is referred to herein as “ProKidney”). Following this reorganization on August 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and for the purposes of these financial statements, the term “ProKidney” as used herein, refers to ProKidney LP following this reorganization,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financial information presented herein is that of ProKidney LP and its wholly owned subsidiaries.</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ProKidney acquired the equity interests in ProKidney-KY to develop its Renal Advanced Cell Therapy, which has the potential to stabilize or improve renal function in patients with chronic kidney disease or delay or eliminate the need for dialysis and organ transplantation. ProKidney acquired ProKidney-US to provide contractual development and manufacturing services to ProKidney-KY, which is ProKidney-US’s only customer.</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Because ProKidney is a limited partnership, the debts, obligations and liabilities of the Company (as defined below), whether arising in contract, tort or otherwise, are solely the debts, obligations and liabilities of the Company, and no holder of equity interests in ProKidney (“members’ equity”) is obligated personally for any such debt, obligation or liability of the Company solely by reason of being a holder of members’ equity.</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January 18, 2022, the Company executed a definitive business combination agreement (the “Business Combination Agreement”), with Social Capital Suvretta Holdings Corp. III (“SCS”). Pursuant to the terms of the Business Combination Agreement, the Company would become a subsidiary of SCS and would be organized in an umbrella partnership corporation (“Up-C”) structure, would provide potential future tax benefits for SCS when the equity holders ultimately exchanged their pass-through interests for Class A ordinary shares. The transaction closed on July 11, 2022. Upon consummation of the transaction, SCS changed its name to ProKidney Corp.</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between SCS and ProKidney LP (the “Business Combination”) resulted in gross proceeds of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$596,537,000. This amount reflects a contribution of $21,737,000 of cash held in SCS’ trust account, net of redemptions, and a $574,800,000 concurrent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placement of Class A ordinary shares of the combined company, priced at $10.00 per share (the “PIPE Placement”). Upon close, these proceeds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used to repay the outstanding balance of $35,000,000 under the Company’s two promissory note agreements with certain holders of its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(the “Promissory Notes”) and related accrued interest. Additionally, the proceeds were used to pay those expenses previously incurred by SCS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to the Business Combination of approximately $21,029,000 as well as advisory and placement fees of approximately $29,389,000 incurred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PIPE Placement.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reflect the operations of ProKidney and its wholly-owned subsidiaries consisting of ProKidney-KY and ProKidney-US (together, the “Company”). All intercompany transactions and accounts have been eliminated.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FS-60</w:t>
      </w:r>
    </w:p>
    <w:p>
      <w:pPr>
        <w:sectPr>
          <w:pgSz w:w="11900" w:h="16838" w:orient="portrait"/>
          <w:cols w:equalWidth="0" w:num="1">
            <w:col w:w="11140"/>
          </w:cols>
          <w:pgMar w:left="320" w:top="482"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These unaudited condensed consolidated financial statements have been prepared on the same basis as the Company’s annual financial statements and, in the opinion of management, reflect all adjustments, consisting only of normal recurring adjustments, which are necessary for a fair presentation of the Company’s financial information. These interim results and cash flows for any interim period are not necessarily indicative of the results to be expected for the full year. Any reference in these notes to applicable guidance is meant to refer to the authoritative accounting principles generally accepted in the United States of America (“GAAP”) as found in the Accounting Standards Codification (“ASC”) and Accounting Standards Update (“ASU”) of the Financial Accounting Standards Board (“FASB”). These unaudited consolidated financial statements are presented in U.S. Dollars.​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normal course of business. The Company performed an analysis of its ability to continue as a going concern. As of June 30, 2022, the Company had an accumulated deficit of $251,127,000. The Company has generated losses from operations for each year since its inception. The Company intends to continue to conduct significant additional research, development, and clinical study activities which, together with expenses incurred for general and administrative expenses, are expected to result in continuing operating losses for the foreseeable future. The amount of future losses and when, if ever, the Company will achieve profitability are uncertain. The Company’s ability to achieve profitability will depend, among other things, on successfully completing clinical studies, obtaining requisite regulatory approvals, establishing appropriate pricing for its product with payers, and raising sufficient funds to finance the Company’s activities. No assurance can be given that the Company’s clinical development efforts will be successful, that regulatory approvals will be obtained, or that the Company will be able to achieve appropriate pricing and market access or that profitability, if achieved, can be sustained.</w:t>
      </w:r>
    </w:p>
    <w:p>
      <w:pPr>
        <w:spacing w:after="0" w:line="19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These matters raised substantial doubt about the Company’s ability to continue as a going concern. As of June 30, 2022, the Company had cash and cash equivalents of $21,882,000, and remaining availability of $65,000,000 under the Promissory Notes. As of June 30, 2022, the Company believed that these sources of liquidity would not be sufficient to fund its obligations for the subsequent 12 months. However, the Closing of the Business Combination on July 11, 2022 provided additional liquidity to the Company totaling approximately $511,912,000. The Company’s liquidity after considering the proceeds from the Business Combination is considered sufficient to satisfy the Company’s operating liabilities for a period greater than 12 months following the issuance date of these financial statements. As such, management considers that the substantial doubt about the Company’s ability to continue as a going concern is alleviated by the inclusion of these additional funds in its available sources of liquidity.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management to make certain estimates and assumptions that affect the reported amounts of assets and liabilities and disclosure of contingent assets and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 due to the short-term nature of these items.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FS-61</w:t>
      </w:r>
    </w:p>
    <w:p>
      <w:pPr>
        <w:sectPr>
          <w:pgSz w:w="11900" w:h="16838" w:orient="portrait"/>
          <w:cols w:equalWidth="0" w:num="1">
            <w:col w:w="11120"/>
          </w:cols>
          <w:pgMar w:left="320" w:top="482"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Cash and equivalents are financial instruments that are potentially subject to concentrations of credit risk. The Company’s cash and equivalents are deposited in accounts at large financial institutions, and such amounts may exceed federally insured limits.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Condensed Consolidated Balance Sheets as of June 30, 2022 and December 31, 2021 consisted of the following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costs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2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6,184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18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176"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FS-62</w:t>
      </w:r>
    </w:p>
    <w:p>
      <w:pPr>
        <w:sectPr>
          <w:pgSz w:w="11900" w:h="16838" w:orient="portrait"/>
          <w:cols w:equalWidth="0" w:num="1">
            <w:col w:w="11120"/>
          </w:cols>
          <w:pgMar w:left="320" w:top="482"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3-5 years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5-7 years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0" w:type="dxa"/>
            <w:vAlign w:val="bottom"/>
            <w:gridSpan w:val="6"/>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9"/>
              </w:rPr>
              <w:t>remainder of lease term</w:t>
            </w:r>
          </w:p>
        </w:tc>
        <w:tc>
          <w:tcPr>
            <w:tcW w:w="2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10,538</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10,517</w:t>
            </w:r>
          </w:p>
        </w:tc>
      </w:tr>
      <w:tr>
        <w:trPr>
          <w:trHeight w:val="216"/>
        </w:trPr>
        <w:tc>
          <w:tcPr>
            <w:tcW w:w="8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8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(3,461)</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(2,259)</w:t>
            </w:r>
          </w:p>
        </w:tc>
      </w:tr>
      <w:tr>
        <w:trPr>
          <w:trHeight w:val="223"/>
        </w:trPr>
        <w:tc>
          <w:tcPr>
            <w:tcW w:w="880" w:type="dxa"/>
            <w:vAlign w:val="bottom"/>
          </w:tcPr>
          <w:p>
            <w:pPr>
              <w:spacing w:after="0"/>
              <w:rPr>
                <w:sz w:val="19"/>
                <w:szCs w:val="19"/>
                <w:color w:val="auto"/>
              </w:rPr>
            </w:pPr>
          </w:p>
        </w:tc>
        <w:tc>
          <w:tcPr>
            <w:tcW w:w="4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assets, net</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10,857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$604,000 and $402,000, respectively. Depreciation expense for the six months ended June 30, 2022 and 2021 was $1,198,000 and $578,000,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acquired assembled workforce, which are accounted for in accordance with ASC 350—Intangibles—Goodwill and Other. The acquired assembled workforce is amortized on a straight-line basis over the useful life of five years. The following table summarizes information related to the Company’s assembled workforce intangible asset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Estimated amortization expense for the remaining six months of 2022 was $100,000, $215,000 for the year ended December 31, 2023 and $5,000 for the year ended December 31, 2024. Amortization expense relating to the assembled workforce intangible asset was $54,000 and $107,000 for each of the three and six months ended June 30, 2022 and 2021,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six months ended June 30, 2022 or 2021.</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FS-63</w:t>
      </w:r>
    </w:p>
    <w:p>
      <w:pPr>
        <w:sectPr>
          <w:pgSz w:w="11900" w:h="16838" w:orient="portrait"/>
          <w:cols w:equalWidth="0" w:num="1">
            <w:col w:w="11080"/>
          </w:cols>
          <w:pgMar w:left="320" w:top="482" w:right="4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was organized as a limited liability company, is now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 ProKidney-US is a limited liability company and has elected to be treated as a C corporation. Therefore, a provision for federal and state taxes has been recorded.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June 30, 2022 and December 31, 2021.</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(provision) for income taxes in the Company’s Condensed Consolidated Statements of Operations and Comprehensive Loss. The Company has not incurred any significant interest or penalties related to income taxes in any of the periods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85"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short-term nature of these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FS-64</w:t>
      </w:r>
    </w:p>
    <w:p>
      <w:pPr>
        <w:sectPr>
          <w:pgSz w:w="11900" w:h="16838" w:orient="portrait"/>
          <w:cols w:equalWidth="0" w:num="1">
            <w:col w:w="11120"/>
          </w:cols>
          <w:pgMar w:left="320" w:top="482"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ProKidney 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(as defined in the Limited Partnership Agreement).</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January 17, 2022, the Company amended and restated its Limited Partnership Agreement (the “Amended and Restated Limited Partnership Agreement”) in part to authorize the issuance of up to 50,000,000 Class B Units (including Class B-1 Units). The Amended and Restated Limited Partnership Agreement provided that certain qualified distribution events would result in holders of Profits Interests receiving disproportionate distributions from ProKidney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discussed in Note 1, the Company’s existing Class B Units (including Class B-1 Units) were “caught up” and were converted into Class A Units of the Company. The resulting vested and unvested Class A Units were then recapitalized into Common Units or Restricted Common Units of ProKidney Corp., respectively. Upon recapitalization, the Restricted Common Units maintained the vesting schedules associated with the original Profits Interest awards.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measures compensation expense for Profits Interests based on estimated fair values at the time of grant. The Company estimates the fair value of Profits Interests using generally accepted valuation procedures. The Company recognizes compensation expense, on a straight-line basis, for the portion of the Profits Interests’ value that is expected to vest over the requisite service period. The Company records forfeitures of Profits Interests as they occur.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FS-65</w:t>
      </w:r>
    </w:p>
    <w:p>
      <w:pPr>
        <w:sectPr>
          <w:pgSz w:w="11900" w:h="16838" w:orient="portrait"/>
          <w:cols w:equalWidth="0" w:num="1">
            <w:col w:w="11120"/>
          </w:cols>
          <w:pgMar w:left="320" w:top="482"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In February 2016, the FASB issued ASU No. 2016-02, Leases (Topic 842), which requires lessees to recognize a right-of-use asset and a liability on the balance sheet for all leases, with the exception of short-term leases. The lease liability will be equal to the present value of lease payments, and the right-of-use asset will be based on the lease liability, subject to adjustment such as for initial direct costs. Leases will continue to be classified as either operating or finance leases in the income statement. The guidance is effective for annual periods beginning after December 15, 2021, with early adoption permitted. The Company early adopted ASU No. 2016-02, Leases (Topic 842), as of January 1, 2021. For additional detail, see Note 4, Leases.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August 12, 2022, which is the date the consolidated financial statements were available to be issued. See additional information in Note 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Income Taxes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Company’s subsidiary, ProKidney-US, is treated as a C corporation, and therefore a provision for federal and state taxes has been recorded. The Company’s effective tax rate for the three months ended June 30, 2022 and 2021, was (5.8)% and (0.1)%, respectively. The Company’s effective tax rate for the six months ended June 30, 2022 and 2021, was (2.6)% and (0.1)%, respectively. The difference between the Company’s effective tax rates and the U.S. statutory rate of 21% is primarily attributable to the Company and ProKidney-KY being treated as partnerships for income tax purposes.</w:t>
      </w:r>
    </w:p>
    <w:p>
      <w:pPr>
        <w:spacing w:after="0" w:line="16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tax years beginning after December 31, 2021, the Tax Cut and Jobs Act of 2017 (the “TCJA”) requires specified research and development expenses to be capitalized and amortized ratably over a five-year period. The adoption of this provision of the TCJA is the primary driver of income tax expense recognized during the three and six months ended June 30, 2022.</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There were no net unrecognized tax benefits as of June 30, 2022 which, if recognized, would affect our effective tax rate. We expect none of the gross unrecognized tax benefits will decrease within the next year.</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uncertain tax positions during the six months ended June 30, 2022 from the amount that was reflected at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This ASU requires a lessee to recognize a right-of-use asset and a lease liability on its balance sheet for most operating leases. ASU 2016-02 is effective for annual and interim periods beginning after December 15, 2018, including interim periods within those fiscal years. In July 2018, the FASB issued ASU 2018-11, Leases (Topic 842): Targeted Improvements, which provides companies with an additional optional transition method to apply the new standard to leases in effect at the adoption date through a cumulative effect adjustment. The Company adopted the new lease standard as of January 1, 2021 using the modified retrospective transition method.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elected the package of practical expedients referenced in ASU 2016-02, which permits companies to retain original lease identification and classification without reassessing initial direct costs for existing leases. The Company also elected the practical expedient that exempts leases with an initial lease term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FS-66</w:t>
      </w:r>
    </w:p>
    <w:p>
      <w:pPr>
        <w:sectPr>
          <w:pgSz w:w="11900" w:h="16838" w:orient="portrait"/>
          <w:cols w:equalWidth="0" w:num="1">
            <w:col w:w="11120"/>
          </w:cols>
          <w:pgMar w:left="320" w:top="482"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twelve months or less, as well as the practical expedient that allows companies to select, by class of underlying asset, not to separate lease and non-lease components. Adoption of this standard resulted in the recognition of a right-of-use asset and a lease liability on the Company’s January 1, 2021 Consolidated Balance Sheet of $1,560,000 and $1,559,000 respectively. There was no material impact on the Company’s Condensed Consolidated Statement of Operations and Comprehensive Loss.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office space) and certain equipment with various expiration dates. The Company also has one finance lease for certain equipment. Rent expense was $140,000 and $78,000, for the three months ended June 30, 2022 and 2021, respectively. For the six months ended June 30, 2022 and 2021, the Company’s rent expense was $229,000 and $221,000, respectively.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Condensed Consolidated Balance Sheets as of June 30, 2022 and December 31, 2021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1,876</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w:t>
            </w:r>
          </w:p>
        </w:tc>
      </w:tr>
      <w:tr>
        <w:trPr>
          <w:trHeight w:val="198"/>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1,551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1,894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w:t>
            </w:r>
          </w:p>
        </w:tc>
      </w:tr>
      <w:tr>
        <w:trPr>
          <w:trHeight w:val="324"/>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43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June 30, 2022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4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six months)</w:t>
            </w:r>
          </w:p>
        </w:tc>
        <w:tc>
          <w:tcPr>
            <w:tcW w:w="2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4.5 years, and 2.8 years for the finance lease. The weighted average discount rate is 8.5%.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Debt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January 18, 2022, in connection with execution of the Business Combination Agreement, the Company entered into the Promissory Notes. Through the Promissory Notes, the holders could fund up to $100,000,000 to support the operational financing needs of the Company prior to the Closing of the Business Combination. These notes bore interest at a rate of 3% per annum and were due upon the earliest of either (i) the date on which the Business Combination closed or (ii) January 17, 2023.</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FS-67</w:t>
      </w:r>
    </w:p>
    <w:p>
      <w:pPr>
        <w:sectPr>
          <w:pgSz w:w="11900" w:h="16838" w:orient="portrait"/>
          <w:cols w:equalWidth="0" w:num="1">
            <w:col w:w="11100"/>
          </w:cols>
          <w:pgMar w:left="320" w:top="482" w:right="4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Drawdowns on the Promissory Notes could be made in multiples of $10,000 unless otherwise agreed upon. Once an amount is drawn down under the Promissory Notes, it was no longer available for future drawdown requests even if prepaid.</w:t>
      </w:r>
    </w:p>
    <w:p>
      <w:pPr>
        <w:spacing w:after="0" w:line="164"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6"/>
          <w:szCs w:val="16"/>
          <w:color w:val="auto"/>
        </w:rPr>
        <w:t>During the three and six months ended June 30, 2022, the Company borrowed $15,000,000 and $35,000,000, respectively, under the Promissory Notes. During the three and six months ended June 30, 2022, the Company recognized interest expense of $168,000 and $180,000, respectively related to the Promissory Notes. Interest payable as of June 30, 2022 was $180,000 and is reflected within accrued expenses and other within the Condensed Consolidated Balance Sheets. The amounts due under the Promissory Notes were paid upon Closing of the Business Combination described in Note 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Note 6: Members’ Equity</w:t>
      </w:r>
    </w:p>
    <w:p>
      <w:pPr>
        <w:spacing w:after="0" w:line="129" w:lineRule="exact"/>
        <w:rPr>
          <w:sz w:val="20"/>
          <w:szCs w:val="20"/>
          <w:color w:val="auto"/>
        </w:rPr>
      </w:pPr>
    </w:p>
    <w:p>
      <w:pPr>
        <w:ind w:left="120" w:right="200" w:firstLine="440"/>
        <w:spacing w:after="0" w:line="298" w:lineRule="auto"/>
        <w:rPr>
          <w:sz w:val="20"/>
          <w:szCs w:val="20"/>
          <w:color w:val="auto"/>
        </w:rPr>
      </w:pPr>
      <w:r>
        <w:rPr>
          <w:rFonts w:ascii="Times New Roman" w:cs="Times New Roman" w:eastAsia="Times New Roman" w:hAnsi="Times New Roman"/>
          <w:sz w:val="16"/>
          <w:szCs w:val="16"/>
          <w:color w:val="auto"/>
        </w:rPr>
        <w:t>Ownership interests in the Company were represented by two classes of units, Class A Units and Class B Units. The terms of the units were governed by the LP Agreement. As of June 30, 2022, there were 190,000,000 Class A and 50,000,000 Class B Units authorized (including Class B-1 Units).</w:t>
      </w:r>
    </w:p>
    <w:p>
      <w:pPr>
        <w:spacing w:after="0" w:line="164" w:lineRule="exact"/>
        <w:rPr>
          <w:sz w:val="20"/>
          <w:szCs w:val="20"/>
          <w:color w:val="auto"/>
        </w:rPr>
      </w:pPr>
    </w:p>
    <w:p>
      <w:pPr>
        <w:ind w:left="120" w:right="320" w:firstLine="440"/>
        <w:spacing w:after="0" w:line="298" w:lineRule="auto"/>
        <w:rPr>
          <w:sz w:val="20"/>
          <w:szCs w:val="20"/>
          <w:color w:val="auto"/>
        </w:rPr>
      </w:pPr>
      <w:r>
        <w:rPr>
          <w:rFonts w:ascii="Times New Roman" w:cs="Times New Roman" w:eastAsia="Times New Roman" w:hAnsi="Times New Roman"/>
          <w:sz w:val="16"/>
          <w:szCs w:val="16"/>
          <w:color w:val="auto"/>
        </w:rPr>
        <w:t>Holders of Class A Units had voting rights and rights to profits and losses of the Company and distributions from the Company. No Class A Units were issued during the three and six months ended June 30, 2022.</w:t>
      </w:r>
    </w:p>
    <w:p>
      <w:pPr>
        <w:spacing w:after="0" w:line="164" w:lineRule="exact"/>
        <w:rPr>
          <w:sz w:val="20"/>
          <w:szCs w:val="20"/>
          <w:color w:val="auto"/>
        </w:rPr>
      </w:pPr>
    </w:p>
    <w:p>
      <w:pPr>
        <w:ind w:left="120" w:right="40" w:firstLine="440"/>
        <w:spacing w:after="0" w:line="280" w:lineRule="auto"/>
        <w:rPr>
          <w:sz w:val="20"/>
          <w:szCs w:val="20"/>
          <w:color w:val="auto"/>
        </w:rPr>
      </w:pPr>
      <w:r>
        <w:rPr>
          <w:rFonts w:ascii="Times New Roman" w:cs="Times New Roman" w:eastAsia="Times New Roman" w:hAnsi="Times New Roman"/>
          <w:sz w:val="16"/>
          <w:szCs w:val="16"/>
          <w:color w:val="auto"/>
        </w:rPr>
        <w:t>During the three months ended June 30, 2022, the Company issued 549,451 of its Class B-1 Units for total cash proceeds of $500,000. During the six months ended June 30, 2022, the Company issued 6,648,353 of its Class B-1 Units for total cash proceeds of $6,050,000. As these awards were issued for a price below their estimated fair value to employees, board members and other service providers, the provisions of ASC Topic 718 – Stock Compensation apply. Refer to Note 8 for further details.</w:t>
      </w:r>
    </w:p>
    <w:p>
      <w:pPr>
        <w:spacing w:after="0" w:line="382"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6"/>
          <w:szCs w:val="16"/>
          <w:color w:val="auto"/>
        </w:rPr>
        <w:t>The Class B Units were reserved for issuance of Profits Interests and did not have voting rights. The Profits Interests were designed so that the holders of Profits Interests could only participate in a qualified distribution event and only if its valuation threshold was attained in such a distribution event as set forth in the Limited Partnership Agreement; provided, however, that the Limited Partnership Agreement, as amended and restated in January 2022, provided that certain qualified distribution events would result in the holders of Profits Interests receiving disproportionate distributions from ProKidney until each such holder’s threshold value had been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Note 7: Net Loss per Share</w:t>
      </w:r>
    </w:p>
    <w:p>
      <w:pPr>
        <w:spacing w:after="0" w:line="129"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6"/>
          <w:szCs w:val="16"/>
          <w:color w:val="auto"/>
        </w:rPr>
        <w:t>Basic loss per share (“EPS”) was computed by dividing net loss by the number of weighted average units of Class A Units outstanding during the period. Diluted EPS was calculated to give effect to potentially issuable dilutive units of common units using the treasury method. For all periods presented, the vested and unvested Profits Interests have been excluded from the diluted EPS calculation as their effect would be anti-dilutive. The following table sets forth the calculation of basic and diluted earnings per share for the periods indicated based on the weighted average number of common shares outstanding:​</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5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83"/>
        </w:trPr>
        <w:tc>
          <w:tcPr>
            <w:tcW w:w="35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Numerator</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Net loss available to Class A Unit holders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(22,131)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(12,725)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(89,617)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(24,334)</w:t>
            </w:r>
          </w:p>
        </w:tc>
      </w:tr>
      <w:tr>
        <w:trPr>
          <w:trHeight w:val="20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1"/>
        </w:trPr>
        <w:tc>
          <w:tcPr>
            <w:tcW w:w="35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Weighted average Class A Units outstanding,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and diluted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98"/>
              </w:rPr>
              <w:t>186,500,000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98"/>
              </w:rPr>
              <w:t>140,109,890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w w:val="98"/>
              </w:rPr>
              <w:t>186,500,000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131,160,221</w:t>
            </w:r>
          </w:p>
        </w:tc>
      </w:tr>
      <w:tr>
        <w:trPr>
          <w:trHeight w:val="20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per Class A Unit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1"/>
        </w:trPr>
        <w:tc>
          <w:tcPr>
            <w:tcW w:w="352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Net loss per Class A Unit, basic and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5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(0.48)</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(0.19)</w:t>
            </w:r>
          </w:p>
        </w:tc>
      </w:tr>
      <w:tr>
        <w:trPr>
          <w:trHeight w:val="20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Antidilutive securities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Class B Units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27,100,937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7,767,122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27,100,937</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7,767,122</w:t>
            </w:r>
          </w:p>
        </w:tc>
      </w:tr>
    </w:tbl>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FS-68</w:t>
      </w:r>
    </w:p>
    <w:p>
      <w:pPr>
        <w:sectPr>
          <w:pgSz w:w="11900" w:h="16838" w:orient="portrait"/>
          <w:cols w:equalWidth="0" w:num="1">
            <w:col w:w="11120"/>
          </w:cols>
          <w:pgMar w:left="320" w:top="482"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Equity Based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Profits Interests Awards</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issuance of Profits Interests to employees, directors, and other service providers of the Company (“Plan Participants”) was administered at the discretion of ProKidney GP Limited, the general partner of ProKidney until the Closing (the “Legacy General Partner”). Profits Interests allowed the Plan Participants to participate in the residual profits of the Company after the distribution of proceeds reach a minimum threshold value. The threshold value was the amount of proceeds that must be distributed to the holders of Class A Units before the Plan Participants could participate in a distribution.</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Limited Partnership Agreement, the Legacy General Partner determined the terms and conditions of the Profits Interests issued. The threshold value assigned to each grant was not to be less than the fair market value of the Company on the date of grant. Profits Interests awards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 The Profits Interests were subject to a repurchase option should the plan participant no longer be employed by the Company.</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the six months ended June 30, 2022, related to the Company’s Class B and B-1 Units granted as equity awards to its employees, board members and service providers:​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0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6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awards outstanding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2,460,617</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9,977,072</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(1,073,973)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(41,612)</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11,322,104</w:t>
            </w: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of June 30, 2022, the unrecognized compensation expense related to these awards was $54,463,000. The current weighted average remaining period over which the unrecognized compensation expense is expected to be recognized is 3.4 years. The weighted average grant date fair value of the Profits Interests granted during the three and six months ended June 30, 2022, was $6.42 and $6.09, respectively, per Class B-1 unit. There were no Profits Interests granted during the three and six months ended June 30, 2021.</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there remained 22,899,063 Class B Units available for issuance. Given that these instruments meet the criteria for being considered profits interests, the Company has recognized no tax benefit related to these awards.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Modification to Profits Interest Awards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January 17, 2022, the Limited Partnership Agreement was amended and restated to provide that certain qualified distribution events would result in the holders of Profits Interests receiving disproportionate distributions from ProKidney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FS-69</w:t>
      </w:r>
    </w:p>
    <w:p>
      <w:pPr>
        <w:sectPr>
          <w:pgSz w:w="11900" w:h="16838" w:orient="portrait"/>
          <w:cols w:equalWidth="0" w:num="1">
            <w:col w:w="11120"/>
          </w:cols>
          <w:pgMar w:left="320" w:top="482"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amendment constituted a modification to the Class B Units outstanding as of the date of the modification under the provisions of ASC Topic</w:t>
      </w:r>
    </w:p>
    <w:p>
      <w:pPr>
        <w:spacing w:after="0" w:line="27" w:lineRule="exact"/>
        <w:rPr>
          <w:sz w:val="20"/>
          <w:szCs w:val="20"/>
          <w:color w:val="auto"/>
        </w:rPr>
      </w:pPr>
    </w:p>
    <w:p>
      <w:pPr>
        <w:ind w:left="120" w:right="340" w:hanging="4"/>
        <w:spacing w:after="0" w:line="255" w:lineRule="auto"/>
        <w:tabs>
          <w:tab w:leader="none" w:pos="4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modification of its outstanding share-based compensation awards, the Company will recognize total additional compensation expense of $5,437,000 related to awards granted to its employees. The portion of this additional compensation expense attributable to vested awards of $3,715,000 was recognized immediately upon modification during the six months ended June 30, 2022.</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Profits Interests to Service Provider</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During the six months ended June 30, 2022, the Company issued 2,750,000 fully vested Class B-1 Units to a third-party service provider as payment for research and development services provided in prior periods. The Company had previously recognized expense of $2,502,000 for these services based on the liability related to the services incurred. As the fair value of shares issued to satisfy that obligation was higher than the amount previously expensed, the Company recognized additional research and development expense of $14,080,000 during the six months ended June 30, 2022.</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Class B-1 Units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discussed further in Note 6, certain of the Company’s employees, board members and service providers purchased 549,451 and 6,648,353 of its Class B-1 Units for total cash proceeds of $500,000 and $6,050,000, respectively, during the three and six months ended June 30, 2022. Since these Class B-1 Units were fully vested upon purchase and contained no service requirements, the Company immediately recognized the difference between the purchase price and the estimated fair value for these Class B-1 Units of $3,027,000 and $34,254,000 as equity-based compensation expense during the three and six months ended June 30, 2022, respectively. No such sales occurred during the three and six months ended June 30, 2021.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the issuance and purchase of Class B and B-1 Units is included in research and development and general and administrative expense as follows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7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18,703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175</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41,983</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350</w:t>
            </w:r>
          </w:p>
        </w:tc>
        <w:tc>
          <w:tcPr>
            <w:tcW w:w="60" w:type="dxa"/>
            <w:vAlign w:val="bottom"/>
          </w:tcPr>
          <w:p>
            <w:pPr>
              <w:spacing w:after="0"/>
              <w:rPr>
                <w:sz w:val="19"/>
                <w:szCs w:val="19"/>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8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175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60,686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350</w:t>
            </w:r>
          </w:p>
        </w:tc>
        <w:tc>
          <w:tcPr>
            <w:tcW w:w="60" w:type="dxa"/>
            <w:vAlign w:val="bottom"/>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Estimate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Company is privately held with no active public market for its equity instruments. Therefore, for financial reporting purposes, management may periodically determine the estimated per share fair value of the Company’s equity shares (including Profits Interests) using contemporaneous valuations. These contemporaneous valuations are done using methodologies consistent with the American Institute of Certified Public Accountants Practice Aid, Valuation of Privately-Held Company Equity Securities Issued as Compensation, also known as the Practice Aid.</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Profits Interest Awards granted during the three and six months ended June 30, 2022, the valuation approach utilized a hybrid method which consists of a combination of an Option Pricing Method (“OPM”) and a Probability Weighted Expected Return Method (“PWERM”) approach. Weighting allocations were assigned to the OPM an PWERM methods based upon the expected likelihood possible future liquidity events, including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FS-70</w:t>
      </w:r>
    </w:p>
    <w:p>
      <w:pPr>
        <w:sectPr>
          <w:pgSz w:w="11900" w:h="16838" w:orient="portrait"/>
          <w:cols w:equalWidth="0" w:num="1">
            <w:col w:w="11120"/>
          </w:cols>
          <w:pgMar w:left="320" w:top="482"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Under the OPM approach, the fair value of the total equity of the Company within each scenario was first estimated using a back-solve method wherein the equity value is derived from a recent transaction in the Company’s own securities, and then the total equity value is allocated to the various components of the capital structure, including the Profits Interests, using an OPM or a waterfall approach based on the specific rights of each of the equity classes. The OPM uses the fair value of the total equity of the Company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PWERM approach is a scenario-based analysis that estimates the value per ordinary sharebased on the probability-weighted present value of expected future equity values for the ordinary shares, under various possible future liquidity event scenarios, including the proposed Business Combination, in light of the rights and preferences of each class and series of shares, including the Profits Interests, discounted for a lack of marketability.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performing these valuations, management considered all objective and subjective factors that they believed to be relevant, including management’s best estimate of the Company’s business condition, prospects, and operating performance at each valuation date. Within the valuations performed, a range of factors, assumptions, and methodologies were used. The significant factors included trends within the industry, the prices at which the Company sold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reflects the key assumptions used in each of the valuation scenarios for awards granted during the six months ended June 30, 2022:​</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OPM</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PWERM</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value (in thousands)</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$234,551 - $280,400</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total equity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- 90%</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for lack of market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80" w:type="dxa"/>
            <w:vAlign w:val="bottom"/>
            <w:shd w:val="clear" w:color="auto" w:fill="CCEEFF"/>
          </w:tcPr>
          <w:p>
            <w:pPr>
              <w:spacing w:after="0"/>
              <w:rPr>
                <w:sz w:val="18"/>
                <w:szCs w:val="18"/>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to exit event</w:t>
            </w:r>
          </w:p>
        </w:tc>
        <w:tc>
          <w:tcPr>
            <w:tcW w:w="2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3.4 years - 3.7 years</w:t>
            </w: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0.1 years - 0.5 years</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discussed in Note 1, the Company closed the Business Combination with SCS on July 11,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FS-71</w:t>
      </w:r>
    </w:p>
    <w:p>
      <w:pPr>
        <w:sectPr>
          <w:pgSz w:w="11900" w:h="16838" w:orient="portrait"/>
          <w:cols w:equalWidth="0" w:num="1">
            <w:col w:w="11100"/>
          </w:cols>
          <w:pgMar w:left="320" w:top="482"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Up to 239,420,000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1424305</wp:posOffset>
            </wp:positionV>
            <wp:extent cx="1474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648970</wp:posOffset>
            </wp:positionV>
            <wp:extent cx="6995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type w:val="continuous"/>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ordinary shares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Charter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 2021, the Sponsor paid $25,000 to cover certain offering and formation costs of SCS in consideration for which the Sponsor received 5,750,000 SCS Class B ordinary shares (the “Founder Shares”). On June 29, 2021, SCS effected a share capitalization with respect to its SCS Class B ordinary shares of 575,000 shares thereof, resulting in the Sponsor holding an aggregate of 6,325,000 Founder Shares. The Founder Shares included an aggregate of up to 825,000 shares that were subject to forfeiture depending on the extent to which the underwriters’ over-allotment option was exercised. As a result of the underwriters’ election to partially exercise their over-allotment option, a total of 750,000 Founder Shares were no longer subject to forfeiture and 75,000 Founder Shares were forfeited, resulting in an aggregate of 6,250,000 Founder Shares then outstanding. In June 2021, the Sponsor transferred 30,000 Founder Shares to Marc Semigran, M.D., an independent director of SCS. The Founder Shares became ProKidney Class A ordinary shares upon the consummation of the Business Combination.</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Such securities were issued in connection with SCS’s organization pursuant to the exemption from registration contained in Section 4(a)(2) of the Securities Act. The Sponsor is an accredited investor for purposes of Rule 501 of Regulation 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82"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SCS consummated the PIPE Investment, pursuant to which SCS offered and sold to the PIPE Investors, under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Agreements, an aggregate of 52,480,000 SCS Class A ordinary shares at a price of $10.00 per share for aggregate gross proceeds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$524,800,000. The PIPE Investment closed substantially concurrently with the Business Combination. The SCS Class A ordinary shares issued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 Investors became ProKidney Class A ordinary shares upon consummation of the Business Combination.</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 issued to the PIPE Investors in the PIPE Investment on the Closing Date were issued pursuant to the exemption from registration under Section 4(a)(2) of the Securities Act and/or Regulation D promulgated under the Securities Act. The PIPE Investors are accredited investors for purposes of Rule 501 of Regulation 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Statements.</w:t>
      </w:r>
    </w:p>
    <w:p>
      <w:pPr>
        <w:spacing w:after="0" w:line="133" w:lineRule="exact"/>
        <w:rPr>
          <w:sz w:val="20"/>
          <w:szCs w:val="20"/>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3"/>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9"/>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vMerge w:val="restart"/>
          </w:tcPr>
          <w:p>
            <w:pPr>
              <w:spacing w:after="0"/>
              <w:rPr>
                <w:sz w:val="12"/>
                <w:szCs w:val="12"/>
                <w:color w:val="auto"/>
              </w:rPr>
            </w:pPr>
          </w:p>
        </w:tc>
        <w:tc>
          <w:tcPr>
            <w:tcW w:w="348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herein from</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8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3480" w:type="dxa"/>
            <w:vAlign w:val="bottom"/>
            <w:gridSpan w:val="20"/>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74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2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22"/>
                <w:szCs w:val="22"/>
                <w:color w:val="auto"/>
              </w:rPr>
            </w:pPr>
          </w:p>
        </w:tc>
        <w:tc>
          <w:tcPr>
            <w:tcW w:w="5400" w:type="dxa"/>
            <w:vAlign w:val="bottom"/>
            <w:gridSpan w:val="23"/>
          </w:tcPr>
          <w:p>
            <w:pPr>
              <w:spacing w:after="0"/>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Business Combination Agreement, dated as of January 18, 2022, by</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01/21/2022</w:t>
            </w:r>
          </w:p>
        </w:tc>
        <w:tc>
          <w:tcPr>
            <w:tcW w:w="98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and among ProKidney Corp. (formerly Social Capital Suvretta</w:t>
              </w:r>
            </w:hyperlink>
          </w:p>
        </w:tc>
        <w:tc>
          <w:tcPr>
            <w:tcW w:w="5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62">
              <w:r>
                <w:rPr>
                  <w:rFonts w:ascii="Times New Roman" w:cs="Times New Roman" w:eastAsia="Times New Roman" w:hAnsi="Times New Roman"/>
                  <w:sz w:val="18"/>
                  <w:szCs w:val="18"/>
                  <w:color w:val="0000EE"/>
                  <w:w w:val="98"/>
                </w:rPr>
                <w:t>Holdings Corp. III) and ProKidney LP.</w:t>
              </w:r>
            </w:hyperlink>
          </w:p>
        </w:tc>
        <w:tc>
          <w:tcPr>
            <w:tcW w:w="1700" w:type="dxa"/>
            <w:vAlign w:val="bottom"/>
            <w:tcBorders>
              <w:top w:val="single" w:sz="8" w:color="0000EE"/>
            </w:tcBorders>
            <w:gridSpan w:val="4"/>
          </w:tcPr>
          <w:p>
            <w:pPr>
              <w:spacing w:after="0"/>
              <w:rPr>
                <w:sz w:val="17"/>
                <w:szCs w:val="17"/>
                <w:color w:val="auto"/>
              </w:rPr>
            </w:pPr>
          </w:p>
        </w:tc>
        <w:tc>
          <w:tcPr>
            <w:tcW w:w="900" w:type="dxa"/>
            <w:vAlign w:val="bottom"/>
            <w:gridSpan w:val="13"/>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24"/>
                <w:szCs w:val="24"/>
                <w:color w:val="auto"/>
              </w:rPr>
            </w:pPr>
          </w:p>
        </w:tc>
        <w:tc>
          <w:tcPr>
            <w:tcW w:w="44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63">
              <w:r>
                <w:rPr>
                  <w:rFonts w:ascii="Times New Roman" w:cs="Times New Roman" w:eastAsia="Times New Roman" w:hAnsi="Times New Roman"/>
                  <w:sz w:val="18"/>
                  <w:szCs w:val="18"/>
                  <w:color w:val="0000EE"/>
                  <w:w w:val="99"/>
                </w:rPr>
                <w:t>Second Amended and Restated Memorandum and Articles of</w:t>
              </w:r>
            </w:hyperlink>
          </w:p>
        </w:tc>
        <w:tc>
          <w:tcPr>
            <w:tcW w:w="980" w:type="dxa"/>
            <w:vAlign w:val="bottom"/>
            <w:gridSpan w:val="15"/>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98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63">
              <w:r>
                <w:rPr>
                  <w:rFonts w:ascii="Times New Roman" w:cs="Times New Roman" w:eastAsia="Times New Roman" w:hAnsi="Times New Roman"/>
                  <w:sz w:val="18"/>
                  <w:szCs w:val="18"/>
                  <w:color w:val="0000EE"/>
                  <w:w w:val="99"/>
                </w:rPr>
                <w:t>Association of ProKidney Corp.</w:t>
              </w:r>
            </w:hyperlink>
          </w:p>
        </w:tc>
        <w:tc>
          <w:tcPr>
            <w:tcW w:w="308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Pr>
          <w:p>
            <w:pPr>
              <w:spacing w:after="0"/>
              <w:rPr>
                <w:sz w:val="24"/>
                <w:szCs w:val="24"/>
                <w:color w:val="auto"/>
              </w:rPr>
            </w:pPr>
          </w:p>
        </w:tc>
        <w:tc>
          <w:tcPr>
            <w:tcW w:w="25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364">
              <w:r>
                <w:rPr>
                  <w:rFonts w:ascii="Times New Roman" w:cs="Times New Roman" w:eastAsia="Times New Roman" w:hAnsi="Times New Roman"/>
                  <w:sz w:val="18"/>
                  <w:szCs w:val="18"/>
                  <w:color w:val="0000EE"/>
                  <w:w w:val="98"/>
                </w:rPr>
                <w:t>Opinion of Walkers (Cayman) LLP</w:t>
              </w:r>
            </w:hyperlink>
          </w:p>
        </w:tc>
        <w:tc>
          <w:tcPr>
            <w:tcW w:w="2860" w:type="dxa"/>
            <w:vAlign w:val="bottom"/>
            <w:gridSpan w:val="18"/>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49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365">
              <w:r>
                <w:rPr>
                  <w:rFonts w:ascii="Times New Roman" w:cs="Times New Roman" w:eastAsia="Times New Roman" w:hAnsi="Times New Roman"/>
                  <w:sz w:val="18"/>
                  <w:szCs w:val="18"/>
                  <w:color w:val="0000EE"/>
                  <w:w w:val="99"/>
                </w:rPr>
                <w:t>Form of Subscription Agreement for Institutional Investors, dated as</w:t>
              </w:r>
            </w:hyperlink>
          </w:p>
        </w:tc>
        <w:tc>
          <w:tcPr>
            <w:tcW w:w="46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01/21/2022</w:t>
            </w:r>
          </w:p>
        </w:tc>
        <w:tc>
          <w:tcPr>
            <w:tcW w:w="98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65">
              <w:r>
                <w:rPr>
                  <w:rFonts w:ascii="Times New Roman" w:cs="Times New Roman" w:eastAsia="Times New Roman" w:hAnsi="Times New Roman"/>
                  <w:sz w:val="18"/>
                  <w:szCs w:val="18"/>
                  <w:color w:val="0000EE"/>
                  <w:w w:val="99"/>
                </w:rPr>
                <w:t>of January 18, 2022, by and between ProKidney Corp. (formerly</w:t>
              </w:r>
            </w:hyperlink>
          </w:p>
        </w:tc>
        <w:tc>
          <w:tcPr>
            <w:tcW w:w="7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365">
              <w:r>
                <w:rPr>
                  <w:rFonts w:ascii="Times New Roman" w:cs="Times New Roman" w:eastAsia="Times New Roman" w:hAnsi="Times New Roman"/>
                  <w:sz w:val="18"/>
                  <w:szCs w:val="18"/>
                  <w:color w:val="0000EE"/>
                  <w:w w:val="99"/>
                </w:rPr>
                <w:t>Social Capital Suvretta Holdings Corp. III) and the subscriber parties</w:t>
              </w:r>
            </w:hyperlink>
          </w:p>
        </w:tc>
        <w:tc>
          <w:tcPr>
            <w:tcW w:w="42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65">
              <w:r>
                <w:rPr>
                  <w:rFonts w:ascii="Times New Roman" w:cs="Times New Roman" w:eastAsia="Times New Roman" w:hAnsi="Times New Roman"/>
                  <w:sz w:val="18"/>
                  <w:szCs w:val="18"/>
                  <w:color w:val="0000EE"/>
                  <w:w w:val="95"/>
                </w:rPr>
                <w:t>thereto.</w:t>
              </w:r>
            </w:hyperlink>
          </w:p>
        </w:tc>
        <w:tc>
          <w:tcPr>
            <w:tcW w:w="4860" w:type="dxa"/>
            <w:vAlign w:val="bottom"/>
            <w:gridSpan w:val="22"/>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24"/>
                <w:szCs w:val="24"/>
                <w:color w:val="auto"/>
              </w:rPr>
            </w:pPr>
          </w:p>
        </w:tc>
        <w:tc>
          <w:tcPr>
            <w:tcW w:w="50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66">
              <w:r>
                <w:rPr>
                  <w:rFonts w:ascii="Times New Roman" w:cs="Times New Roman" w:eastAsia="Times New Roman" w:hAnsi="Times New Roman"/>
                  <w:sz w:val="18"/>
                  <w:szCs w:val="18"/>
                  <w:color w:val="0000EE"/>
                  <w:w w:val="99"/>
                </w:rPr>
                <w:t>Form of Subscription Agreement for Individual Investors, dated as of</w:t>
              </w:r>
            </w:hyperlink>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01/21/2022</w:t>
            </w:r>
          </w:p>
        </w:tc>
        <w:tc>
          <w:tcPr>
            <w:tcW w:w="98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66">
              <w:r>
                <w:rPr>
                  <w:rFonts w:ascii="Times New Roman" w:cs="Times New Roman" w:eastAsia="Times New Roman" w:hAnsi="Times New Roman"/>
                  <w:sz w:val="18"/>
                  <w:szCs w:val="18"/>
                  <w:color w:val="0000EE"/>
                  <w:w w:val="99"/>
                </w:rPr>
                <w:t>January 18, 2022, by and between ProKidney Corp. (formerly Social</w:t>
              </w:r>
            </w:hyperlink>
          </w:p>
        </w:tc>
        <w:tc>
          <w:tcPr>
            <w:tcW w:w="4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66">
              <w:r>
                <w:rPr>
                  <w:rFonts w:ascii="Times New Roman" w:cs="Times New Roman" w:eastAsia="Times New Roman" w:hAnsi="Times New Roman"/>
                  <w:sz w:val="18"/>
                  <w:szCs w:val="18"/>
                  <w:color w:val="0000EE"/>
                  <w:w w:val="99"/>
                </w:rPr>
                <w:t>Capital Suvretta Holdings Corp. III) and the subscriber parties</w:t>
              </w:r>
            </w:hyperlink>
          </w:p>
        </w:tc>
        <w:tc>
          <w:tcPr>
            <w:tcW w:w="92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66">
              <w:r>
                <w:rPr>
                  <w:rFonts w:ascii="Times New Roman" w:cs="Times New Roman" w:eastAsia="Times New Roman" w:hAnsi="Times New Roman"/>
                  <w:sz w:val="18"/>
                  <w:szCs w:val="18"/>
                  <w:color w:val="0000EE"/>
                  <w:w w:val="95"/>
                </w:rPr>
                <w:t>thereto.</w:t>
              </w:r>
            </w:hyperlink>
          </w:p>
        </w:tc>
        <w:tc>
          <w:tcPr>
            <w:tcW w:w="4860" w:type="dxa"/>
            <w:vAlign w:val="bottom"/>
            <w:gridSpan w:val="22"/>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rPr>
                <w:sz w:val="24"/>
                <w:szCs w:val="24"/>
                <w:color w:val="auto"/>
              </w:rPr>
            </w:pPr>
          </w:p>
        </w:tc>
        <w:tc>
          <w:tcPr>
            <w:tcW w:w="4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Sponsor Support Agreement, dated January 18, 2022, by and among</w:t>
              </w:r>
            </w:hyperlink>
          </w:p>
        </w:tc>
        <w:tc>
          <w:tcPr>
            <w:tcW w:w="48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01/21/2022</w:t>
            </w:r>
          </w:p>
        </w:tc>
        <w:tc>
          <w:tcPr>
            <w:tcW w:w="98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ProKidney Corp. (formerly Social Capital Suvretta Holdings Corp.</w:t>
              </w:r>
            </w:hyperlink>
          </w:p>
        </w:tc>
        <w:tc>
          <w:tcPr>
            <w:tcW w:w="58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III), SCS Sponsor III LLC, ProKidney LP and the directors and</w:t>
              </w:r>
            </w:hyperlink>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67">
              <w:r>
                <w:rPr>
                  <w:rFonts w:ascii="Times New Roman" w:cs="Times New Roman" w:eastAsia="Times New Roman" w:hAnsi="Times New Roman"/>
                  <w:sz w:val="18"/>
                  <w:szCs w:val="18"/>
                  <w:color w:val="0000EE"/>
                  <w:w w:val="98"/>
                </w:rPr>
                <w:t>officers named therein.</w:t>
              </w:r>
            </w:hyperlink>
          </w:p>
        </w:tc>
        <w:tc>
          <w:tcPr>
            <w:tcW w:w="2900" w:type="dxa"/>
            <w:vAlign w:val="bottom"/>
            <w:tcBorders>
              <w:top w:val="single" w:sz="8" w:color="0000EE"/>
            </w:tcBorders>
            <w:gridSpan w:val="9"/>
          </w:tcPr>
          <w:p>
            <w:pPr>
              <w:spacing w:after="0"/>
              <w:rPr>
                <w:sz w:val="17"/>
                <w:szCs w:val="17"/>
                <w:color w:val="auto"/>
              </w:rPr>
            </w:pPr>
          </w:p>
        </w:tc>
        <w:tc>
          <w:tcPr>
            <w:tcW w:w="84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5400" w:type="dxa"/>
            <w:vAlign w:val="bottom"/>
            <w:gridSpan w:val="23"/>
          </w:tcPr>
          <w:p>
            <w:pPr>
              <w:spacing w:after="0"/>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color w:val="0000EE"/>
                </w:rPr>
                <w:t>ProKidney Unitholder Support Agreement, dated January 18, 2022,</w:t>
              </w:r>
            </w:hyperlink>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01/21/2022</w:t>
            </w:r>
          </w:p>
        </w:tc>
        <w:tc>
          <w:tcPr>
            <w:tcW w:w="98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color w:val="0000EE"/>
                </w:rPr>
                <w:t>by and among ProKidney Corp. (formerly Social Capital Suvretta</w:t>
              </w:r>
            </w:hyperlink>
          </w:p>
        </w:tc>
        <w:tc>
          <w:tcPr>
            <w:tcW w:w="54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(Exhibit 10.4)</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20" w:type="dxa"/>
            <w:vAlign w:val="bottom"/>
            <w:gridSpan w:val="1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Holdings Corp. III), ProKidney LP and the persons named therein.</w:t>
              </w:r>
            </w:hyperlink>
          </w:p>
        </w:tc>
        <w:tc>
          <w:tcPr>
            <w:tcW w:w="60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82"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60" w:type="dxa"/>
            <w:vAlign w:val="bottom"/>
            <w:gridSpan w:val="26"/>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6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2"/>
                <w:szCs w:val="22"/>
                <w:color w:val="auto"/>
              </w:rPr>
            </w:pPr>
          </w:p>
        </w:tc>
        <w:tc>
          <w:tcPr>
            <w:tcW w:w="3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70">
              <w:r>
                <w:rPr>
                  <w:rFonts w:ascii="Times New Roman" w:cs="Times New Roman" w:eastAsia="Times New Roman" w:hAnsi="Times New Roman"/>
                  <w:sz w:val="18"/>
                  <w:szCs w:val="18"/>
                  <w:color w:val="0000EE"/>
                  <w:w w:val="99"/>
                </w:rPr>
                <w:t>ProKidney Corp. Employee Stock Purchase Plan.</w:t>
              </w:r>
            </w:hyperlink>
          </w:p>
        </w:tc>
        <w:tc>
          <w:tcPr>
            <w:tcW w:w="138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Pr>
          <w:p>
            <w:pPr>
              <w:spacing w:after="0"/>
              <w:rPr>
                <w:sz w:val="24"/>
                <w:szCs w:val="24"/>
                <w:color w:val="auto"/>
              </w:rPr>
            </w:pPr>
          </w:p>
        </w:tc>
        <w:tc>
          <w:tcPr>
            <w:tcW w:w="3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71">
              <w:r>
                <w:rPr>
                  <w:rFonts w:ascii="Times New Roman" w:cs="Times New Roman" w:eastAsia="Times New Roman" w:hAnsi="Times New Roman"/>
                  <w:sz w:val="18"/>
                  <w:szCs w:val="18"/>
                  <w:color w:val="0000EE"/>
                  <w:w w:val="99"/>
                </w:rPr>
                <w:t>ProKidney Corp. 2022 Incentive Equity Plan.</w:t>
              </w:r>
            </w:hyperlink>
          </w:p>
        </w:tc>
        <w:tc>
          <w:tcPr>
            <w:tcW w:w="16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24"/>
                <w:szCs w:val="24"/>
                <w:color w:val="auto"/>
              </w:rPr>
            </w:pPr>
          </w:p>
        </w:tc>
        <w:tc>
          <w:tcPr>
            <w:tcW w:w="2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372">
              <w:r>
                <w:rPr>
                  <w:rFonts w:ascii="Times New Roman" w:cs="Times New Roman" w:eastAsia="Times New Roman" w:hAnsi="Times New Roman"/>
                  <w:sz w:val="18"/>
                  <w:szCs w:val="18"/>
                  <w:color w:val="0000EE"/>
                  <w:w w:val="99"/>
                </w:rPr>
                <w:t>Form of Indemnification Agreement.</w:t>
              </w:r>
            </w:hyperlink>
          </w:p>
        </w:tc>
        <w:tc>
          <w:tcPr>
            <w:tcW w:w="22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tcPr>
          <w:p>
            <w:pPr>
              <w:spacing w:after="0"/>
              <w:rPr>
                <w:sz w:val="24"/>
                <w:szCs w:val="24"/>
                <w:color w:val="auto"/>
              </w:rPr>
            </w:pPr>
          </w:p>
        </w:tc>
        <w:tc>
          <w:tcPr>
            <w:tcW w:w="4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373">
              <w:r>
                <w:rPr>
                  <w:rFonts w:ascii="Times New Roman" w:cs="Times New Roman" w:eastAsia="Times New Roman" w:hAnsi="Times New Roman"/>
                  <w:sz w:val="18"/>
                  <w:szCs w:val="18"/>
                  <w:color w:val="0000EE"/>
                  <w:w w:val="99"/>
                </w:rPr>
                <w:t>Amended and Restated Registration Rights Agreement, dated as of</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July 11, 2022, by and among ProKidney Corp. (formerly Social</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Capital Suvretta Holdings Corp. III), SCS Sponsor III LLC and</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73">
              <w:r>
                <w:rPr>
                  <w:rFonts w:ascii="Times New Roman" w:cs="Times New Roman" w:eastAsia="Times New Roman" w:hAnsi="Times New Roman"/>
                  <w:sz w:val="18"/>
                  <w:szCs w:val="18"/>
                  <w:color w:val="0000EE"/>
                  <w:w w:val="99"/>
                </w:rPr>
                <w:t>certain of their securityholders.</w:t>
              </w:r>
            </w:hyperlink>
          </w:p>
        </w:tc>
        <w:tc>
          <w:tcPr>
            <w:tcW w:w="27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24"/>
                <w:szCs w:val="24"/>
                <w:color w:val="auto"/>
              </w:rPr>
            </w:pPr>
          </w:p>
        </w:tc>
        <w:tc>
          <w:tcPr>
            <w:tcW w:w="4960" w:type="dxa"/>
            <w:vAlign w:val="bottom"/>
            <w:gridSpan w:val="26"/>
          </w:tcPr>
          <w:p>
            <w:pPr>
              <w:spacing w:after="0"/>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Lock-up Agreement, dated July 11, 2022, by and among ProKidney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Corp. (formerly Social Capital Suvretta Holdings Corp. III), SCS</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Sponsor III LLC and certain holders.</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24"/>
                <w:szCs w:val="24"/>
                <w:color w:val="auto"/>
              </w:rPr>
            </w:pPr>
          </w:p>
        </w:tc>
        <w:tc>
          <w:tcPr>
            <w:tcW w:w="49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Second Amended and Restated Limited Partnership Agreement for 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60" w:type="dxa"/>
            <w:vAlign w:val="bottom"/>
            <w:gridSpan w:val="26"/>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Limited Partnership Called ProKidney LP, dated July 11, 2022,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and among ProKidney Corp. (formerly Social Capital Suvretta</w:t>
              </w:r>
            </w:hyperlink>
          </w:p>
        </w:tc>
        <w:tc>
          <w:tcPr>
            <w:tcW w:w="260" w:type="dxa"/>
            <w:vAlign w:val="bottom"/>
            <w:tcBorders>
              <w:top w:val="single" w:sz="8" w:color="0000EE"/>
            </w:tcBorders>
            <w:gridSpan w:val="10"/>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Holdings Corp. III), ProKidney Corp. GP Limited, ProKidney GP</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60" w:type="dxa"/>
            <w:vAlign w:val="bottom"/>
            <w:gridSpan w:val="26"/>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Limited, and the limited partners named therein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00" w:type="dxa"/>
            <w:vAlign w:val="bottom"/>
          </w:tcPr>
          <w:p>
            <w:pPr>
              <w:spacing w:after="0"/>
              <w:rPr>
                <w:sz w:val="24"/>
                <w:szCs w:val="24"/>
                <w:color w:val="auto"/>
              </w:rPr>
            </w:pPr>
          </w:p>
        </w:tc>
        <w:tc>
          <w:tcPr>
            <w:tcW w:w="4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Tax Receivable Agreement, dated July 11, 2022, by and among</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ProKidney Corp. (formerly Social Capital Suvretta Holdings Corp.</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60" w:type="dxa"/>
            <w:vAlign w:val="bottom"/>
            <w:gridSpan w:val="26"/>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III), TRA Party Representative, and other parties named therein.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tcPr>
          <w:p>
            <w:pPr>
              <w:spacing w:after="0"/>
              <w:rPr>
                <w:sz w:val="24"/>
                <w:szCs w:val="24"/>
                <w:color w:val="auto"/>
              </w:rPr>
            </w:pPr>
          </w:p>
        </w:tc>
        <w:tc>
          <w:tcPr>
            <w:tcW w:w="4960" w:type="dxa"/>
            <w:vAlign w:val="bottom"/>
            <w:gridSpan w:val="26"/>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Exchange Agreement, by and among ProKidney Corp. (formerly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Social Capital Suvretta Holdings Corp. III), ProKidney LP, and</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certain holders named therein.</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4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Master Services Agreement, dated February 15, 2021, by and</w:t>
              </w:r>
            </w:hyperlink>
          </w:p>
        </w:tc>
        <w:tc>
          <w:tcPr>
            <w:tcW w:w="5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between George Clinical PTY Limited and ProKidney (formerly</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60" w:type="dxa"/>
            <w:vAlign w:val="bottom"/>
            <w:gridSpan w:val="26"/>
          </w:tcPr>
          <w:p>
            <w:pPr>
              <w:spacing w:after="0" w:line="196" w:lineRule="exact"/>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RegenMed (Cayman) Ltd.)</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4960" w:type="dxa"/>
            <w:vAlign w:val="bottom"/>
            <w:gridSpan w:val="26"/>
          </w:tcPr>
          <w:p>
            <w:pPr>
              <w:spacing w:after="0"/>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Research, Development, Engineering Services and License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60" w:type="dxa"/>
            <w:vAlign w:val="bottom"/>
            <w:gridSpan w:val="11"/>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Memorandum and Agreement, dated January 16, 2022, by and</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00" w:right="480"/>
        <w:spacing w:after="0" w:line="282" w:lineRule="auto"/>
        <w:rPr>
          <w:rFonts w:ascii="Times New Roman" w:cs="Times New Roman" w:eastAsia="Times New Roman" w:hAnsi="Times New Roman"/>
          <w:sz w:val="18"/>
          <w:szCs w:val="18"/>
          <w:u w:val="single" w:color="auto"/>
          <w:color w:val="0000EE"/>
        </w:rPr>
      </w:pPr>
      <w:hyperlink r:id="rId379">
        <w:r>
          <w:rPr>
            <w:rFonts w:ascii="Times New Roman" w:cs="Times New Roman" w:eastAsia="Times New Roman" w:hAnsi="Times New Roman"/>
            <w:sz w:val="18"/>
            <w:szCs w:val="18"/>
            <w:u w:val="single" w:color="auto"/>
            <w:color w:val="0000EE"/>
          </w:rPr>
          <w:t>between ProKidney (formerly RegenMed (Cayman) Ltd.) and</w:t>
        </w:r>
      </w:hyperlink>
      <w:r>
        <w:rPr>
          <w:rFonts w:ascii="Times New Roman" w:cs="Times New Roman" w:eastAsia="Times New Roman" w:hAnsi="Times New Roman"/>
          <w:sz w:val="18"/>
          <w:szCs w:val="18"/>
          <w:u w:val="single" w:color="auto"/>
          <w:color w:val="0000EE"/>
        </w:rPr>
        <w:t xml:space="preserve"> </w:t>
      </w:r>
      <w:hyperlink r:id="rId379">
        <w:r>
          <w:rPr>
            <w:rFonts w:ascii="Times New Roman" w:cs="Times New Roman" w:eastAsia="Times New Roman" w:hAnsi="Times New Roman"/>
            <w:sz w:val="18"/>
            <w:szCs w:val="18"/>
            <w:u w:val="single" w:color="auto"/>
            <w:color w:val="0000EE"/>
          </w:rPr>
          <w:t>DEKA Products Limited Partnership</w:t>
        </w:r>
      </w:hyperlink>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herein from</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87"/>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72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2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22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720" w:type="dxa"/>
            <w:vAlign w:val="bottom"/>
            <w:gridSpan w:val="3"/>
          </w:tcPr>
          <w:p>
            <w:pPr>
              <w:jc w:val="center"/>
              <w:ind w:left="136"/>
              <w:spacing w:after="0"/>
              <w:rPr>
                <w:sz w:val="20"/>
                <w:szCs w:val="20"/>
                <w:color w:val="auto"/>
              </w:rPr>
            </w:pPr>
            <w:r>
              <w:rPr>
                <w:rFonts w:ascii="Times New Roman" w:cs="Times New Roman" w:eastAsia="Times New Roman" w:hAnsi="Times New Roman"/>
                <w:sz w:val="18"/>
                <w:szCs w:val="18"/>
                <w:color w:val="auto"/>
                <w:w w:val="99"/>
              </w:rPr>
              <w:t>(Exhibit 10.12)</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 10.11)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720" w:type="dxa"/>
            <w:vAlign w:val="bottom"/>
            <w:gridSpan w:val="3"/>
          </w:tcPr>
          <w:p>
            <w:pPr>
              <w:jc w:val="center"/>
              <w:ind w:left="136"/>
              <w:spacing w:after="0"/>
              <w:rPr>
                <w:sz w:val="20"/>
                <w:szCs w:val="20"/>
                <w:color w:val="auto"/>
              </w:rPr>
            </w:pPr>
            <w:r>
              <w:rPr>
                <w:rFonts w:ascii="Times New Roman" w:cs="Times New Roman" w:eastAsia="Times New Roman" w:hAnsi="Times New Roman"/>
                <w:sz w:val="18"/>
                <w:szCs w:val="18"/>
                <w:color w:val="auto"/>
                <w:w w:val="99"/>
              </w:rPr>
              <w:t>(Exhibit 10.13)</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 10.4)</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 10.3)</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 10.5)</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4"/>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 10.1)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07/15/2022</w:t>
            </w: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001-40560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 10.2)</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160" w:space="360"/>
            <w:col w:w="4560"/>
          </w:cols>
          <w:pgMar w:left="320" w:top="482"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302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302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10.15*</w:t>
            </w:r>
          </w:p>
        </w:tc>
        <w:tc>
          <w:tcPr>
            <w:tcW w:w="520" w:type="dxa"/>
            <w:vAlign w:val="bottom"/>
          </w:tcPr>
          <w:p>
            <w:pPr>
              <w:spacing w:after="0"/>
              <w:rPr>
                <w:sz w:val="22"/>
                <w:szCs w:val="22"/>
                <w:color w:val="auto"/>
              </w:rPr>
            </w:pPr>
          </w:p>
        </w:tc>
        <w:tc>
          <w:tcPr>
            <w:tcW w:w="48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Master Services Agreement, dated April 20, 2020, by and between</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IQVIA RDS Inc. and ProKidney (formerly RegenMed (Cayman)</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81">
              <w:r>
                <w:rPr>
                  <w:rFonts w:ascii="Times New Roman" w:cs="Times New Roman" w:eastAsia="Times New Roman" w:hAnsi="Times New Roman"/>
                  <w:sz w:val="18"/>
                  <w:szCs w:val="18"/>
                  <w:color w:val="0000EE"/>
                  <w:w w:val="95"/>
                </w:rPr>
                <w:t>Ltd.)</w:t>
              </w:r>
            </w:hyperlink>
          </w:p>
        </w:tc>
        <w:tc>
          <w:tcPr>
            <w:tcW w:w="44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10.16*</w:t>
            </w:r>
          </w:p>
        </w:tc>
        <w:tc>
          <w:tcPr>
            <w:tcW w:w="520" w:type="dxa"/>
            <w:vAlign w:val="bottom"/>
          </w:tcPr>
          <w:p>
            <w:pPr>
              <w:spacing w:after="0"/>
              <w:rPr>
                <w:sz w:val="24"/>
                <w:szCs w:val="24"/>
                <w:color w:val="auto"/>
              </w:rPr>
            </w:pPr>
          </w:p>
        </w:tc>
        <w:tc>
          <w:tcPr>
            <w:tcW w:w="4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Master Agreement for Clinical Trials Services, dated April 2,</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2020, by and between ProKidney (formerly RegenMed (Cayman)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Ltd.) and Frenova,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10.17*</w:t>
            </w:r>
          </w:p>
        </w:tc>
        <w:tc>
          <w:tcPr>
            <w:tcW w:w="520" w:type="dxa"/>
            <w:vAlign w:val="bottom"/>
          </w:tcPr>
          <w:p>
            <w:pPr>
              <w:spacing w:after="0"/>
              <w:rPr>
                <w:sz w:val="24"/>
                <w:szCs w:val="24"/>
                <w:color w:val="auto"/>
              </w:rPr>
            </w:pPr>
          </w:p>
        </w:tc>
        <w:tc>
          <w:tcPr>
            <w:tcW w:w="4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Master Services Agreement, dated May 1, 2019, by and between</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PPD Development, LP and ProKidney (formerly RegenMed</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3">
              <w:r>
                <w:rPr>
                  <w:rFonts w:ascii="Times New Roman" w:cs="Times New Roman" w:eastAsia="Times New Roman" w:hAnsi="Times New Roman"/>
                  <w:sz w:val="18"/>
                  <w:szCs w:val="18"/>
                  <w:color w:val="0000EE"/>
                </w:rPr>
                <w:t>(Cayman) Ltd.)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10.18*</w:t>
            </w:r>
          </w:p>
        </w:tc>
        <w:tc>
          <w:tcPr>
            <w:tcW w:w="52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Master Services Agreement, dated August 14, 2015, by and</w:t>
              </w:r>
            </w:hyperlink>
          </w:p>
        </w:tc>
        <w:tc>
          <w:tcPr>
            <w:tcW w:w="5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between CTI Clinical Trial Services Inc. and RegenMedTX, LLC</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10.19*</w:t>
            </w:r>
          </w:p>
        </w:tc>
        <w:tc>
          <w:tcPr>
            <w:tcW w:w="520" w:type="dxa"/>
            <w:vAlign w:val="bottom"/>
          </w:tcPr>
          <w:p>
            <w:pPr>
              <w:spacing w:after="0"/>
              <w:rPr>
                <w:sz w:val="24"/>
                <w:szCs w:val="24"/>
                <w:color w:val="auto"/>
              </w:rPr>
            </w:pPr>
          </w:p>
        </w:tc>
        <w:tc>
          <w:tcPr>
            <w:tcW w:w="47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Laboratory Service Agreement, dated August 16, 2016, by and</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85">
              <w:r>
                <w:rPr>
                  <w:rFonts w:ascii="Times New Roman" w:cs="Times New Roman" w:eastAsia="Times New Roman" w:hAnsi="Times New Roman"/>
                  <w:sz w:val="18"/>
                  <w:szCs w:val="18"/>
                  <w:color w:val="0000EE"/>
                  <w:w w:val="99"/>
                </w:rPr>
                <w:t>among Covance Central Laboratory Services LP, Covance Central</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Laboratory Services SA` RL and ProKidney (formerly RegenMed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(Cayman) Ltd.)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10.20*</w:t>
            </w:r>
          </w:p>
        </w:tc>
        <w:tc>
          <w:tcPr>
            <w:tcW w:w="520" w:type="dxa"/>
            <w:vAlign w:val="bottom"/>
          </w:tcPr>
          <w:p>
            <w:pPr>
              <w:spacing w:after="0"/>
              <w:rPr>
                <w:sz w:val="24"/>
                <w:szCs w:val="24"/>
                <w:color w:val="auto"/>
              </w:rPr>
            </w:pPr>
          </w:p>
        </w:tc>
        <w:tc>
          <w:tcPr>
            <w:tcW w:w="4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Laboratory Service Agreement, dated August 1, 2017, by and</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among Covance Central Laboratory Services LP, Covance Central</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Laboratory Services SA` RL and ProKidney (formerly RegenMed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(Cayman) Ltd.)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10.21*</w:t>
            </w:r>
          </w:p>
        </w:tc>
        <w:tc>
          <w:tcPr>
            <w:tcW w:w="520" w:type="dxa"/>
            <w:vAlign w:val="bottom"/>
          </w:tcPr>
          <w:p>
            <w:pPr>
              <w:spacing w:after="0"/>
              <w:rPr>
                <w:sz w:val="24"/>
                <w:szCs w:val="24"/>
                <w:color w:val="auto"/>
              </w:rPr>
            </w:pPr>
          </w:p>
        </w:tc>
        <w:tc>
          <w:tcPr>
            <w:tcW w:w="4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87">
              <w:r>
                <w:rPr>
                  <w:rFonts w:ascii="Times New Roman" w:cs="Times New Roman" w:eastAsia="Times New Roman" w:hAnsi="Times New Roman"/>
                  <w:sz w:val="18"/>
                  <w:szCs w:val="18"/>
                  <w:color w:val="0000EE"/>
                  <w:w w:val="99"/>
                </w:rPr>
                <w:t>Laboratory Service Agreement, dated June 21, 2019, by and</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87">
              <w:r>
                <w:rPr>
                  <w:rFonts w:ascii="Times New Roman" w:cs="Times New Roman" w:eastAsia="Times New Roman" w:hAnsi="Times New Roman"/>
                  <w:sz w:val="18"/>
                  <w:szCs w:val="18"/>
                  <w:color w:val="0000EE"/>
                  <w:w w:val="99"/>
                </w:rPr>
                <w:t>among Covance Central Laboratory Services LP, Covance Central</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Laboratory Services SA` RL and ProKidney (formerly RegenMed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(Cayman) Ltd.)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10.22*</w:t>
            </w:r>
          </w:p>
        </w:tc>
        <w:tc>
          <w:tcPr>
            <w:tcW w:w="520" w:type="dxa"/>
            <w:vAlign w:val="bottom"/>
          </w:tcPr>
          <w:p>
            <w:pPr>
              <w:spacing w:after="0"/>
              <w:rPr>
                <w:sz w:val="24"/>
                <w:szCs w:val="24"/>
                <w:color w:val="auto"/>
              </w:rPr>
            </w:pPr>
          </w:p>
        </w:tc>
        <w:tc>
          <w:tcPr>
            <w:tcW w:w="47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88">
              <w:r>
                <w:rPr>
                  <w:rFonts w:ascii="Times New Roman" w:cs="Times New Roman" w:eastAsia="Times New Roman" w:hAnsi="Times New Roman"/>
                  <w:sz w:val="18"/>
                  <w:szCs w:val="18"/>
                  <w:color w:val="0000EE"/>
                  <w:w w:val="99"/>
                </w:rPr>
                <w:t>Laboratory Service Agreement, dated September 16, 2021, by and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among Labcorp Central Laboratory Services LP, Labcorp Central</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60" w:type="dxa"/>
            <w:vAlign w:val="bottom"/>
            <w:gridSpan w:val="11"/>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Laboratory Services SA` RL and ProKidney (formerly RegenMed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(Cayman) Ltd.)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20" w:type="dxa"/>
            <w:vAlign w:val="bottom"/>
          </w:tcPr>
          <w:p>
            <w:pPr>
              <w:spacing w:after="0"/>
              <w:rPr>
                <w:sz w:val="24"/>
                <w:szCs w:val="24"/>
                <w:color w:val="auto"/>
              </w:rPr>
            </w:pPr>
          </w:p>
        </w:tc>
        <w:tc>
          <w:tcPr>
            <w:tcW w:w="4840" w:type="dxa"/>
            <w:vAlign w:val="bottom"/>
            <w:gridSpan w:val="20"/>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4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48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Consent of Marcum LLP, independent registered public accounting</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firm.</w:t>
            </w:r>
          </w:p>
        </w:tc>
        <w:tc>
          <w:tcPr>
            <w:tcW w:w="44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herein from</w:t>
            </w: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87"/>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80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2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Form 8-K</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07/15/2022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001-40560</w:t>
            </w:r>
          </w:p>
        </w:tc>
      </w:tr>
    </w:tbl>
    <w:p>
      <w:pPr>
        <w:ind w:left="1060"/>
        <w:spacing w:after="0"/>
        <w:rPr>
          <w:sz w:val="20"/>
          <w:szCs w:val="20"/>
          <w:color w:val="auto"/>
        </w:rPr>
      </w:pPr>
      <w:r>
        <w:rPr>
          <w:rFonts w:ascii="Times New Roman" w:cs="Times New Roman" w:eastAsia="Times New Roman" w:hAnsi="Times New Roman"/>
          <w:sz w:val="18"/>
          <w:szCs w:val="18"/>
          <w:color w:val="auto"/>
        </w:rPr>
        <w:t>(Exhibit 21.1)</w:t>
      </w:r>
    </w:p>
    <w:p>
      <w:pPr>
        <w:spacing w:after="0" w:line="1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060" w:space="380"/>
            <w:col w:w="4620"/>
          </w:cols>
          <w:pgMar w:left="320" w:top="482" w:right="5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30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400" w:type="dxa"/>
            <w:vAlign w:val="bottom"/>
            <w:gridSpan w:val="9"/>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herein from</w:t>
            </w:r>
          </w:p>
        </w:tc>
        <w:tc>
          <w:tcPr>
            <w:tcW w:w="68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30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4400" w:type="dxa"/>
            <w:vAlign w:val="bottom"/>
            <w:gridSpan w:val="9"/>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6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50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w w:val="95"/>
              </w:rPr>
              <w:t>23.2</w:t>
            </w:r>
          </w:p>
        </w:tc>
        <w:tc>
          <w:tcPr>
            <w:tcW w:w="800" w:type="dxa"/>
            <w:vAlign w:val="bottom"/>
          </w:tcPr>
          <w:p>
            <w:pPr>
              <w:spacing w:after="0"/>
              <w:rPr>
                <w:sz w:val="22"/>
                <w:szCs w:val="22"/>
                <w:color w:val="auto"/>
              </w:rPr>
            </w:pPr>
          </w:p>
        </w:tc>
        <w:tc>
          <w:tcPr>
            <w:tcW w:w="3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w:t>
            </w:r>
          </w:p>
        </w:tc>
        <w:tc>
          <w:tcPr>
            <w:tcW w:w="740" w:type="dxa"/>
            <w:vAlign w:val="bottom"/>
            <w:gridSpan w:val="2"/>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304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23.3</w:t>
            </w:r>
          </w:p>
        </w:tc>
        <w:tc>
          <w:tcPr>
            <w:tcW w:w="800" w:type="dxa"/>
            <w:vAlign w:val="bottom"/>
          </w:tcPr>
          <w:p>
            <w:pPr>
              <w:spacing w:after="0"/>
              <w:rPr>
                <w:sz w:val="24"/>
                <w:szCs w:val="24"/>
                <w:color w:val="auto"/>
              </w:rPr>
            </w:pPr>
          </w:p>
        </w:tc>
        <w:tc>
          <w:tcPr>
            <w:tcW w:w="4720" w:type="dxa"/>
            <w:vAlign w:val="bottom"/>
            <w:gridSpan w:val="10"/>
          </w:tcPr>
          <w:p>
            <w:pPr>
              <w:spacing w:after="0"/>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Consent of Walkers (Cayman) LLP (included in Exhibit</w:t>
              </w:r>
            </w:hyperlink>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364">
              <w:r>
                <w:rPr>
                  <w:rFonts w:ascii="Times New Roman" w:cs="Times New Roman" w:eastAsia="Times New Roman" w:hAnsi="Times New Roman"/>
                  <w:sz w:val="18"/>
                  <w:szCs w:val="18"/>
                  <w:color w:val="0000EE"/>
                  <w:w w:val="90"/>
                </w:rPr>
                <w:t>5.</w:t>
              </w:r>
              <w:r>
                <w:rPr>
                  <w:rFonts w:ascii="Times New Roman" w:cs="Times New Roman" w:eastAsia="Times New Roman" w:hAnsi="Times New Roman"/>
                  <w:sz w:val="18"/>
                  <w:szCs w:val="18"/>
                  <w:u w:val="single" w:color="auto"/>
                  <w:color w:val="0000EE"/>
                  <w:w w:val="90"/>
                </w:rPr>
                <w:t>1)</w:t>
              </w:r>
              <w:r>
                <w:rPr>
                  <w:rFonts w:ascii="Times New Roman" w:cs="Times New Roman" w:eastAsia="Times New Roman" w:hAnsi="Times New Roman"/>
                  <w:sz w:val="18"/>
                  <w:szCs w:val="18"/>
                  <w:color w:val="0000EE"/>
                  <w:w w:val="90"/>
                </w:rPr>
                <w:t>.</w:t>
              </w:r>
            </w:hyperlink>
          </w:p>
        </w:tc>
        <w:tc>
          <w:tcPr>
            <w:tcW w:w="1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24.1*</w:t>
            </w:r>
          </w:p>
        </w:tc>
        <w:tc>
          <w:tcPr>
            <w:tcW w:w="800" w:type="dxa"/>
            <w:vAlign w:val="bottom"/>
          </w:tcPr>
          <w:p>
            <w:pPr>
              <w:spacing w:after="0"/>
              <w:rPr>
                <w:sz w:val="24"/>
                <w:szCs w:val="24"/>
                <w:color w:val="auto"/>
              </w:rPr>
            </w:pPr>
          </w:p>
        </w:tc>
        <w:tc>
          <w:tcPr>
            <w:tcW w:w="4720" w:type="dxa"/>
            <w:vAlign w:val="bottom"/>
            <w:gridSpan w:val="10"/>
          </w:tcPr>
          <w:p>
            <w:pPr>
              <w:spacing w:after="0"/>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Power of Attorney (included on the signature page to</w:t>
              </w:r>
            </w:hyperlink>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the initial Registration Statement)</w:t>
              </w:r>
            </w:hyperlink>
          </w:p>
        </w:tc>
        <w:tc>
          <w:tcPr>
            <w:tcW w:w="90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300" w:type="dxa"/>
            <w:vAlign w:val="bottom"/>
            <w:gridSpan w:val="5"/>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93"/>
              </w:rPr>
              <w:t>107.1</w:t>
            </w:r>
          </w:p>
        </w:tc>
        <w:tc>
          <w:tcPr>
            <w:tcW w:w="800" w:type="dxa"/>
            <w:vAlign w:val="bottom"/>
          </w:tcPr>
          <w:p>
            <w:pPr>
              <w:spacing w:after="0"/>
              <w:rPr>
                <w:sz w:val="24"/>
                <w:szCs w:val="24"/>
                <w:color w:val="auto"/>
              </w:rPr>
            </w:pPr>
          </w:p>
        </w:tc>
        <w:tc>
          <w:tcPr>
            <w:tcW w:w="47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Calculation of Registration Fee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ind w:left="340" w:right="120" w:hanging="224"/>
        <w:spacing w:after="0" w:line="250"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 (5). The Registrant agrees to furnish a copy of all omitted exhibits and schedules to the SEC upon its request.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5" w:lineRule="auto"/>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82"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right="160" w:hanging="439"/>
        <w:spacing w:after="0" w:line="282"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Winston-Salem, State of North Carolina, on August 26,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Tim Bertram,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Tim Bertram, Ph.D.</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0940"/>
          </w:cols>
          <w:pgMar w:left="320" w:top="482" w:right="6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40" w:type="dxa"/>
            <w:vAlign w:val="bottom"/>
            <w:gridSpan w:val="2"/>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gridSpan w:val="3"/>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/s/ Tim Bertram, Ph.D.</w:t>
            </w:r>
          </w:p>
        </w:tc>
        <w:tc>
          <w:tcPr>
            <w:tcW w:w="80" w:type="dxa"/>
            <w:vAlign w:val="bottom"/>
          </w:tcPr>
          <w:p>
            <w:pPr>
              <w:spacing w:after="0"/>
              <w:rPr>
                <w:sz w:val="24"/>
                <w:szCs w:val="24"/>
                <w:color w:val="auto"/>
              </w:rPr>
            </w:pP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Tim Bertram, Ph.D.</w:t>
            </w:r>
          </w:p>
        </w:tc>
        <w:tc>
          <w:tcPr>
            <w:tcW w:w="80" w:type="dxa"/>
            <w:vAlign w:val="bottom"/>
          </w:tcPr>
          <w:p>
            <w:pPr>
              <w:spacing w:after="0"/>
              <w:rPr>
                <w:sz w:val="19"/>
                <w:szCs w:val="19"/>
                <w:color w:val="auto"/>
              </w:rPr>
            </w:pP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/s/ James Coulston, CPA</w:t>
            </w:r>
          </w:p>
        </w:tc>
        <w:tc>
          <w:tcPr>
            <w:tcW w:w="80" w:type="dxa"/>
            <w:vAlign w:val="bottom"/>
          </w:tcPr>
          <w:p>
            <w:pPr>
              <w:spacing w:after="0"/>
              <w:rPr>
                <w:sz w:val="24"/>
                <w:szCs w:val="24"/>
                <w:color w:val="auto"/>
              </w:rPr>
            </w:pP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James Coulston, CPA</w:t>
            </w:r>
          </w:p>
        </w:tc>
        <w:tc>
          <w:tcPr>
            <w:tcW w:w="80" w:type="dxa"/>
            <w:vAlign w:val="bottom"/>
          </w:tcPr>
          <w:p>
            <w:pPr>
              <w:spacing w:after="0"/>
              <w:rPr>
                <w:sz w:val="19"/>
                <w:szCs w:val="19"/>
                <w:color w:val="auto"/>
              </w:rPr>
            </w:pP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Officer)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Chairman</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Pablo Legorreta</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7"/>
              </w:rPr>
              <w:t>William F. Doyle</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Jennifer Fox</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José Ignacio Jimenez Santos</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Alan M. Lotvin, M.D.</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John M. Maraganore, Ph.D</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Brian J.G. Pereira, M.D.</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460" w:type="dxa"/>
            <w:vAlign w:val="bottom"/>
            <w:tcBorders>
              <w:bottom w:val="single" w:sz="8" w:color="auto"/>
            </w:tcBorders>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August 26, 2022</w:t>
            </w:r>
          </w:p>
        </w:tc>
      </w:tr>
      <w:tr>
        <w:trPr>
          <w:trHeight w:val="228"/>
        </w:trPr>
        <w:tc>
          <w:tcPr>
            <w:tcW w:w="540" w:type="dxa"/>
            <w:vAlign w:val="bottom"/>
          </w:tcPr>
          <w:p>
            <w:pPr>
              <w:spacing w:after="0"/>
              <w:rPr>
                <w:sz w:val="19"/>
                <w:szCs w:val="19"/>
                <w:color w:val="auto"/>
              </w:rPr>
            </w:pPr>
          </w:p>
        </w:tc>
        <w:tc>
          <w:tcPr>
            <w:tcW w:w="3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Uma Sinha, Ph.D.</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4"/>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Tim Bertram, Ph.D.</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37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Tim Bertram, Ph.D.,</w:t>
            </w:r>
          </w:p>
        </w:tc>
        <w:tc>
          <w:tcPr>
            <w:tcW w:w="80" w:type="dxa"/>
            <w:vAlign w:val="bottom"/>
            <w:tcBorders>
              <w:top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78"/>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II-8</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ProKidney Corp. (f/k/a Social Capital Suvretta Holdings Corp. III) on Amendment No. 1 to Form S-1 of our report dated March 23, 2022, which includes an explanatory paragraph as to the Company’s ability to continue as a going concern, with respect to our audit of the financial statements of ProKidney Corp. (f/k/a Social Capital Suvretta Holdings Corp. III) as of December 31, 2021 and for the period from February 25, 2021 (inception) through December 31, 2021, which report appears in the Prospectus, which is part of this Registration Statement. We were dismissed as auditors on July 15,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2022</w:t>
      </w:r>
    </w:p>
    <w:p>
      <w:pPr>
        <w:sectPr>
          <w:pgSz w:w="11900" w:h="16838" w:orient="portrait"/>
          <w:cols w:equalWidth="0" w:num="1">
            <w:col w:w="11020"/>
          </w:cols>
          <w:pgMar w:left="440" w:top="117" w:right="4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April 11, 2022, with respect to the consolidated financial statements of ProKidney LP included in Amendment No. 1 to the Registration Statement (Form S-1) and related Prospectus of ProKidney Corp. for the registration of up to 239,420,000 shares of its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2022</w:t>
      </w:r>
    </w:p>
    <w:p>
      <w:pPr>
        <w:sectPr>
          <w:pgSz w:w="11900" w:h="16838" w:orient="portrait"/>
          <w:cols w:equalWidth="0" w:num="1">
            <w:col w:w="11020"/>
          </w:cols>
          <w:pgMar w:left="440" w:top="117" w:right="4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ProKidney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9"/>
        </w:trPr>
        <w:tc>
          <w:tcPr>
            <w:tcW w:w="5400" w:type="dxa"/>
            <w:vAlign w:val="bottom"/>
            <w:tcBorders>
              <w:top w:val="single" w:sz="8" w:color="auto"/>
              <w:left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Proposed Maximum</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Proposed Maximum</w:t>
            </w:r>
          </w:p>
        </w:tc>
        <w:tc>
          <w:tcPr>
            <w:tcW w:w="1300" w:type="dxa"/>
            <w:vAlign w:val="bottom"/>
            <w:tcBorders>
              <w:top w:val="single" w:sz="8" w:color="auto"/>
              <w:right w:val="single" w:sz="8" w:color="auto"/>
            </w:tcBorders>
          </w:tcPr>
          <w:p>
            <w:pPr>
              <w:spacing w:after="0"/>
              <w:rPr>
                <w:sz w:val="12"/>
                <w:szCs w:val="12"/>
                <w:color w:val="auto"/>
              </w:rPr>
            </w:pPr>
          </w:p>
        </w:tc>
      </w:tr>
      <w:tr>
        <w:trPr>
          <w:trHeight w:val="135"/>
        </w:trPr>
        <w:tc>
          <w:tcPr>
            <w:tcW w:w="540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Amount to be</w:t>
            </w:r>
          </w:p>
        </w:tc>
        <w:tc>
          <w:tcPr>
            <w:tcW w:w="1340" w:type="dxa"/>
            <w:vAlign w:val="bottom"/>
            <w:tcBorders>
              <w:right w:val="single" w:sz="8" w:color="auto"/>
            </w:tcBorders>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r>
      <w:tr>
        <w:trPr>
          <w:trHeight w:val="174"/>
        </w:trPr>
        <w:tc>
          <w:tcPr>
            <w:tcW w:w="540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w w:val="96"/>
              </w:rPr>
              <w:t>Title of Each Class of Security to be Registered</w:t>
            </w:r>
          </w:p>
        </w:tc>
        <w:tc>
          <w:tcPr>
            <w:tcW w:w="12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134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6"/>
              </w:rPr>
              <w:t>per Security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r>
      <w:tr>
        <w:trPr>
          <w:trHeight w:val="229"/>
        </w:trPr>
        <w:tc>
          <w:tcPr>
            <w:tcW w:w="5400" w:type="dxa"/>
            <w:vAlign w:val="bottom"/>
            <w:tcBorders>
              <w:left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color w:val="auto"/>
                <w:w w:val="99"/>
              </w:rPr>
              <w:t>Class A ordinary shares, par value $0.0001 per share</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239,420,000(2)</w:t>
            </w:r>
          </w:p>
        </w:tc>
        <w:tc>
          <w:tcPr>
            <w:tcW w:w="134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$7.41 - $8.68(3)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$2,069,415,300.00(3)</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$191,834.80(4)</w:t>
            </w:r>
          </w:p>
        </w:tc>
      </w:tr>
      <w:tr>
        <w:trPr>
          <w:trHeight w:val="22"/>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4" w:right="180" w:hanging="424"/>
        <w:spacing w:after="0" w:line="257"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registrant is also registering an indeterminate number of additional Class A common ordinary shares that may become issuable as a result of any stock dividend, stock split, recapitalization or other similar transaction.</w:t>
      </w:r>
    </w:p>
    <w:p>
      <w:pPr>
        <w:spacing w:after="0" w:line="1"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6,890,000 Class A ordinary shares, par value $0.0001 per share (“Class A ordinary shares”) of the Registrant, collectively held by certain holders (the “Holders”) party to that certain Amended and Restated Registration Rights Agreement, dated as of July 11, 2022, by and among the Registrant, SCS Sponsor III LLC, and the Holders (the “Amended and Restated Registration Rights Agreement”), their permitted transferees and certain Additional Holders (as defined in the Amended and Restated Registration Rights Agreement); (ii) 180,000,000 Class A ordinary shares issued or issuable pursuant to that certain Exchange Agreement, dated as of July 11, 2022, by and among the Registrant, ProKidney LP, and certain holders of the Registrant’s securities party thereto (the “Exchange Agreement”); (iii) 52,480,000 Class A ordinary shares, purchased by certain investors at a purchase price of $10.00 per share, pursuant to subscription agreements with the Registrant; and (iv) 50,000 Class A ordinary shares reserved for issuance upon the settlement of restricted stock units.</w:t>
      </w:r>
    </w:p>
    <w:p>
      <w:pPr>
        <w:spacing w:after="0" w:line="3"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is calculated as the product of (x)(i) 6,890,000 Class A ordinary shares and (ii) $7.41, which is the average of the high and low prices of the Class A ordinary shares on August 24, 2022 on the Nasdaq Capital Market (“Nasdaq”) (within five business days prior to the date of this Amendment No. 1) plus (y)(i) 232,530,000 Class A ordinary shares and (ii) $8.68, which is the average of the high and low prices of the Class A ordinary shares on August 3, 2022 on Nasdaq (within five business days prior to the date of the original Registration Statement)</w:t>
      </w:r>
    </w:p>
    <w:p>
      <w:pPr>
        <w:spacing w:after="0" w:line="1" w:lineRule="exact"/>
        <w:rPr>
          <w:rFonts w:ascii="Times New Roman" w:cs="Times New Roman" w:eastAsia="Times New Roman" w:hAnsi="Times New Roman"/>
          <w:sz w:val="18"/>
          <w:szCs w:val="18"/>
          <w:color w:val="auto"/>
        </w:rPr>
      </w:pPr>
    </w:p>
    <w:p>
      <w:pPr>
        <w:jc w:val="both"/>
        <w:ind w:left="424" w:right="780" w:hanging="424"/>
        <w:spacing w:after="0" w:line="253"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2022, the Registrant paid $187,102.01 in connection with the original Registration Statement relating to the total proposed maximum offering price of $2,018,360,400.00. In accordance with Rule 457(a) promulgated under the Securities Act, the amount of the registration fee due in connection with this Amendment No. 1 is offset by this amount. As a result, the Registrant is paying $4,732.79 in connection with this Amendment No. 1.</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lowerRoman"/>
      <w:start w:val="4"/>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1)"/>
      <w:numFmt w:val="lowerRoman"/>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1."/>
      <w:numFmt w:val="decimal"/>
      <w:start w:val="2"/>
    </w:lvl>
  </w:abstractNum>
  <w:abstractNum w:abstractNumId="51">
    <w:nsid w:val="50801EE1"/>
    <w:multiLevelType w:val="hybridMultilevel"/>
    <w:lvl w:ilvl="0">
      <w:lvlJc w:val="left"/>
      <w:lvlText w:val="%1."/>
      <w:numFmt w:val="decimal"/>
      <w:start w:val="3"/>
    </w:lvl>
    <w:lvl w:ilvl="1">
      <w:lvlJc w:val="left"/>
      <w:lvlText w:val="(%2)"/>
      <w:numFmt w:val="lowerLetter"/>
      <w:start w:val="1"/>
    </w:lvl>
  </w:abstractNum>
  <w:abstractNum w:abstractNumId="52">
    <w:nsid w:val="488AC1A"/>
    <w:multiLevelType w:val="hybridMultilevel"/>
    <w:lvl w:ilvl="0">
      <w:lvlJc w:val="left"/>
      <w:lvlText w:val="(%1)"/>
      <w:numFmt w:val="decimal"/>
      <w:start w:val="1"/>
    </w:lvl>
    <w:lvl w:ilvl="1">
      <w:lvlJc w:val="left"/>
      <w:lvlText w:val="(%2)"/>
      <w:numFmt w:val="lowerLetter"/>
      <w:start w:val="2"/>
    </w:lvl>
  </w:abstractNum>
  <w:abstractNum w:abstractNumId="53">
    <w:nsid w:val="5FB8011C"/>
    <w:multiLevelType w:val="hybridMultilevel"/>
    <w:lvl w:ilvl="0">
      <w:lvlJc w:val="left"/>
      <w:lvlText w:val="(%1)"/>
      <w:numFmt w:val="lowerLetter"/>
      <w:start w:val="8"/>
    </w:lvl>
  </w:abstractNum>
  <w:abstractNum w:abstractNumId="54">
    <w:nsid w:val="6AA78F7F"/>
    <w:multiLevelType w:val="hybridMultilevel"/>
    <w:lvl w:ilvl="0">
      <w:lvlJc w:val="left"/>
      <w:lvlText w:val="(%1)"/>
      <w:numFmt w:val="lowerLetter"/>
      <w:start w:val="13"/>
    </w:lvl>
  </w:abstractNum>
  <w:abstractNum w:abstractNumId="55">
    <w:nsid w:val="7672BD23"/>
    <w:multiLevelType w:val="hybridMultilevel"/>
    <w:lvl w:ilvl="0">
      <w:lvlJc w:val="left"/>
      <w:lvlText w:val="(%1)"/>
      <w:numFmt w:val="lowerLetter"/>
      <w:start w:val="27"/>
    </w:lvl>
  </w:abstractNum>
  <w:abstractNum w:abstractNumId="56">
    <w:nsid w:val="6FC75AF8"/>
    <w:multiLevelType w:val="hybridMultilevel"/>
    <w:lvl w:ilvl="0">
      <w:lvlJc w:val="left"/>
      <w:lvlText w:val="(%1)"/>
      <w:numFmt w:val="decimal"/>
      <w:start w:val="1"/>
    </w:lvl>
  </w:abstractNum>
  <w:abstractNum w:abstractNumId="57">
    <w:nsid w:val="6A5F7029"/>
    <w:multiLevelType w:val="hybridMultilevel"/>
    <w:lvl w:ilvl="0">
      <w:lvlJc w:val="left"/>
      <w:lvlText w:val="(%1)"/>
      <w:numFmt w:val="decimal"/>
      <w:start w:val="6"/>
    </w:lvl>
    <w:lvl w:ilvl="1">
      <w:lvlJc w:val="left"/>
      <w:lvlText w:val="(%2)"/>
      <w:numFmt w:val="lowerLetter"/>
      <w:start w:val="2"/>
    </w:lvl>
  </w:abstractNum>
  <w:abstractNum w:abstractNumId="58">
    <w:nsid w:val="7D5E18F8"/>
    <w:multiLevelType w:val="hybridMultilevel"/>
    <w:lvl w:ilvl="0">
      <w:lvlJc w:val="left"/>
      <w:lvlText w:val="(%1)"/>
      <w:numFmt w:val="lowerLetter"/>
      <w:start w:val="10"/>
    </w:lvl>
  </w:abstractNum>
  <w:abstractNum w:abstractNumId="59">
    <w:nsid w:val="5F3534A4"/>
    <w:multiLevelType w:val="hybridMultilevel"/>
    <w:lvl w:ilvl="0">
      <w:lvlJc w:val="left"/>
      <w:lvlText w:val="(%1)"/>
      <w:numFmt w:val="lowerLetter"/>
      <w:start w:val="12"/>
    </w:lvl>
  </w:abstractNum>
  <w:abstractNum w:abstractNumId="60">
    <w:nsid w:val="73A1821B"/>
    <w:multiLevelType w:val="hybridMultilevel"/>
    <w:lvl w:ilvl="0">
      <w:lvlJc w:val="left"/>
      <w:lvlText w:val="(%1)"/>
      <w:numFmt w:val="lowerLetter"/>
      <w:start w:val="27"/>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1)"/>
      <w:numFmt w:val="lowerRoman"/>
      <w:start w:val="3"/>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1)"/>
      <w:numFmt w:val="lowerRoman"/>
      <w:start w:val="2"/>
    </w:lvl>
  </w:abstractNum>
  <w:abstractNum w:abstractNumId="81">
    <w:nsid w:val="7C58FD05"/>
    <w:multiLevelType w:val="hybridMultilevel"/>
    <w:lvl w:ilvl="0">
      <w:lvlJc w:val="left"/>
      <w:lvlText w:val="(%1)"/>
      <w:numFmt w:val="lowerRoman"/>
      <w:start w:val="1"/>
    </w:lvl>
  </w:abstractNum>
  <w:abstractNum w:abstractNumId="82">
    <w:nsid w:val="23D86AAC"/>
    <w:multiLevelType w:val="hybridMultilevel"/>
    <w:lvl w:ilvl="0">
      <w:lvlJc w:val="left"/>
      <w:lvlText w:val="(%1)"/>
      <w:numFmt w:val="lowerRoman"/>
      <w:start w:val="1"/>
    </w:lvl>
  </w:abstractNum>
  <w:abstractNum w:abstractNumId="83">
    <w:nsid w:val="45E6D486"/>
    <w:multiLevelType w:val="hybridMultilevel"/>
    <w:lvl w:ilvl="0">
      <w:lvlJc w:val="left"/>
      <w:lvlText w:val="•"/>
      <w:numFmt w:val="bullet"/>
      <w:start w:val="1"/>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
      <w:numFmt w:val="bullet"/>
      <w:start w:val="1"/>
    </w:lvl>
  </w:abstractNum>
  <w:abstractNum w:abstractNumId="92">
    <w:nsid w:val="379E21B5"/>
    <w:multiLevelType w:val="hybridMultilevel"/>
    <w:lvl w:ilvl="0">
      <w:lvlJc w:val="left"/>
      <w:lvlText w:val="•"/>
      <w:numFmt w:val="bullet"/>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14"/>
    </w:lvl>
    <w:lvl w:ilvl="1">
      <w:lvlJc w:val="left"/>
      <w:lvlText w:val="(%2)"/>
      <w:numFmt w:val="lowerRoman"/>
      <w:start w:val="8"/>
    </w:lvl>
  </w:abstractNum>
  <w:abstractNum w:abstractNumId="95">
    <w:nsid w:val="4C9B0904"/>
    <w:multiLevelType w:val="hybridMultilevel"/>
    <w:lvl w:ilvl="0">
      <w:lvlJc w:val="left"/>
      <w:lvlText w:val="%1"/>
      <w:numFmt w:val="decimal"/>
      <w:start w:val="1"/>
    </w:lvl>
    <w:lvl w:ilvl="1">
      <w:lvlJc w:val="left"/>
      <w:lvlText w:val="(%2)"/>
      <w:numFmt w:val="lowerRoman"/>
      <w:start w:val="23"/>
    </w:lvl>
  </w:abstractNum>
  <w:abstractNum w:abstractNumId="96">
    <w:nsid w:val="6AA7B75C"/>
    <w:multiLevelType w:val="hybridMultilevel"/>
    <w:lvl w:ilvl="0">
      <w:lvlJc w:val="left"/>
      <w:lvlText w:val="(%1)"/>
      <w:numFmt w:val="decimal"/>
      <w:start w:val="17"/>
    </w:lvl>
    <w:lvl w:ilvl="1">
      <w:lvlJc w:val="left"/>
      <w:lvlText w:val="%2"/>
      <w:numFmt w:val="lowerRoman"/>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1)"/>
      <w:numFmt w:val="decimal"/>
      <w:start w:val="1"/>
    </w:lvl>
    <w:lvl w:ilvl="1">
      <w:lvlJc w:val="left"/>
      <w:lvlText w:val="(%2)"/>
      <w:numFmt w:val="lowerRoman"/>
      <w:start w:val="3"/>
    </w:lvl>
  </w:abstractNum>
  <w:abstractNum w:abstractNumId="99">
    <w:nsid w:val="3DD15094"/>
    <w:multiLevelType w:val="hybridMultilevel"/>
    <w:lvl w:ilvl="0">
      <w:lvlJc w:val="left"/>
      <w:lvlText w:val="%1"/>
      <w:numFmt w:val="decimal"/>
      <w:start w:val="1"/>
    </w:lvl>
    <w:lvl w:ilvl="1">
      <w:lvlJc w:val="left"/>
      <w:lvlText w:val="(%2)"/>
      <w:numFmt w:val="lowerRoman"/>
      <w:start w:val="4"/>
    </w:lvl>
  </w:abstractNum>
  <w:abstractNum w:abstractNumId="100">
    <w:nsid w:val="3DB012B3"/>
    <w:multiLevelType w:val="hybridMultilevel"/>
    <w:lvl w:ilvl="0">
      <w:lvlJc w:val="left"/>
      <w:lvlText w:val="%1"/>
      <w:numFmt w:val="decimal"/>
      <w:start w:val="1"/>
    </w:lvl>
    <w:lvl w:ilvl="1">
      <w:lvlJc w:val="left"/>
      <w:lvlText w:val="(%2)"/>
      <w:numFmt w:val="lowerRoman"/>
      <w:start w:val="8"/>
    </w:lvl>
  </w:abstractNum>
  <w:abstractNum w:abstractNumId="101">
    <w:nsid w:val="2708C9AF"/>
    <w:multiLevelType w:val="hybridMultilevel"/>
    <w:lvl w:ilvl="0">
      <w:lvlJc w:val="left"/>
      <w:lvlText w:val="%1"/>
      <w:numFmt w:val="decimal"/>
      <w:start w:val="1"/>
    </w:lvl>
    <w:lvl w:ilvl="1">
      <w:lvlJc w:val="left"/>
      <w:lvlText w:val="(%2)"/>
      <w:numFmt w:val="lowerRoman"/>
      <w:start w:val="15"/>
    </w:lvl>
  </w:abstractNum>
  <w:abstractNum w:abstractNumId="102">
    <w:nsid w:val="5B25ACE2"/>
    <w:multiLevelType w:val="hybridMultilevel"/>
    <w:lvl w:ilvl="0">
      <w:lvlJc w:val="left"/>
      <w:lvlText w:val="%1"/>
      <w:numFmt w:val="decimal"/>
      <w:start w:val="1"/>
    </w:lvl>
    <w:lvl w:ilvl="1">
      <w:lvlJc w:val="left"/>
      <w:lvlText w:val="(%2)"/>
      <w:numFmt w:val="lowerRoman"/>
      <w:start w:val="14"/>
    </w:lvl>
  </w:abstractNum>
  <w:abstractNum w:abstractNumId="103">
    <w:nsid w:val="175DFCF0"/>
    <w:multiLevelType w:val="hybridMultilevel"/>
    <w:lvl w:ilvl="0">
      <w:lvlJc w:val="left"/>
      <w:lvlText w:val="%1"/>
      <w:numFmt w:val="decimal"/>
      <w:start w:val="1"/>
    </w:lvl>
    <w:lvl w:ilvl="1">
      <w:lvlJc w:val="left"/>
      <w:lvlText w:val="(%2)"/>
      <w:numFmt w:val="lowerRoman"/>
      <w:start w:val="24"/>
    </w:lvl>
  </w:abstractNum>
  <w:abstractNum w:abstractNumId="104">
    <w:nsid w:val="4F97E3E4"/>
    <w:multiLevelType w:val="hybridMultilevel"/>
    <w:lvl w:ilvl="0">
      <w:lvlJc w:val="left"/>
      <w:lvlText w:val="(%1)"/>
      <w:numFmt w:val="decimal"/>
      <w:start w:val="5"/>
    </w:lvl>
    <w:lvl w:ilvl="1">
      <w:lvlJc w:val="left"/>
      <w:lvlText w:val="%2"/>
      <w:numFmt w:val="lowerRoman"/>
      <w:start w:val="1"/>
    </w:lvl>
  </w:abstractNum>
  <w:abstractNum w:abstractNumId="105">
    <w:nsid w:val="53B0A9E"/>
    <w:multiLevelType w:val="hybridMultilevel"/>
    <w:lvl w:ilvl="0">
      <w:lvlJc w:val="left"/>
      <w:lvlText w:val="(%1)"/>
      <w:numFmt w:val="decimal"/>
      <w:start w:val="25"/>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
      <w:numFmt w:val="bullet"/>
      <w:start w:val="1"/>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
      <w:numFmt w:val="bullet"/>
      <w:start w:val="1"/>
    </w:lvl>
  </w:abstractNum>
  <w:abstractNum w:abstractNumId="115">
    <w:nsid w:val="2A082C70"/>
    <w:multiLevelType w:val="hybridMultilevel"/>
    <w:lvl w:ilvl="0">
      <w:lvlJc w:val="left"/>
      <w:lvlText w:val="(%1)"/>
      <w:numFmt w:val="decimal"/>
      <w:start w:val="1"/>
    </w:lvl>
  </w:abstractNum>
  <w:abstractNum w:abstractNumId="116">
    <w:nsid w:val="5EC6AFD4"/>
    <w:multiLevelType w:val="hybridMultilevel"/>
    <w:lvl w:ilvl="0">
      <w:lvlJc w:val="left"/>
      <w:lvlText w:val="(%1)"/>
      <w:numFmt w:val="decimal"/>
      <w:start w:val="1"/>
    </w:lvl>
  </w:abstractNum>
  <w:abstractNum w:abstractNumId="117">
    <w:nsid w:val="19E21BB2"/>
    <w:multiLevelType w:val="hybridMultilevel"/>
    <w:lvl w:ilvl="0">
      <w:lvlJc w:val="left"/>
      <w:lvlText w:val="(%1)"/>
      <w:numFmt w:val="decimal"/>
      <w:start w:val="2"/>
    </w:lvl>
  </w:abstractNum>
  <w:abstractNum w:abstractNumId="118">
    <w:nsid w:val="75E0858A"/>
    <w:multiLevelType w:val="hybridMultilevel"/>
    <w:lvl w:ilvl="0">
      <w:lvlJc w:val="left"/>
      <w:lvlText w:val="(%1)"/>
      <w:numFmt w:val="decimal"/>
      <w:start w:val="30"/>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
      <w:numFmt w:val="bullet"/>
      <w:start w:val="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
      <w:numFmt w:val="bullet"/>
      <w:start w:val="1"/>
    </w:lvl>
  </w:abstractNum>
  <w:abstractNum w:abstractNumId="127">
    <w:nsid w:val="BFFAE18"/>
    <w:multiLevelType w:val="hybridMultilevel"/>
    <w:lvl w:ilvl="0">
      <w:lvlJc w:val="left"/>
      <w:lvlText w:val="$"/>
      <w:numFmt w:val="bullet"/>
      <w:start w:val="1"/>
    </w:lvl>
  </w:abstractNum>
  <w:abstractNum w:abstractNumId="128">
    <w:nsid w:val="E3E47A8"/>
    <w:multiLevelType w:val="hybridMultilevel"/>
    <w:lvl w:ilvl="0">
      <w:lvlJc w:val="left"/>
      <w:lvlText w:val="$"/>
      <w:numFmt w:val="bullet"/>
      <w:start w:val="1"/>
    </w:lvl>
  </w:abstractNum>
  <w:abstractNum w:abstractNumId="129">
    <w:nsid w:val="2E48F044"/>
    <w:multiLevelType w:val="hybridMultilevel"/>
    <w:lvl w:ilvl="0">
      <w:lvlJc w:val="left"/>
      <w:lvlText w:val="(%1)"/>
      <w:numFmt w:val="lowerRoman"/>
      <w:start w:val="2"/>
    </w:lvl>
  </w:abstractNum>
  <w:abstractNum w:abstractNumId="130">
    <w:nsid w:val="49D0FEAC"/>
    <w:multiLevelType w:val="hybridMultilevel"/>
    <w:lvl w:ilvl="0">
      <w:lvlJc w:val="left"/>
      <w:lvlText w:val="(%1)"/>
      <w:numFmt w:val="lowerLetter"/>
      <w:start w:val="1"/>
    </w:lvl>
  </w:abstractNum>
  <w:abstractNum w:abstractNumId="131">
    <w:nsid w:val="4BEE5A5B"/>
    <w:multiLevelType w:val="hybridMultilevel"/>
    <w:lvl w:ilvl="0">
      <w:lvlJc w:val="left"/>
      <w:lvlText w:val="(%1)"/>
      <w:numFmt w:val="decimal"/>
      <w:start w:val="4"/>
    </w:lvl>
  </w:abstractNum>
  <w:abstractNum w:abstractNumId="132">
    <w:nsid w:val="5551B9F3"/>
    <w:multiLevelType w:val="hybridMultilevel"/>
    <w:lvl w:ilvl="0">
      <w:lvlJc w:val="left"/>
      <w:lvlText w:val="•"/>
      <w:numFmt w:val="bullet"/>
      <w:start w:val="1"/>
    </w:lvl>
  </w:abstractNum>
  <w:abstractNum w:abstractNumId="133">
    <w:nsid w:val="24F6AB8E"/>
    <w:multiLevelType w:val="hybridMultilevel"/>
    <w:lvl w:ilvl="0">
      <w:lvlJc w:val="left"/>
      <w:lvlText w:val="(%1)"/>
      <w:numFmt w:val="lowerRoman"/>
      <w:start w:val="2"/>
    </w:lvl>
  </w:abstractNum>
  <w:abstractNum w:abstractNumId="134">
    <w:nsid w:val="634C574C"/>
    <w:multiLevelType w:val="hybridMultilevel"/>
    <w:lvl w:ilvl="0">
      <w:lvlJc w:val="left"/>
      <w:lvlText w:val="•"/>
      <w:numFmt w:val="bullet"/>
      <w:start w:val="1"/>
    </w:lvl>
  </w:abstractNum>
  <w:abstractNum w:abstractNumId="135">
    <w:nsid w:val="24E99DD7"/>
    <w:multiLevelType w:val="hybridMultilevel"/>
    <w:lvl w:ilvl="0">
      <w:lvlJc w:val="left"/>
      <w:lvlText w:val="%1."/>
      <w:numFmt w:val="decimal"/>
      <w:start w:val="718"/>
    </w:lvl>
  </w:abstractNum>
  <w:abstractNum w:abstractNumId="136">
    <w:nsid w:val="2A31B62D"/>
    <w:multiLevelType w:val="hybridMultilevel"/>
    <w:lvl w:ilvl="0">
      <w:lvlJc w:val="left"/>
      <w:lvlText w:val="(%1)"/>
      <w:numFmt w:val="lowerLetter"/>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1"/>
    </w:lvl>
    <w:lvl w:ilvl="1">
      <w:lvlJc w:val="left"/>
      <w:lvlText w:val="(%2)"/>
      <w:numFmt w:val="lowerRoman"/>
      <w:start w:val="1"/>
    </w:lvl>
  </w:abstractNum>
  <w:abstractNum w:abstractNumId="139">
    <w:nsid w:val="754342"/>
    <w:multiLevelType w:val="hybridMultilevel"/>
    <w:lvl w:ilvl="0">
      <w:lvlJc w:val="left"/>
      <w:lvlText w:val="%1"/>
      <w:numFmt w:val="decimal"/>
      <w:start w:val="1"/>
    </w:lvl>
    <w:lvl w:ilvl="1">
      <w:lvlJc w:val="left"/>
      <w:lvlText w:val="(%2)"/>
      <w:numFmt w:val="lowerRoman"/>
      <w:start w:val="3"/>
    </w:lvl>
  </w:abstractNum>
  <w:abstractNum w:abstractNumId="140">
    <w:nsid w:val="69E7F3E5"/>
    <w:multiLevelType w:val="hybridMultilevel"/>
    <w:lvl w:ilvl="0">
      <w:lvlJc w:val="left"/>
      <w:lvlText w:val="(%1)"/>
      <w:numFmt w:val="decimal"/>
      <w:start w:val="2"/>
    </w:lvl>
    <w:lvl w:ilvl="1">
      <w:lvlJc w:val="left"/>
      <w:lvlText w:val="(%2)"/>
      <w:numFmt w:val="lowerRoman"/>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9" Type="http://schemas.openxmlformats.org/officeDocument/2006/relationships/image" Target="media/image355.png"/><Relationship Id="rId380" Type="http://schemas.openxmlformats.org/officeDocument/2006/relationships/image" Target="media/image356.png"/><Relationship Id="rId390"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62" Type="http://schemas.openxmlformats.org/officeDocument/2006/relationships/hyperlink" Target="http://www.sec.gov/Archives/edgar/data/1850270/000119312522014862/d259568dex21.htm" TargetMode="External"/><Relationship Id="rId363" Type="http://schemas.openxmlformats.org/officeDocument/2006/relationships/hyperlink" Target="http://www.sec.gov/Archives/edgar/data/1850270/000119312522195148/d285643dex31.htm" TargetMode="External"/><Relationship Id="rId364" Type="http://schemas.openxmlformats.org/officeDocument/2006/relationships/hyperlink" Target="http://www.sec.gov/Archives/edgar/data/1850270/000119312522215250/d373959dex51.htm" TargetMode="External"/><Relationship Id="rId365" Type="http://schemas.openxmlformats.org/officeDocument/2006/relationships/hyperlink" Target="http://www.sec.gov/Archives/edgar/data/1850270/000119312522014862/d259568dex101.htm" TargetMode="External"/><Relationship Id="rId366" Type="http://schemas.openxmlformats.org/officeDocument/2006/relationships/hyperlink" Target="http://www.sec.gov/Archives/edgar/data/1850270/000119312522014862/d259568dex102.htm" TargetMode="External"/><Relationship Id="rId367" Type="http://schemas.openxmlformats.org/officeDocument/2006/relationships/hyperlink" Target="http://www.sec.gov/Archives/edgar/data/1850270/000119312522014862/d259568dex103.htm" TargetMode="External"/><Relationship Id="rId368" Type="http://schemas.openxmlformats.org/officeDocument/2006/relationships/hyperlink" Target="http://www.sec.gov/Archives/edgar/data/1850270/000119312522014862/d259568dex104.htm" TargetMode="External"/><Relationship Id="rId370" Type="http://schemas.openxmlformats.org/officeDocument/2006/relationships/hyperlink" Target="http://www.sec.gov/Archives/edgar/data/1850270/000119312522195148/d285643dex1012.htm" TargetMode="External"/><Relationship Id="rId371" Type="http://schemas.openxmlformats.org/officeDocument/2006/relationships/hyperlink" Target="http://www.sec.gov/Archives/edgar/data/1850270/000119312522195148/d285643dex1011.htm" TargetMode="External"/><Relationship Id="rId372" Type="http://schemas.openxmlformats.org/officeDocument/2006/relationships/hyperlink" Target="http://www.sec.gov/Archives/edgar/data/1850270/000119312522195148/d285643dex1013.htm" TargetMode="External"/><Relationship Id="rId373" Type="http://schemas.openxmlformats.org/officeDocument/2006/relationships/hyperlink" Target="http://www.sec.gov/Archives/edgar/data/1850270/000119312522195148/d285643dex104.htm" TargetMode="External"/><Relationship Id="rId374" Type="http://schemas.openxmlformats.org/officeDocument/2006/relationships/hyperlink" Target="http://www.sec.gov/Archives/edgar/data/1850270/000119312522195148/d285643dex103.htm" TargetMode="External"/><Relationship Id="rId375" Type="http://schemas.openxmlformats.org/officeDocument/2006/relationships/hyperlink" Target="http://www.sec.gov/Archives/edgar/data/1850270/000119312522195148/d285643dex105.htm" TargetMode="External"/><Relationship Id="rId376" Type="http://schemas.openxmlformats.org/officeDocument/2006/relationships/hyperlink" Target="http://www.sec.gov/Archives/edgar/data/1850270/000119312522195148/d285643dex101.htm" TargetMode="External"/><Relationship Id="rId377" Type="http://schemas.openxmlformats.org/officeDocument/2006/relationships/hyperlink" Target="http://www.sec.gov/Archives/edgar/data/1850270/000119312522195148/d285643dex102.htm" TargetMode="External"/><Relationship Id="rId378" Type="http://schemas.openxmlformats.org/officeDocument/2006/relationships/hyperlink" Target="http://www.sec.gov/Archives/edgar/data/1850270/000119312522215250/d373959dex1013.htm" TargetMode="External"/><Relationship Id="rId379" Type="http://schemas.openxmlformats.org/officeDocument/2006/relationships/hyperlink" Target="http://www.sec.gov/Archives/edgar/data/1850270/000119312522215250/d373959dex1014.htm" TargetMode="External"/><Relationship Id="rId381" Type="http://schemas.openxmlformats.org/officeDocument/2006/relationships/hyperlink" Target="http://www.sec.gov/Archives/edgar/data/1850270/000119312522215250/d373959dex1015.htm" TargetMode="External"/><Relationship Id="rId382" Type="http://schemas.openxmlformats.org/officeDocument/2006/relationships/hyperlink" Target="http://www.sec.gov/Archives/edgar/data/1850270/000119312522215250/d373959dex1016.htm" TargetMode="External"/><Relationship Id="rId383" Type="http://schemas.openxmlformats.org/officeDocument/2006/relationships/hyperlink" Target="http://www.sec.gov/Archives/edgar/data/1850270/000119312522215250/d373959dex1017.htm" TargetMode="External"/><Relationship Id="rId384" Type="http://schemas.openxmlformats.org/officeDocument/2006/relationships/hyperlink" Target="http://www.sec.gov/Archives/edgar/data/1850270/000119312522215250/d373959dex1018.htm" TargetMode="External"/><Relationship Id="rId385" Type="http://schemas.openxmlformats.org/officeDocument/2006/relationships/hyperlink" Target="http://www.sec.gov/Archives/edgar/data/1850270/000119312522215250/d373959dex1019.htm" TargetMode="External"/><Relationship Id="rId386" Type="http://schemas.openxmlformats.org/officeDocument/2006/relationships/hyperlink" Target="http://www.sec.gov/Archives/edgar/data/1850270/000119312522215250/d373959dex1020.htm" TargetMode="External"/><Relationship Id="rId387" Type="http://schemas.openxmlformats.org/officeDocument/2006/relationships/hyperlink" Target="http://www.sec.gov/Archives/edgar/data/1850270/000119312522215250/d373959dex1021.htm" TargetMode="External"/><Relationship Id="rId388" Type="http://schemas.openxmlformats.org/officeDocument/2006/relationships/hyperlink" Target="http://www.sec.gov/Archives/edgar/data/1850270/000119312522215250/d373959dex1022.htm" TargetMode="External"/><Relationship Id="rId389" Type="http://schemas.openxmlformats.org/officeDocument/2006/relationships/hyperlink" Target="http://www.sec.gov/Archives/edgar/data/1850270/000119312522195148/d285643dex211.htm" TargetMode="External"/><Relationship Id="rId391" Type="http://schemas.openxmlformats.org/officeDocument/2006/relationships/hyperlink" Target="http://www.sec.gov/ix?doc=/Archives/edgar/data/1850270/000119312522215250/d37395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2022-08-26T18:00:11Z</dcterms:created>
  <dcterms:modified xsi:type="dcterms:W3CDTF">2022-08-26T18:00:11Z</dcterms:modified>
</cp:coreProperties>
</file>